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7560"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180340</wp:posOffset>
            </wp:positionV>
            <wp:extent cx="7147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7560" cy="7620"/>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(Mark one)</w:t>
      </w:r>
    </w:p>
    <w:p>
      <w:pPr>
        <w:spacing w:after="0" w:line="20" w:lineRule="exact"/>
        <w:rPr>
          <w:sz w:val="24"/>
          <w:szCs w:val="24"/>
          <w:color w:val="auto"/>
        </w:rPr>
      </w:pPr>
    </w:p>
    <w:p>
      <w:pPr>
        <w:ind w:left="1580" w:hanging="185"/>
        <w:spacing w:after="0"/>
        <w:tabs>
          <w:tab w:leader="none" w:pos="1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REGISTRATION STATEMENT PURSUANT TO SECTION 12(b) OR (g) OF THE SECURITIES EXCHANGE ACT OF 1934</w:t>
      </w:r>
    </w:p>
    <w:p>
      <w:pPr>
        <w:spacing w:after="0" w:line="188"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OR</w:t>
      </w:r>
    </w:p>
    <w:p>
      <w:pPr>
        <w:spacing w:after="0" w:line="200" w:lineRule="exact"/>
        <w:rPr>
          <w:rFonts w:ascii="MS PGothic" w:cs="MS PGothic" w:eastAsia="MS PGothic" w:hAnsi="MS PGothic"/>
          <w:sz w:val="16"/>
          <w:szCs w:val="16"/>
          <w:color w:val="auto"/>
        </w:rPr>
      </w:pPr>
    </w:p>
    <w:p>
      <w:pPr>
        <w:ind w:left="1980" w:hanging="177"/>
        <w:spacing w:after="0"/>
        <w:tabs>
          <w:tab w:leader="none" w:pos="198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fiscal year ended June 30, 2025</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201" w:lineRule="exact"/>
        <w:rPr>
          <w:sz w:val="24"/>
          <w:szCs w:val="24"/>
          <w:color w:val="auto"/>
        </w:rPr>
      </w:pPr>
    </w:p>
    <w:p>
      <w:pPr>
        <w:ind w:left="1840" w:hanging="180"/>
        <w:spacing w:after="0"/>
        <w:tabs>
          <w:tab w:leader="none" w:pos="1840" w:val="left"/>
        </w:tabs>
        <w:numPr>
          <w:ilvl w:val="1"/>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0"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OR</w:t>
      </w:r>
    </w:p>
    <w:p>
      <w:pPr>
        <w:spacing w:after="0" w:line="200" w:lineRule="exact"/>
        <w:rPr>
          <w:rFonts w:ascii="MS PGothic" w:cs="MS PGothic" w:eastAsia="MS PGothic" w:hAnsi="MS PGothic"/>
          <w:sz w:val="16"/>
          <w:szCs w:val="16"/>
          <w:color w:val="auto"/>
        </w:rPr>
      </w:pPr>
    </w:p>
    <w:p>
      <w:pPr>
        <w:ind w:left="1660" w:hanging="182"/>
        <w:spacing w:after="0"/>
        <w:tabs>
          <w:tab w:leader="none" w:pos="16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SHELL COMPANY REPORT PURSUANT TO SECTION 13 OR 15(d) OF THE SECURITIES EXCHANGE ACT OF 1934</w:t>
      </w:r>
    </w:p>
    <w:p>
      <w:pPr>
        <w:spacing w:after="0" w:line="20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color w:val="auto"/>
        </w:rPr>
        <w:t>for the transition period from ____________to ____________</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Commission file number 001-38505</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the Registrant as specified in its charter)</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Cayman Islands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(Jurisdiction of incorporation or organization)</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 Unit 1000, 10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 Millennium City III</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370 Kwun Tong Road, Kwun Tong, Kowloon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Hong Kong SAR</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 (852) 37073600</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Raymond Ming Hui Lin, Chief Executive Officer</w:t>
      </w:r>
    </w:p>
    <w:p>
      <w:pPr>
        <w:jc w:val="center"/>
        <w:ind w:right="20"/>
        <w:spacing w:after="0" w:line="206" w:lineRule="auto"/>
        <w:rPr>
          <w:sz w:val="20"/>
          <w:szCs w:val="20"/>
          <w:color w:val="auto"/>
        </w:rPr>
      </w:pPr>
      <w:r>
        <w:rPr>
          <w:rFonts w:ascii="Times New Roman" w:cs="Times New Roman" w:eastAsia="Times New Roman" w:hAnsi="Times New Roman"/>
          <w:sz w:val="16"/>
          <w:szCs w:val="16"/>
          <w:b w:val="1"/>
          <w:bCs w:val="1"/>
          <w:color w:val="auto"/>
        </w:rPr>
        <w:t>c/o Unit 1000, 10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 Millennium City III</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370 Kwun Tong Road, Kwun Tong, Kowloon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Hong Kong SAR</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Tel: (852) 37073600</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Pr>
          <w:p>
            <w:pPr>
              <w:spacing w:after="0"/>
              <w:rPr>
                <w:sz w:val="18"/>
                <w:szCs w:val="18"/>
                <w:color w:val="auto"/>
              </w:rPr>
            </w:pPr>
          </w:p>
        </w:tc>
        <w:tc>
          <w:tcPr>
            <w:tcW w:w="8160" w:type="dxa"/>
            <w:vAlign w:val="bottom"/>
            <w:gridSpan w:val="5"/>
          </w:tcPr>
          <w:p>
            <w:pPr>
              <w:jc w:val="center"/>
              <w:ind w:right="3020"/>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tc>
      </w:tr>
      <w:tr>
        <w:trPr>
          <w:trHeight w:val="389"/>
        </w:trPr>
        <w:tc>
          <w:tcPr>
            <w:tcW w:w="3100" w:type="dxa"/>
            <w:vAlign w:val="bottom"/>
          </w:tcPr>
          <w:p>
            <w:pPr>
              <w:jc w:val="center"/>
              <w:ind w:left="4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2"/>
        </w:trPr>
        <w:tc>
          <w:tcPr>
            <w:tcW w:w="3100" w:type="dxa"/>
            <w:vAlign w:val="bottom"/>
            <w:tcBorders>
              <w:top w:val="single" w:sz="8" w:color="auto"/>
            </w:tcBorders>
            <w:shd w:val="clear" w:color="auto" w:fill="CCEEFF"/>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Common Shares, par value $0.0001</w:t>
            </w: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CLPS</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Securities registered or to be registered pursuant to Section 12(g) of the Act: </w:t>
      </w:r>
      <w:r>
        <w:rPr>
          <w:rFonts w:ascii="Times New Roman" w:cs="Times New Roman" w:eastAsia="Times New Roman" w:hAnsi="Times New Roman"/>
          <w:sz w:val="16"/>
          <w:szCs w:val="16"/>
          <w:b w:val="1"/>
          <w:bCs w:val="1"/>
          <w:color w:val="auto"/>
        </w:rPr>
        <w:t>None.</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Securities for which there is a reporting obligation pursuant to Section 15(d) of the Act: </w:t>
      </w:r>
      <w:r>
        <w:rPr>
          <w:rFonts w:ascii="Times New Roman" w:cs="Times New Roman" w:eastAsia="Times New Roman" w:hAnsi="Times New Roman"/>
          <w:sz w:val="16"/>
          <w:szCs w:val="16"/>
          <w:b w:val="1"/>
          <w:bCs w:val="1"/>
          <w:color w:val="auto"/>
        </w:rPr>
        <w:t>None.</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On October 6, 2025, the issuer had 29,743,452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14756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47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65" w:lineRule="exact"/>
        <w:rPr>
          <w:sz w:val="20"/>
          <w:szCs w:val="20"/>
          <w:color w:val="auto"/>
        </w:rPr>
      </w:pPr>
    </w:p>
    <w:p>
      <w:pPr>
        <w:ind w:left="10300"/>
        <w:spacing w:after="0" w:line="184" w:lineRule="exact"/>
        <w:tabs>
          <w:tab w:leader="none" w:pos="108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07" w:lineRule="exact"/>
        <w:rPr>
          <w:sz w:val="20"/>
          <w:szCs w:val="20"/>
          <w:color w:val="auto"/>
        </w:rPr>
      </w:pPr>
    </w:p>
    <w:p>
      <w:pPr>
        <w:ind w:left="10300"/>
        <w:spacing w:after="0" w:line="184" w:lineRule="exact"/>
        <w:tabs>
          <w:tab w:leader="none" w:pos="108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7" w:lineRule="exact"/>
        <w:rPr>
          <w:sz w:val="20"/>
          <w:szCs w:val="20"/>
          <w:color w:val="auto"/>
        </w:rPr>
      </w:pPr>
    </w:p>
    <w:p>
      <w:pPr>
        <w:ind w:left="10300"/>
        <w:spacing w:after="0" w:line="184" w:lineRule="exact"/>
        <w:tabs>
          <w:tab w:leader="none" w:pos="108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7" w:lineRule="exact"/>
        <w:rPr>
          <w:sz w:val="20"/>
          <w:szCs w:val="20"/>
          <w:color w:val="auto"/>
        </w:rPr>
      </w:pPr>
    </w:p>
    <w:p>
      <w:pPr>
        <w:ind w:left="10300"/>
        <w:spacing w:after="0" w:line="184" w:lineRule="exact"/>
        <w:tabs>
          <w:tab w:leader="none" w:pos="108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3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07" w:lineRule="exact"/>
        <w:rPr>
          <w:sz w:val="20"/>
          <w:szCs w:val="20"/>
          <w:color w:val="auto"/>
        </w:rPr>
      </w:pPr>
    </w:p>
    <w:p>
      <w:pPr>
        <w:spacing w:after="0" w:line="184" w:lineRule="exact"/>
        <w:tabs>
          <w:tab w:leader="none" w:pos="3820" w:val="left"/>
          <w:tab w:leader="none" w:pos="764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Non-accelerated filer</w:t>
      </w:r>
    </w:p>
    <w:p>
      <w:pPr>
        <w:spacing w:after="0" w:line="20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7" w:lineRule="exact"/>
        <w:rPr>
          <w:sz w:val="20"/>
          <w:szCs w:val="20"/>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1" w:lineRule="exact"/>
        <w:rPr>
          <w:sz w:val="20"/>
          <w:szCs w:val="20"/>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1" w:lineRule="exact"/>
        <w:rPr>
          <w:sz w:val="20"/>
          <w:szCs w:val="20"/>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1" w:lineRule="exact"/>
        <w:rPr>
          <w:sz w:val="20"/>
          <w:szCs w:val="20"/>
          <w:color w:val="auto"/>
        </w:rPr>
      </w:pPr>
    </w:p>
    <w:p>
      <w:pPr>
        <w:ind w:right="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60"/>
          </w:cols>
          <w:pgMar w:left="320" w:top="796" w:right="319" w:bottom="1440" w:gutter="0" w:footer="0" w:header="0"/>
        </w:sectPr>
      </w:pPr>
    </w:p>
    <w:p>
      <w:pPr>
        <w:spacing w:after="0" w:line="16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GAAP</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w:t>
      </w:r>
    </w:p>
    <w:p>
      <w:pPr>
        <w:spacing w:after="0" w:line="404" w:lineRule="exact"/>
        <w:rPr>
          <w:sz w:val="20"/>
          <w:szCs w:val="20"/>
          <w:color w:val="auto"/>
        </w:rPr>
      </w:pPr>
    </w:p>
    <w:p>
      <w:pPr>
        <w:sectPr>
          <w:pgSz w:w="11900" w:h="16838" w:orient="portrait"/>
          <w:cols w:equalWidth="0" w:num="6">
            <w:col w:w="140" w:space="440"/>
            <w:col w:w="680" w:space="500"/>
            <w:col w:w="140" w:space="420"/>
            <w:col w:w="5520" w:space="440"/>
            <w:col w:w="140" w:space="440"/>
            <w:col w:w="2400"/>
          </w:cols>
          <w:pgMar w:left="320" w:top="79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spacing w:after="0" w:line="165" w:lineRule="exact"/>
        <w:rPr>
          <w:sz w:val="20"/>
          <w:szCs w:val="20"/>
          <w:color w:val="auto"/>
        </w:rPr>
      </w:pPr>
    </w:p>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65" w:lineRule="exact"/>
        <w:rPr>
          <w:sz w:val="20"/>
          <w:szCs w:val="20"/>
          <w:color w:val="auto"/>
        </w:rPr>
      </w:pPr>
    </w:p>
    <w:p>
      <w:pPr>
        <w:ind w:left="10300"/>
        <w:spacing w:after="0" w:line="184" w:lineRule="exact"/>
        <w:tabs>
          <w:tab w:leader="none" w:pos="108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71475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75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71475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71475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60" w:type="dxa"/>
            <w:vAlign w:val="bottom"/>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ITEM 1.</w:t>
            </w:r>
          </w:p>
        </w:tc>
        <w:tc>
          <w:tcPr>
            <w:tcW w:w="5000" w:type="dxa"/>
            <w:vAlign w:val="bottom"/>
            <w:tcBorders>
              <w:bottom w:val="single" w:sz="8" w:color="0000EE"/>
            </w:tcBorders>
            <w:gridSpan w:val="19"/>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w w:val="99"/>
              </w:rPr>
              <w:t>IDENTITY OF DIRECTORS, SENIOR MANAGEMENT AND ADVISERS</w:t>
            </w:r>
          </w:p>
        </w:tc>
        <w:tc>
          <w:tcPr>
            <w:tcW w:w="4240" w:type="dxa"/>
            <w:vAlign w:val="bottom"/>
            <w:tcBorders>
              <w:bottom w:val="single" w:sz="8" w:color="CCEEFF"/>
            </w:tcBorders>
            <w:gridSpan w:val="6"/>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2.</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3.</w:t>
            </w:r>
          </w:p>
        </w:tc>
        <w:tc>
          <w:tcPr>
            <w:tcW w:w="3580" w:type="dxa"/>
            <w:vAlign w:val="bottom"/>
            <w:tcBorders>
              <w:top w:val="single" w:sz="8" w:color="0000EE"/>
            </w:tcBorders>
            <w:gridSpan w:val="13"/>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KEY INFORMATION</w:t>
            </w:r>
          </w:p>
        </w:tc>
        <w:tc>
          <w:tcPr>
            <w:tcW w:w="5660" w:type="dxa"/>
            <w:vAlign w:val="bottom"/>
            <w:gridSpan w:val="12"/>
            <w:shd w:val="clear" w:color="auto" w:fill="CCEEFF"/>
          </w:tcPr>
          <w:p>
            <w:pPr>
              <w:spacing w:after="0"/>
              <w:rPr>
                <w:sz w:val="14"/>
                <w:szCs w:val="14"/>
                <w:color w:val="auto"/>
              </w:rPr>
            </w:pP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40" w:type="dxa"/>
            <w:vAlign w:val="bottom"/>
            <w:tcBorders>
              <w:left w:val="single" w:sz="8" w:color="CCEEFF"/>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4.</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CCEEFF"/>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4A.</w:t>
            </w:r>
          </w:p>
        </w:tc>
        <w:tc>
          <w:tcPr>
            <w:tcW w:w="2520" w:type="dxa"/>
            <w:vAlign w:val="bottom"/>
            <w:tcBorders>
              <w:top w:val="single" w:sz="8" w:color="0000EE"/>
              <w:bottom w:val="single" w:sz="8" w:color="0000EE"/>
            </w:tcBorders>
            <w:gridSpan w:val="9"/>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8"/>
              </w:rPr>
              <w:t>UNRESOLVED STAFF COMMENTS</w:t>
            </w:r>
          </w:p>
        </w:tc>
        <w:tc>
          <w:tcPr>
            <w:tcW w:w="40" w:type="dxa"/>
            <w:vAlign w:val="bottom"/>
            <w:tcBorders>
              <w:top w:val="single" w:sz="8" w:color="0000EE"/>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15"/>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5.</w:t>
            </w:r>
          </w:p>
        </w:tc>
        <w:tc>
          <w:tcPr>
            <w:tcW w:w="4120" w:type="dxa"/>
            <w:vAlign w:val="bottom"/>
            <w:tcBorders>
              <w:bottom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6"/>
                <w:szCs w:val="16"/>
                <w:color w:val="0000EE"/>
              </w:rPr>
              <w:t>OPERATING AND FINANCIAL REVIEW AND PROSPECT</w:t>
            </w:r>
          </w:p>
        </w:tc>
        <w:tc>
          <w:tcPr>
            <w:tcW w:w="5120" w:type="dxa"/>
            <w:vAlign w:val="bottom"/>
            <w:gridSpan w:val="11"/>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6.</w:t>
            </w:r>
          </w:p>
        </w:tc>
        <w:tc>
          <w:tcPr>
            <w:tcW w:w="9240" w:type="dxa"/>
            <w:vAlign w:val="bottom"/>
            <w:gridSpan w:val="25"/>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103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54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7.</w:t>
            </w:r>
          </w:p>
        </w:tc>
        <w:tc>
          <w:tcPr>
            <w:tcW w:w="4800" w:type="dxa"/>
            <w:vAlign w:val="bottom"/>
            <w:tcBorders>
              <w:bottom w:val="single" w:sz="8" w:color="0000EE"/>
            </w:tcBorders>
            <w:gridSpan w:val="17"/>
          </w:tcPr>
          <w:p>
            <w:pPr>
              <w:spacing w:after="0" w:line="156" w:lineRule="exact"/>
              <w:rPr>
                <w:sz w:val="20"/>
                <w:szCs w:val="20"/>
                <w:color w:val="auto"/>
              </w:rPr>
            </w:pPr>
            <w:r>
              <w:rPr>
                <w:rFonts w:ascii="Times New Roman" w:cs="Times New Roman" w:eastAsia="Times New Roman" w:hAnsi="Times New Roman"/>
                <w:sz w:val="16"/>
                <w:szCs w:val="16"/>
                <w:color w:val="0000EE"/>
                <w:w w:val="99"/>
              </w:rPr>
              <w:t>MAJOR SHAREHOLDERS AND RELATED PARTY TRANSACTIONS</w:t>
            </w:r>
          </w:p>
        </w:tc>
        <w:tc>
          <w:tcPr>
            <w:tcW w:w="4440" w:type="dxa"/>
            <w:vAlign w:val="bottom"/>
            <w:gridSpan w:val="8"/>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CCEEFF"/>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8.</w:t>
            </w:r>
          </w:p>
        </w:tc>
        <w:tc>
          <w:tcPr>
            <w:tcW w:w="2140" w:type="dxa"/>
            <w:vAlign w:val="bottom"/>
            <w:tcBorders>
              <w:bottom w:val="single" w:sz="8" w:color="0000EE"/>
              <w:right w:val="single" w:sz="8" w:color="CCEEFF"/>
            </w:tcBorders>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FINANCIAL INFORMATION</w:t>
            </w:r>
          </w:p>
        </w:tc>
        <w:tc>
          <w:tcPr>
            <w:tcW w:w="7100" w:type="dxa"/>
            <w:vAlign w:val="bottom"/>
            <w:tcBorders>
              <w:bottom w:val="single" w:sz="8" w:color="CCEEFF"/>
            </w:tcBorders>
            <w:gridSpan w:val="18"/>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9.</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THE OFFER AND LISTING</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10.</w:t>
            </w:r>
          </w:p>
        </w:tc>
        <w:tc>
          <w:tcPr>
            <w:tcW w:w="9240" w:type="dxa"/>
            <w:vAlign w:val="bottom"/>
            <w:gridSpan w:val="25"/>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ADDITIONAL INFORMATION</w:t>
            </w: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117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11.</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QUANTITATIVE AND QUALITATIVE DISCLOSURE ABOUT MARKET RISK</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12.</w:t>
            </w:r>
          </w:p>
        </w:tc>
        <w:tc>
          <w:tcPr>
            <w:tcW w:w="5380" w:type="dxa"/>
            <w:vAlign w:val="bottom"/>
            <w:tcBorders>
              <w:top w:val="single" w:sz="8" w:color="0000EE"/>
            </w:tcBorders>
            <w:gridSpan w:val="20"/>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DESCRIPTION OF SECURITIES OTHER THAN EQUITY SECURITIES</w:t>
            </w:r>
          </w:p>
        </w:tc>
        <w:tc>
          <w:tcPr>
            <w:tcW w:w="3860" w:type="dxa"/>
            <w:vAlign w:val="bottom"/>
            <w:gridSpan w:val="5"/>
            <w:shd w:val="clear" w:color="auto" w:fill="CCEEFF"/>
          </w:tcPr>
          <w:p>
            <w:pPr>
              <w:spacing w:after="0"/>
              <w:rPr>
                <w:sz w:val="16"/>
                <w:szCs w:val="16"/>
                <w:color w:val="auto"/>
              </w:rPr>
            </w:pP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PART II</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tcBorders>
              <w:bottom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ITEM 13.</w:t>
            </w:r>
          </w:p>
        </w:tc>
        <w:tc>
          <w:tcPr>
            <w:tcW w:w="4480" w:type="dxa"/>
            <w:vAlign w:val="bottom"/>
            <w:tcBorders>
              <w:bottom w:val="single" w:sz="8" w:color="0000EE"/>
            </w:tcBorders>
            <w:gridSpan w:val="16"/>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w w:val="99"/>
              </w:rPr>
              <w:t>DEFAULTS, DIVIDEND ARREARAGES AND DELINQUENCIES</w:t>
            </w:r>
          </w:p>
        </w:tc>
        <w:tc>
          <w:tcPr>
            <w:tcW w:w="4760" w:type="dxa"/>
            <w:vAlign w:val="bottom"/>
            <w:tcBorders>
              <w:bottom w:val="single" w:sz="8" w:color="CCEEFF"/>
            </w:tcBorders>
            <w:gridSpan w:val="9"/>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14.</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15.</w:t>
            </w:r>
          </w:p>
        </w:tc>
        <w:tc>
          <w:tcPr>
            <w:tcW w:w="7000" w:type="dxa"/>
            <w:vAlign w:val="bottom"/>
            <w:tcBorders>
              <w:top w:val="single" w:sz="8" w:color="0000EE"/>
            </w:tcBorders>
            <w:gridSpan w:val="2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CONTROLS AND PROCEDURES</w:t>
            </w:r>
          </w:p>
        </w:tc>
        <w:tc>
          <w:tcPr>
            <w:tcW w:w="22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Borders>
              <w:top w:val="single" w:sz="8" w:color="CCEEFF"/>
            </w:tcBorders>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16.</w:t>
            </w:r>
          </w:p>
        </w:tc>
        <w:tc>
          <w:tcPr>
            <w:tcW w:w="2320" w:type="dxa"/>
            <w:vAlign w:val="bottom"/>
            <w:tcBorders>
              <w:top w:val="single" w:sz="8" w:color="0000EE"/>
            </w:tcBorders>
            <w:gridSpan w:val="8"/>
          </w:tcPr>
          <w:p>
            <w:pPr>
              <w:spacing w:after="0" w:line="156" w:lineRule="exact"/>
              <w:rPr>
                <w:sz w:val="20"/>
                <w:szCs w:val="20"/>
                <w:color w:val="auto"/>
              </w:rPr>
            </w:pPr>
            <w:r>
              <w:rPr>
                <w:rFonts w:ascii="Times New Roman" w:cs="Times New Roman" w:eastAsia="Times New Roman" w:hAnsi="Times New Roman"/>
                <w:sz w:val="16"/>
                <w:szCs w:val="16"/>
                <w:color w:val="0000EE"/>
              </w:rPr>
              <w:t>RESERVED</w:t>
            </w:r>
          </w:p>
        </w:tc>
        <w:tc>
          <w:tcPr>
            <w:tcW w:w="6920" w:type="dxa"/>
            <w:vAlign w:val="bottom"/>
            <w:tcBorders>
              <w:top w:val="single" w:sz="8" w:color="CCEEFF"/>
            </w:tcBorders>
            <w:gridSpan w:val="17"/>
          </w:tcPr>
          <w:p>
            <w:pPr>
              <w:spacing w:after="0"/>
              <w:rPr>
                <w:sz w:val="13"/>
                <w:szCs w:val="13"/>
                <w:color w:val="auto"/>
              </w:rPr>
            </w:pPr>
          </w:p>
        </w:tc>
        <w:tc>
          <w:tcPr>
            <w:tcW w:w="900" w:type="dxa"/>
            <w:vAlign w:val="bottom"/>
            <w:tcBorders>
              <w:top w:val="single" w:sz="8" w:color="CCEEFF"/>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CCEEFF"/>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16A.</w:t>
            </w:r>
          </w:p>
        </w:tc>
        <w:tc>
          <w:tcPr>
            <w:tcW w:w="3040" w:type="dxa"/>
            <w:vAlign w:val="bottom"/>
            <w:tcBorders>
              <w:bottom w:val="single" w:sz="8" w:color="0000EE"/>
            </w:tcBorders>
            <w:gridSpan w:val="11"/>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9"/>
              </w:rPr>
              <w:t>AUDIT COMMITTEE FINANCIAL EXPERT</w:t>
            </w:r>
          </w:p>
        </w:tc>
        <w:tc>
          <w:tcPr>
            <w:tcW w:w="6200" w:type="dxa"/>
            <w:vAlign w:val="bottom"/>
            <w:tcBorders>
              <w:bottom w:val="single" w:sz="8" w:color="CCEEFF"/>
            </w:tcBorders>
            <w:gridSpan w:val="14"/>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16B.</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CODE OF ETHICS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CCEEFF"/>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16C.</w:t>
            </w:r>
          </w:p>
        </w:tc>
        <w:tc>
          <w:tcPr>
            <w:tcW w:w="3540" w:type="dxa"/>
            <w:vAlign w:val="bottom"/>
            <w:tcBorders>
              <w:bottom w:val="single" w:sz="8" w:color="0000EE"/>
            </w:tcBorders>
            <w:gridSpan w:val="12"/>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8"/>
              </w:rPr>
              <w:t>PRINCIPAL ACCOUNTANT FEES AND SERVICES</w:t>
            </w:r>
          </w:p>
        </w:tc>
        <w:tc>
          <w:tcPr>
            <w:tcW w:w="5700" w:type="dxa"/>
            <w:vAlign w:val="bottom"/>
            <w:tcBorders>
              <w:bottom w:val="single" w:sz="8" w:color="CCEEFF"/>
            </w:tcBorders>
            <w:gridSpan w:val="13"/>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16D.</w:t>
            </w:r>
          </w:p>
        </w:tc>
        <w:tc>
          <w:tcPr>
            <w:tcW w:w="5500" w:type="dxa"/>
            <w:vAlign w:val="bottom"/>
            <w:tcBorders>
              <w:bottom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6"/>
                <w:szCs w:val="16"/>
                <w:color w:val="0000EE"/>
                <w:w w:val="99"/>
              </w:rPr>
              <w:t>EXEMPTIONS FROM THE LISTING STANDARDS FOR AUDIT COMMITTEES</w:t>
            </w:r>
          </w:p>
        </w:tc>
        <w:tc>
          <w:tcPr>
            <w:tcW w:w="3740" w:type="dxa"/>
            <w:vAlign w:val="bottom"/>
            <w:gridSpan w:val="4"/>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CCEEFF"/>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16E.</w:t>
            </w:r>
          </w:p>
        </w:tc>
        <w:tc>
          <w:tcPr>
            <w:tcW w:w="6380" w:type="dxa"/>
            <w:vAlign w:val="bottom"/>
            <w:tcBorders>
              <w:bottom w:val="single" w:sz="8" w:color="0000EE"/>
            </w:tcBorders>
            <w:gridSpan w:val="23"/>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9"/>
              </w:rPr>
              <w:t>PURCHASES OF EQUITY SECURITIES BY THE ISSUER AND AFFILIATED PURCHASERS</w:t>
            </w:r>
          </w:p>
        </w:tc>
        <w:tc>
          <w:tcPr>
            <w:tcW w:w="2860" w:type="dxa"/>
            <w:vAlign w:val="bottom"/>
            <w:tcBorders>
              <w:bottom w:val="single" w:sz="8" w:color="CCEEFF"/>
            </w:tcBorders>
            <w:gridSpan w:val="2"/>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16F.</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CHANGES IN REGISTRANT’S CERTIFYING ACCOUNTANT</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16G.</w:t>
            </w:r>
          </w:p>
        </w:tc>
        <w:tc>
          <w:tcPr>
            <w:tcW w:w="4260" w:type="dxa"/>
            <w:vAlign w:val="bottom"/>
            <w:tcBorders>
              <w:top w:val="single" w:sz="8" w:color="0000EE"/>
            </w:tcBorders>
            <w:gridSpan w:val="15"/>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CORPORATE GOVERNANCE</w:t>
            </w:r>
          </w:p>
        </w:tc>
        <w:tc>
          <w:tcPr>
            <w:tcW w:w="4980" w:type="dxa"/>
            <w:vAlign w:val="bottom"/>
            <w:gridSpan w:val="10"/>
            <w:shd w:val="clear" w:color="auto" w:fill="CCEEFF"/>
          </w:tcPr>
          <w:p>
            <w:pPr>
              <w:spacing w:after="0"/>
              <w:rPr>
                <w:sz w:val="14"/>
                <w:szCs w:val="14"/>
                <w:color w:val="auto"/>
              </w:rPr>
            </w:pP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16H.</w:t>
            </w:r>
          </w:p>
        </w:tc>
        <w:tc>
          <w:tcPr>
            <w:tcW w:w="2140" w:type="dxa"/>
            <w:vAlign w:val="bottom"/>
            <w:tcBorders>
              <w:bottom w:val="single" w:sz="8" w:color="0000EE"/>
            </w:tcBorders>
            <w:gridSpan w:val="7"/>
          </w:tcPr>
          <w:p>
            <w:pPr>
              <w:spacing w:after="0" w:line="156" w:lineRule="exact"/>
              <w:rPr>
                <w:sz w:val="20"/>
                <w:szCs w:val="20"/>
                <w:color w:val="auto"/>
              </w:rPr>
            </w:pPr>
            <w:r>
              <w:rPr>
                <w:rFonts w:ascii="Times New Roman" w:cs="Times New Roman" w:eastAsia="Times New Roman" w:hAnsi="Times New Roman"/>
                <w:sz w:val="16"/>
                <w:szCs w:val="16"/>
                <w:color w:val="0000EE"/>
              </w:rPr>
              <w:t>MINE SAFETY DISCLOSURE</w:t>
            </w:r>
          </w:p>
        </w:tc>
        <w:tc>
          <w:tcPr>
            <w:tcW w:w="7100" w:type="dxa"/>
            <w:vAlign w:val="bottom"/>
            <w:gridSpan w:val="18"/>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16I.</w:t>
            </w:r>
          </w:p>
        </w:tc>
        <w:tc>
          <w:tcPr>
            <w:tcW w:w="9240" w:type="dxa"/>
            <w:vAlign w:val="bottom"/>
            <w:gridSpan w:val="25"/>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DISCLOSURE REGARDING FOREIGN JURISDICTIONS THAT PREVENT INSPECTIONS</w:t>
            </w: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Borders>
              <w:top w:val="single" w:sz="8" w:color="CCEEFF"/>
            </w:tcBorders>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16J.</w:t>
            </w:r>
          </w:p>
        </w:tc>
        <w:tc>
          <w:tcPr>
            <w:tcW w:w="6200" w:type="dxa"/>
            <w:vAlign w:val="bottom"/>
            <w:tcBorders>
              <w:top w:val="single" w:sz="8" w:color="0000EE"/>
            </w:tcBorders>
            <w:gridSpan w:val="22"/>
          </w:tcPr>
          <w:p>
            <w:pPr>
              <w:spacing w:after="0" w:line="156" w:lineRule="exact"/>
              <w:rPr>
                <w:sz w:val="20"/>
                <w:szCs w:val="20"/>
                <w:color w:val="auto"/>
              </w:rPr>
            </w:pPr>
            <w:r>
              <w:rPr>
                <w:rFonts w:ascii="Times New Roman" w:cs="Times New Roman" w:eastAsia="Times New Roman" w:hAnsi="Times New Roman"/>
                <w:sz w:val="16"/>
                <w:szCs w:val="16"/>
                <w:color w:val="0000EE"/>
              </w:rPr>
              <w:t>INSIDER TRADING POLICIES</w:t>
            </w:r>
          </w:p>
        </w:tc>
        <w:tc>
          <w:tcPr>
            <w:tcW w:w="3040" w:type="dxa"/>
            <w:vAlign w:val="bottom"/>
            <w:tcBorders>
              <w:top w:val="single" w:sz="8" w:color="CCEEFF"/>
            </w:tcBorders>
            <w:gridSpan w:val="3"/>
          </w:tcPr>
          <w:p>
            <w:pPr>
              <w:spacing w:after="0"/>
              <w:rPr>
                <w:sz w:val="13"/>
                <w:szCs w:val="13"/>
                <w:color w:val="auto"/>
              </w:rPr>
            </w:pPr>
          </w:p>
        </w:tc>
        <w:tc>
          <w:tcPr>
            <w:tcW w:w="900" w:type="dxa"/>
            <w:vAlign w:val="bottom"/>
            <w:tcBorders>
              <w:top w:val="single" w:sz="8" w:color="CCEEFF"/>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16K.</w:t>
            </w:r>
          </w:p>
        </w:tc>
        <w:tc>
          <w:tcPr>
            <w:tcW w:w="2140" w:type="dxa"/>
            <w:vAlign w:val="bottom"/>
            <w:tcBorders>
              <w:top w:val="single" w:sz="8" w:color="0000EE"/>
              <w:right w:val="single" w:sz="8" w:color="CCEEFF"/>
            </w:tcBorders>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rPr>
              <w:t>CYBERSECURITY</w:t>
            </w:r>
          </w:p>
        </w:tc>
        <w:tc>
          <w:tcPr>
            <w:tcW w:w="7100" w:type="dxa"/>
            <w:vAlign w:val="bottom"/>
            <w:gridSpan w:val="18"/>
            <w:shd w:val="clear" w:color="auto" w:fill="CCEEFF"/>
          </w:tcPr>
          <w:p>
            <w:pPr>
              <w:spacing w:after="0"/>
              <w:rPr>
                <w:sz w:val="16"/>
                <w:szCs w:val="16"/>
                <w:color w:val="auto"/>
              </w:rPr>
            </w:pPr>
          </w:p>
        </w:tc>
        <w:tc>
          <w:tcPr>
            <w:tcW w:w="900" w:type="dxa"/>
            <w:vAlign w:val="bottom"/>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PART III</w:t>
            </w: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2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10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auto"/>
              </w:rPr>
              <w:t>ITEM 17.</w:t>
            </w:r>
          </w:p>
        </w:tc>
        <w:tc>
          <w:tcPr>
            <w:tcW w:w="9240" w:type="dxa"/>
            <w:vAlign w:val="bottom"/>
            <w:gridSpan w:val="25"/>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FINANCIAL STATEMENTS</w:t>
            </w:r>
          </w:p>
        </w:tc>
        <w:tc>
          <w:tcPr>
            <w:tcW w:w="9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240" w:type="dxa"/>
            <w:vAlign w:val="bottom"/>
            <w:tcBorders>
              <w:left w:val="single" w:sz="8" w:color="0000EE"/>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2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gridSpan w:val="4"/>
          </w:tcPr>
          <w:p>
            <w:pPr>
              <w:spacing w:after="0" w:line="156" w:lineRule="exact"/>
              <w:rPr>
                <w:sz w:val="20"/>
                <w:szCs w:val="20"/>
                <w:color w:val="auto"/>
              </w:rPr>
            </w:pPr>
            <w:r>
              <w:rPr>
                <w:rFonts w:ascii="Times New Roman" w:cs="Times New Roman" w:eastAsia="Times New Roman" w:hAnsi="Times New Roman"/>
                <w:sz w:val="16"/>
                <w:szCs w:val="16"/>
                <w:color w:val="auto"/>
              </w:rPr>
              <w:t>ITEM 18.</w:t>
            </w:r>
          </w:p>
        </w:tc>
        <w:tc>
          <w:tcPr>
            <w:tcW w:w="9240" w:type="dxa"/>
            <w:vAlign w:val="bottom"/>
            <w:gridSpan w:val="25"/>
          </w:tcPr>
          <w:p>
            <w:pPr>
              <w:spacing w:after="0" w:line="156" w:lineRule="exact"/>
              <w:rPr>
                <w:sz w:val="20"/>
                <w:szCs w:val="20"/>
                <w:color w:val="auto"/>
              </w:rPr>
            </w:pPr>
            <w:r>
              <w:rPr>
                <w:rFonts w:ascii="Times New Roman" w:cs="Times New Roman" w:eastAsia="Times New Roman" w:hAnsi="Times New Roman"/>
                <w:sz w:val="16"/>
                <w:szCs w:val="16"/>
                <w:color w:val="0000EE"/>
              </w:rPr>
              <w:t>FINANCIAL STATEMENTS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Borders>
              <w:bottom w:val="single" w:sz="8" w:color="CCEEFF"/>
            </w:tcBorders>
            <w:gridSpan w:val="4"/>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ITEM 19.</w:t>
            </w:r>
          </w:p>
        </w:tc>
        <w:tc>
          <w:tcPr>
            <w:tcW w:w="740" w:type="dxa"/>
            <w:vAlign w:val="bottom"/>
            <w:tcBorders>
              <w:top w:val="single" w:sz="8" w:color="0000EE"/>
              <w:bottom w:val="single" w:sz="8" w:color="0000EE"/>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0000EE"/>
                <w:w w:val="98"/>
              </w:rPr>
              <w:t>EXHIBITS</w:t>
            </w:r>
          </w:p>
        </w:tc>
        <w:tc>
          <w:tcPr>
            <w:tcW w:w="1160" w:type="dxa"/>
            <w:vAlign w:val="bottom"/>
            <w:tcBorders>
              <w:top w:val="single" w:sz="8" w:color="0000EE"/>
              <w:bottom w:val="single" w:sz="8" w:color="CCEEFF"/>
            </w:tcBorders>
            <w:gridSpan w:val="5"/>
            <w:shd w:val="clear" w:color="auto" w:fill="CCEEFF"/>
          </w:tcPr>
          <w:p>
            <w:pPr>
              <w:spacing w:after="0"/>
              <w:rPr>
                <w:sz w:val="16"/>
                <w:szCs w:val="16"/>
                <w:color w:val="auto"/>
              </w:rPr>
            </w:pPr>
          </w:p>
        </w:tc>
        <w:tc>
          <w:tcPr>
            <w:tcW w:w="7340" w:type="dxa"/>
            <w:vAlign w:val="bottom"/>
            <w:tcBorders>
              <w:left w:val="single" w:sz="8" w:color="CCEEFF"/>
              <w:bottom w:val="single" w:sz="8" w:color="CCEEFF"/>
            </w:tcBorders>
            <w:gridSpan w:val="19"/>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129</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CERTAIN INFORMATION</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Unless otherwise indicated, numerical figures included in this Annual Report on Form 20-F (the “Annual Report”) have been subject to rounding adjustments.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numerical figures shown as totals in various tables may not be arithmetic aggregations of the figures that precede them.</w:t>
      </w:r>
    </w:p>
    <w:p>
      <w:pPr>
        <w:spacing w:after="0" w:line="184"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65"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Depending on the context, the terms “we,” “us,” “our company,” and “our” refer to CLPS Incorporation, a Cayman Islands company, and its subsidiary and affiliated companies. Except where the context otherwise requires and for purposes of this Annual Report only:</w:t>
      </w:r>
    </w:p>
    <w:p>
      <w:pPr>
        <w:spacing w:after="0" w:line="143" w:lineRule="exact"/>
        <w:rPr>
          <w:sz w:val="20"/>
          <w:szCs w:val="20"/>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“Arabian Jasmine” refers to Arabian Jasmine Ltd., a British Virgin Islands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“Badou Tech” refers to Badou Tech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Bozhuo” refers to Beijing Bozhuo Education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“CAE” refers to College of Allied Educators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“CareerWin” refers to CareerWin Executive Search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Beijing” refers to CLPS Beijing Hengtong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California” refers to CLPS Technology (California) Inc., a USA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Chengdu” refers to CLPS Chengdu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Dalian” refers to CLPS Dalian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Investment” refers to CLPS Investment Management Ltd., a British Virgin Islands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Guangdong Zhichuang” refers to CLPS Guangdong Zhichuang Software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Guangzhou” refers to CLPS Guangzhou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Hainan” refers to Hainan Qincheng Software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Hangzhou” refers to CLPS Hangzhou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Hong Kong” refers to CLPS Technology (Hong Kong) Co., Limited, a Hong Kong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Japan” refers to CLPS Technology Japan, a Japan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QC (WOFE)” refers to Shanghai Qincheng Information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RC” refers to CLPS Ruicheng Co., Ltd., a PRC company;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 w:name="page5"/>
    <w:bookmarkEnd w:id="4"/>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Shanghai” refers to CLPS Shanghai Co., Ltd., formerly ChinaLink Professional Services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SG” refers to CLPS Technology (Singapore) Pte. Ltd., a Singapore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Shenzhen” refers to CLPS Shenzhen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Shenzhen Robotics” refers to CLPS Shenzhen Robotics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US” refers to CLPS Technology (US) Ltd., a USA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Xi’an” refers to CLPS Xi’an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“EMIT” refers to Economic Modeling Information Technology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“Fuson” refers to Fuson Group Limited, a Hong Kong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“Growth Ring” refers to Growth Ring Ltd., a British Virgin Islands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“Haikou Huaqin” refers to Haikou Huaqin Minshang Software Development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“Huanyu” refers to Tianjin Huanyu Qinshang Network Technology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“Infogain” refers to Infogain Solutions Pte. Ltd., a Singapore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“JAJI China” refers to JAJI (Shanghai) Co., Ltd., formerly Judge (Shanghai)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“JAJI Global” refers to JAJI Global Incorporation, a Cayman Islands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“JAJI HR” refers to JAJI (Shanghai) Human Resource Co., Ltd. formerly Judge (Shanghai) Human Resource Co., Ltd., a PRC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“JAJI Singapore” refers to JAJI Singapore Pte. Ltd., a Singapore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“LinkCrypto” refers to LinkCrypto Finance Technology Limited, a Hong Kong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“LQE” refers to LQE Ltd., a British Virgin Islands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“MNYC” refers to MNYC HOLDINGS (HK) LIMITED, a Hong Kong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“MSCT” refers to MSCT Investment Holdings Limited, a British Virgin Islands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“Noni Singapore” refers to Noni (Singapore) Pte. Ltd., a Singapore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“Purple Potato” refers to Purple Potato Finance Limited, a Hong Kong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“Qiner” refers to Qiner Co., Limited, a Hong Kong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“Qinheng” refers to Qinheng Co., Limited, a Hong Kong company;</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“Qinson” refers to Qinson Credit Card Services Limited, a Hong Kong company;</w:t>
      </w:r>
    </w:p>
    <w:p>
      <w:pPr>
        <w:spacing w:after="0" w:line="393" w:lineRule="exact"/>
        <w:rPr>
          <w:sz w:val="20"/>
          <w:szCs w:val="20"/>
          <w:color w:val="auto"/>
        </w:rPr>
      </w:pPr>
    </w:p>
    <w:p>
      <w:pPr>
        <w:ind w:left="4987"/>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71475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9566"/>
          </w:cols>
          <w:pgMar w:left="893" w:top="796" w:right="1440" w:bottom="1440" w:gutter="0" w:footer="0" w:header="0"/>
        </w:sectPr>
      </w:pPr>
    </w:p>
    <w:bookmarkStart w:id="5" w:name="page6"/>
    <w:bookmarkEnd w:id="5"/>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“Qinson Ltd.” refers to Qinson Ltd., a British Virgin Islands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“Qinson Singapore” refers to Qinson Singapore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AU” refers to Ridik Technology (Australia) Pty. Ltd., formerly CLPS-Ridik Technology (Australia) Pty. Ltd., an Australia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BVI” refers to Ridik Ltd., formerly CLPS-Beefinance Holding Limited, a British Virgin Islands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Canada” refers to Ridik Technology Canada Limited, a Canada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Consulting” refers to Ridik Consulting Private Limited, an India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Dubai” refers to Ridik Technology Ltd., a United Arab Emirates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Indonesia” refers to PT Ridik Fintech Services, an Indonesia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Pte.” refers to Ridik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Philippines” refers to RIDIK TECHNOLOGY (PHILIPPINES) CORP., formerly CLPS TECHNOLOGY (PHILIPPINES) CORP., a Philippine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Sdn.” refers to Ridik Sdn. Bhd., a Malaysia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Software” refers to Ridik Software Solutions Ltd., a UK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Software Pte.” refers to Ridik Software Solutions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Tech Services” refers to Ridik Technology Services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“Shanghai Chenqin” refers to Shanghai Chenqin Information Technology Services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“Shanghai Qinhui” refers to Shanghai Qinhui Shang Information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“Shell Infotech Singapore” refers to Shell Infotech Pte. Ltd., a Singapore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“Shell Infotech Malaysia” refers to Shell Infotech Consulting Sdn. Bhd., a Malaysia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“SSIT” refers to Shanghai Shier Information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“Suzhou Ridik” refers to Suzhou Ridik Information Technology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“UniDev” refers to Beijing UniDev Software Co., Ltd., a PRC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“Yingjia Technology” refers to Shanghai Yingjia Technology Limited, a PRC company;</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references to “RMB,” “yuan” and “Renminbi” are to the legal currency of China, and all references to “USD,” and “U.S. dollars” are to the legal currency of the United States;</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and “Common Shares” refer to our shares, $0.0001 par value per share;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and “PRC” refer to the People’s Republic of China.</w:t>
      </w:r>
    </w:p>
    <w:p>
      <w:pPr>
        <w:spacing w:after="0" w:line="201"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7.1636 to USD1.00, the noon buying rate on June 30, 2025,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3"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6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for the success of our business.</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This Annual Report should be read in conjunction with our audited financial statements and the accompanying notes thereto, which are included in Item 18 of this Annual Report.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7" w:name="page8"/>
    <w:bookmarkEnd w:id="7"/>
    <w:p>
      <w:pPr>
        <w:jc w:val="right"/>
        <w:ind w:right="425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1"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201" w:lineRule="exact"/>
        <w:rPr>
          <w:sz w:val="20"/>
          <w:szCs w:val="20"/>
          <w:color w:val="auto"/>
        </w:rPr>
      </w:pPr>
    </w:p>
    <w:p>
      <w:pPr>
        <w:ind w:left="760" w:hanging="187"/>
        <w:spacing w:after="0"/>
        <w:tabs>
          <w:tab w:leader="none" w:pos="7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200" w:lineRule="exact"/>
        <w:rPr>
          <w:rFonts w:ascii="Times New Roman" w:cs="Times New Roman" w:eastAsia="Times New Roman" w:hAnsi="Times New Roman"/>
          <w:sz w:val="16"/>
          <w:szCs w:val="16"/>
          <w:b w:val="1"/>
          <w:bCs w:val="1"/>
          <w:color w:val="auto"/>
        </w:rPr>
      </w:pPr>
    </w:p>
    <w:p>
      <w:pPr>
        <w:ind w:left="760" w:hanging="187"/>
        <w:spacing w:after="0"/>
        <w:tabs>
          <w:tab w:leader="none" w:pos="760"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Capitalization and Indebtedness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 Reasons for the Offer and Use of Proceeds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3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6"/>
          <w:szCs w:val="16"/>
          <w:b w:val="1"/>
          <w:bCs w:val="1"/>
          <w:color w:val="auto"/>
        </w:rPr>
        <w:t>D. Risk factors</w:t>
      </w:r>
    </w:p>
    <w:p>
      <w:pPr>
        <w:spacing w:after="0" w:line="201"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A summary of risk factors is provided concisely below:</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203" w:lineRule="exact"/>
        <w:rPr>
          <w:sz w:val="20"/>
          <w:szCs w:val="20"/>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effectively manage our growth, which could place significant strain on our management personnel, systems and resources. We may not be able to achieve anticipated growth, which could materially and adversely affect our business and prospects.</w:t>
      </w:r>
    </w:p>
    <w:p>
      <w:pPr>
        <w:spacing w:after="0" w:line="143"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intense competition from onshore and offshore IT services companies, and, if we are unable to compete effectively, we may lose clients, and our revenues may decline.</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3"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substantially on the continuing efforts of our senior executives and other key personnel, and our business may be severely disrupted if we lose their services.</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 a significant portion of our revenues from a relatively small number of major clients and loss of business from these clients could reduce our revenues and significantly harm our business.</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collect our receivables from our clients, our results of operations and cash flows could be adversely affected.</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unsuccessful in entering into strategic alliances or identifying and acquiring suitable acquisition candidates, which could impede our growth and negatively affect our revenues and net income.</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do not succeed in attracting new clients for our services and or growing revenues from existing clients, we may not achieve our revenue growth goals.</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our recent development, evaluating our business and prospects may be difficult and our past results may not be indicative of our future performance.</w:t>
      </w:r>
    </w:p>
    <w:p>
      <w:pPr>
        <w:spacing w:after="0" w:line="143"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risks associated with having a long selling and implementation cycle for our services that require us to make significant resource commitments prior to realizing revenues for those services.</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profitability will suffer if we are not able to maintain our resource utilization levels and continue to improve our productivity levels.</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9" w:name="page10"/>
    <w:bookmarkEnd w:id="9"/>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wages for professionals in China could prevent us from sustaining our competitive advantage and could reduce our profit margins.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international nature of our business exposes us to risks that could adversely affect our financial condition and results of operations.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net revenues and results of operations are affected by seasonal trends.</w:t>
      </w:r>
    </w:p>
    <w:p>
      <w:pPr>
        <w:spacing w:after="0" w:line="200" w:lineRule="exact"/>
        <w:rPr>
          <w:rFonts w:ascii="Times New Roman" w:cs="Times New Roman" w:eastAsia="Times New Roman" w:hAnsi="Times New Roman"/>
          <w:sz w:val="16"/>
          <w:szCs w:val="16"/>
          <w:color w:val="auto"/>
        </w:rPr>
      </w:pPr>
    </w:p>
    <w:p>
      <w:pPr>
        <w:ind w:left="287"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forced to reduce the prices of our services due to increased competition and reduced bargaining power with our clients, which could lead to reduced revenues and profitability.</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cause disruptions to our clients’ businesses or provide inadequate service, our clients may have claims for substantial damages against us, and as a result our profits may be substantially reduced.</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liable to our clients for damages caused by unauthorized disclosure of sensitive and confidential information, whether through our employees or otherwise.</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prevent others from unauthorized use of intellectual property of our clients, which could harm our business and competitive position.</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able to prevent others from unauthorized use of our intellectual property, which could cause a loss of clients, reduce our revenues and harm our competitive position.</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losses resulting from business interruptions resulting from occurrence of natural disasters, health epidemics and other outbreaks or events.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 in the value of the Renminbi and other currencies may have a material adverse effect on the value of your investment.</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could adversely affect our business and the value of our securities.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Legislation in certain countries in which we have clients may restrict companies in those countries from outsourcing work to us.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in telecommunications or significant failure in our IT systems could harm our service model, which could result in a reduction of our revenue.</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computer networks may be vulnerable to security risks that could disrupt our services and adversely affect our results of operations.</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336" w:lineRule="exact"/>
        <w:rPr>
          <w:sz w:val="20"/>
          <w:szCs w:val="20"/>
          <w:color w:val="auto"/>
        </w:rPr>
      </w:pPr>
    </w:p>
    <w:p>
      <w:pPr>
        <w:ind w:left="5007"/>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71475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687"/>
          </w:cols>
          <w:pgMar w:left="893" w:top="796" w:right="319" w:bottom="1440" w:gutter="0" w:footer="0" w:header="0"/>
        </w:sectPr>
      </w:pPr>
    </w:p>
    <w:bookmarkStart w:id="10" w:name="page11"/>
    <w:bookmarkEnd w:id="10"/>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Corporate Structure</w:t>
      </w:r>
    </w:p>
    <w:p>
      <w:pPr>
        <w:spacing w:after="0" w:line="203" w:lineRule="exact"/>
        <w:rPr>
          <w:sz w:val="20"/>
          <w:szCs w:val="20"/>
          <w:color w:val="auto"/>
        </w:rPr>
      </w:pPr>
    </w:p>
    <w:p>
      <w:pPr>
        <w:ind w:left="287" w:hanging="287"/>
        <w:spacing w:after="0"/>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likely not pay dividends in the foreseeable future.</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may be materially and adversely affected if any of our Chinese subsidiaries declare bankruptcy or become subject to a dissolution or liquidation proceeding.</w:t>
      </w:r>
    </w:p>
    <w:p>
      <w:pPr>
        <w:spacing w:after="0" w:line="143" w:lineRule="exact"/>
        <w:rPr>
          <w:rFonts w:ascii="Times New Roman" w:cs="Times New Roman" w:eastAsia="Times New Roman" w:hAnsi="Times New Roman"/>
          <w:sz w:val="16"/>
          <w:szCs w:val="16"/>
          <w:color w:val="auto"/>
        </w:rPr>
      </w:pPr>
    </w:p>
    <w:p>
      <w:pPr>
        <w:ind w:left="287" w:hanging="287"/>
        <w:spacing w:after="0" w:line="283"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43" w:lineRule="exact"/>
        <w:rPr>
          <w:rFonts w:ascii="Times New Roman" w:cs="Times New Roman" w:eastAsia="Times New Roman" w:hAnsi="Times New Roman"/>
          <w:sz w:val="16"/>
          <w:szCs w:val="16"/>
          <w:color w:val="auto"/>
        </w:rPr>
      </w:pPr>
    </w:p>
    <w:p>
      <w:pPr>
        <w:jc w:val="both"/>
        <w:ind w:left="287" w:right="20" w:hanging="287"/>
        <w:spacing w:after="0" w:line="267" w:lineRule="auto"/>
        <w:tabs>
          <w:tab w:leader="none" w:pos="28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continuing compliance with the PRC state regulatory rules, policies and procedures applicable to our industry, or if any policy or measure underpinning our preferential treatment be repealed or amended, we may risk losing certain preferential tax and other treatments which may adversely affect the viability of our current corporate structure, corporate governance and business operations.</w:t>
      </w:r>
    </w:p>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03" w:lineRule="exact"/>
        <w:rPr>
          <w:sz w:val="20"/>
          <w:szCs w:val="20"/>
          <w:color w:val="auto"/>
        </w:rPr>
      </w:pPr>
    </w:p>
    <w:p>
      <w:pPr>
        <w:ind w:left="287" w:right="20" w:hanging="287"/>
        <w:spacing w:after="0" w:line="283" w:lineRule="auto"/>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uncertainties exist with respect to the interpretation and implementation of Cyber Security Law as well as any impact it may have on our business operations.</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the PRC legal system could have a material adverse effect on us.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of Intervention or Control by the PRC Government.</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regulators’ ability to conduct investigations or enforce rules in China is limited.</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uncertainty regarding the PRC tax reporting obligations and consequences for certain indirect transfers of the stock of our operating company.</w:t>
      </w:r>
    </w:p>
    <w:p>
      <w:pPr>
        <w:spacing w:after="0" w:line="200" w:lineRule="exact"/>
        <w:rPr>
          <w:rFonts w:ascii="Times New Roman" w:cs="Times New Roman" w:eastAsia="Times New Roman" w:hAnsi="Times New Roman"/>
          <w:sz w:val="16"/>
          <w:szCs w:val="16"/>
          <w:color w:val="auto"/>
        </w:rPr>
      </w:pPr>
    </w:p>
    <w:p>
      <w:pPr>
        <w:jc w:val="both"/>
        <w:ind w:left="287" w:right="20" w:hanging="287"/>
        <w:spacing w:after="0" w:line="267" w:lineRule="auto"/>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55"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336" w:lineRule="exact"/>
        <w:rPr>
          <w:sz w:val="20"/>
          <w:szCs w:val="20"/>
          <w:color w:val="auto"/>
        </w:rPr>
      </w:pPr>
    </w:p>
    <w:p>
      <w:pPr>
        <w:ind w:left="5007"/>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714756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687"/>
          </w:cols>
          <w:pgMar w:left="893" w:top="794" w:right="319" w:bottom="1440" w:gutter="0" w:footer="0" w:header="0"/>
        </w:sectPr>
      </w:pPr>
    </w:p>
    <w:bookmarkStart w:id="11" w:name="page12"/>
    <w:bookmarkEnd w:id="11"/>
    <w:p>
      <w:pPr>
        <w:ind w:left="287" w:hanging="287"/>
        <w:spacing w:after="0"/>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control of currency conversion may limit our ability to use our revenues effectively and the ability of our PRC subsidiaries to obtain financing.</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classified as a “resident enterprise” for PRC enterprise income tax purposes; such classification could result in unfavorable tax consequences to us and our non-PRC shareholders.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43" w:lineRule="exact"/>
        <w:rPr>
          <w:rFonts w:ascii="Times New Roman" w:cs="Times New Roman" w:eastAsia="Times New Roman" w:hAnsi="Times New Roman"/>
          <w:sz w:val="16"/>
          <w:szCs w:val="16"/>
          <w:color w:val="auto"/>
        </w:rPr>
      </w:pPr>
    </w:p>
    <w:p>
      <w:pPr>
        <w:ind w:left="287"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to comply with PRC regulations regarding the registration requirements for employee stock incentive plans may subject the PRC plan participants or us to fines and other legal or administrative sanctions.</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Enhanced scrutiny over acquisition transactions by the PRC tax authorities may have a negative impact on potential acquisitions we may pursue in the future.</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current employment practices may be restricted under the PRC Labor Contract Law and our labor costs may increase as a result.</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uncertainties with respect to regulatory cooperation between PCAOB and Chinese regulators under the Statement of Protocol signed by the PCAOB and the CSRC of the People’s Republic of China on August 26, 2022.</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Foreign Companies Accountable Act could result in delisting of our common stock from Nasdaq Capital Market and lack of a readily available market for our common stock.</w:t>
      </w:r>
    </w:p>
    <w:p>
      <w:pPr>
        <w:spacing w:after="0" w:line="143" w:lineRule="exact"/>
        <w:rPr>
          <w:rFonts w:ascii="Times New Roman" w:cs="Times New Roman" w:eastAsia="Times New Roman" w:hAnsi="Times New Roman"/>
          <w:sz w:val="16"/>
          <w:szCs w:val="16"/>
          <w:color w:val="auto"/>
        </w:rPr>
      </w:pPr>
    </w:p>
    <w:p>
      <w:pPr>
        <w:jc w:val="both"/>
        <w:ind w:left="287" w:hanging="287"/>
        <w:spacing w:after="0" w:line="261"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current version of HFCAA, an SEC ban on trading shares of Common Stock in the U.S. could take place if we have a Listed Auditor (a public auditor that cannot be completely audited and investigated by the PCAOB for two consecutive fiscal years).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61" w:lineRule="exact"/>
        <w:rPr>
          <w:rFonts w:ascii="Times New Roman" w:cs="Times New Roman" w:eastAsia="Times New Roman" w:hAnsi="Times New Roman"/>
          <w:sz w:val="16"/>
          <w:szCs w:val="16"/>
          <w:color w:val="auto"/>
        </w:rPr>
      </w:pPr>
    </w:p>
    <w:p>
      <w:pPr>
        <w:jc w:val="both"/>
        <w:ind w:left="287" w:right="20" w:hanging="287"/>
        <w:spacing w:after="0" w:line="257"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Efforts to increase U.S. Regulatory access to information about companies in mainland China or Hong Kong SAR in order to enhance transparency for investors in U.S. corporations traded on U.S. stock markets but with substantial operations in mainland China or Hong Kong SAR, like the Company, and Chinese opposition and reaction to those U.S. efforts could foster additional measures to restrict access to U.S. capital markets by such corporations or expedite delisting of securities of such corporations from U.S. stock markets and quotation systems. The enactment of the Accelerating Holding Foreign Companies Accountable Act has decreased the number of non-inspection years from three to two years under HFCAA, thus reducing the time period before our shares of Common Stock may be banned from being traded in the U.S.</w:t>
      </w:r>
    </w:p>
    <w:p>
      <w:pPr>
        <w:spacing w:after="0" w:line="164" w:lineRule="exact"/>
        <w:rPr>
          <w:rFonts w:ascii="Times New Roman" w:cs="Times New Roman" w:eastAsia="Times New Roman" w:hAnsi="Times New Roman"/>
          <w:sz w:val="16"/>
          <w:szCs w:val="16"/>
          <w:color w:val="auto"/>
        </w:rPr>
      </w:pPr>
    </w:p>
    <w:p>
      <w:pPr>
        <w:jc w:val="both"/>
        <w:ind w:left="287" w:right="20" w:hanging="287"/>
        <w:spacing w:after="0" w:line="267"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55"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recent government regulation of business activities of U.S.-listed Chinese companies may negatively impact our operations.</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the PRC legal system, including uncertainties regarding the enforcement of laws, and sudden or unexpected changes in policies, laws and regulations in China, could adversely affect us.</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Permissions Required from the PRC Authorities for Our Operations</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approval or other administrative requirements of the CSRC or other PRC government authorities may be required to maintain our listing status or conduct future offshore securities or debt offerings.</w:t>
      </w:r>
    </w:p>
    <w:p>
      <w:pPr>
        <w:spacing w:after="0" w:line="336" w:lineRule="exact"/>
        <w:rPr>
          <w:sz w:val="20"/>
          <w:szCs w:val="20"/>
          <w:color w:val="auto"/>
        </w:rPr>
      </w:pPr>
    </w:p>
    <w:p>
      <w:pPr>
        <w:ind w:left="5007"/>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71475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687"/>
          </w:cols>
          <w:pgMar w:left="893" w:top="796" w:right="319" w:bottom="1440" w:gutter="0" w:footer="0" w:header="0"/>
        </w:sectPr>
      </w:pPr>
    </w:p>
    <w:bookmarkStart w:id="12" w:name="page13"/>
    <w:bookmarkEnd w:id="12"/>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subsidiaries in mainland China are subject to restrictions on paying dividends and making other payments to our holding company.</w:t>
      </w:r>
    </w:p>
    <w:p>
      <w:pPr>
        <w:spacing w:after="0" w:line="200" w:lineRule="exact"/>
        <w:rPr>
          <w:rFonts w:ascii="Times New Roman" w:cs="Times New Roman" w:eastAsia="Times New Roman" w:hAnsi="Times New Roman"/>
          <w:sz w:val="16"/>
          <w:szCs w:val="16"/>
          <w:color w:val="auto"/>
        </w:rPr>
      </w:pPr>
    </w:p>
    <w:p>
      <w:pPr>
        <w:jc w:val="both"/>
        <w:ind w:left="287" w:right="20" w:hanging="287"/>
        <w:spacing w:after="0" w:line="267"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55"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meet regulatory requirements to prepare sufficiently for cybersecurity incident.</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meet continued listing standards on the NASDAQ Global Market.</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price for our shares may be volatile.</w:t>
      </w:r>
    </w:p>
    <w:p>
      <w:pPr>
        <w:spacing w:after="0" w:line="200" w:lineRule="exact"/>
        <w:rPr>
          <w:rFonts w:ascii="Times New Roman" w:cs="Times New Roman" w:eastAsia="Times New Roman" w:hAnsi="Times New Roman"/>
          <w:sz w:val="16"/>
          <w:szCs w:val="16"/>
          <w:color w:val="auto"/>
        </w:rPr>
      </w:pPr>
    </w:p>
    <w:p>
      <w:pPr>
        <w:jc w:val="both"/>
        <w:ind w:left="287" w:hanging="287"/>
        <w:spacing w:after="0" w:line="267"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55"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Judgments obtained against us by our shareholders may not be enforceable.</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 foreign private issuer and, as a result, will not be subject to U.S. proxy rules and will be subject to more lenient and less frequent Exchange Act reporting obligations than a U.S. issuer.</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lose our foreign private issuer status in the future, which could result in significant additional costs and expenses.</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exposed to risks relating to evaluations of controls required by Sarbanes-Oxley Act of 2002.</w:t>
      </w:r>
    </w:p>
    <w:p>
      <w:pPr>
        <w:spacing w:after="0" w:line="200"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continue to reply on exemption from auditor attestation requirements as a non-accelerated filer.</w:t>
      </w:r>
    </w:p>
    <w:p>
      <w:pPr>
        <w:spacing w:after="0" w:line="200"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classified as a passive foreign investment company, which could result in adverse U.S. federal income tax consequences to U.S. holders of our common shares.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securities or industry analysts do not publish research or publish inaccurate or unfavorable research about our business, the market price for our common shares and trading volume could decline.</w:t>
      </w:r>
    </w:p>
    <w:p>
      <w:pPr>
        <w:spacing w:after="0" w:line="143" w:lineRule="exact"/>
        <w:rPr>
          <w:rFonts w:ascii="Times New Roman" w:cs="Times New Roman" w:eastAsia="Times New Roman" w:hAnsi="Times New Roman"/>
          <w:sz w:val="16"/>
          <w:szCs w:val="16"/>
          <w:color w:val="auto"/>
        </w:rPr>
      </w:pPr>
    </w:p>
    <w:p>
      <w:pPr>
        <w:ind w:left="287" w:hanging="287"/>
        <w:spacing w:after="0"/>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corporate structure, together with applicable law, may impede shareholders from asserting claims against us and our principals.</w:t>
      </w:r>
    </w:p>
    <w:p>
      <w:pPr>
        <w:spacing w:after="0" w:line="200" w:lineRule="exact"/>
        <w:rPr>
          <w:rFonts w:ascii="Times New Roman" w:cs="Times New Roman" w:eastAsia="Times New Roman" w:hAnsi="Times New Roman"/>
          <w:sz w:val="16"/>
          <w:szCs w:val="16"/>
          <w:color w:val="auto"/>
        </w:rPr>
      </w:pPr>
    </w:p>
    <w:p>
      <w:pPr>
        <w:ind w:left="287" w:hanging="287"/>
        <w:spacing w:after="0" w:line="283"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43" w:lineRule="exact"/>
        <w:rPr>
          <w:rFonts w:ascii="Times New Roman" w:cs="Times New Roman" w:eastAsia="Times New Roman" w:hAnsi="Times New Roman"/>
          <w:sz w:val="16"/>
          <w:szCs w:val="16"/>
          <w:color w:val="auto"/>
        </w:rPr>
      </w:pPr>
    </w:p>
    <w:p>
      <w:pPr>
        <w:ind w:left="287" w:right="20" w:hanging="287"/>
        <w:spacing w:after="0" w:line="283" w:lineRule="auto"/>
        <w:tabs>
          <w:tab w:leader="none" w:pos="287"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conditions, geopolitical conditions, U.S.-China trade relations and other factors beyond the Company’s control may adversely impact our business and operating results.</w:t>
      </w:r>
    </w:p>
    <w:p>
      <w:pPr>
        <w:spacing w:after="0" w:line="336" w:lineRule="exact"/>
        <w:rPr>
          <w:sz w:val="20"/>
          <w:szCs w:val="20"/>
          <w:color w:val="auto"/>
        </w:rPr>
      </w:pPr>
    </w:p>
    <w:p>
      <w:pPr>
        <w:ind w:left="5007"/>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71475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687"/>
          </w:cols>
          <w:pgMar w:left="893" w:top="796"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Our Business</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effectively manage our growth, which could place significant strain on our management personnel, systems and resources. We may not be able to achieve anticipated growth, which could materially and adversely affect our business and prospects.</w:t>
      </w:r>
    </w:p>
    <w:p>
      <w:pPr>
        <w:spacing w:after="0" w:line="140" w:lineRule="exact"/>
        <w:rPr>
          <w:sz w:val="20"/>
          <w:szCs w:val="20"/>
          <w:color w:val="auto"/>
        </w:rPr>
      </w:pPr>
    </w:p>
    <w:p>
      <w:pPr>
        <w:jc w:val="both"/>
        <w:ind w:right="20" w:firstLine="577"/>
        <w:spacing w:after="0" w:line="256" w:lineRule="auto"/>
        <w:rPr>
          <w:sz w:val="20"/>
          <w:szCs w:val="20"/>
          <w:color w:val="auto"/>
        </w:rPr>
      </w:pPr>
      <w:r>
        <w:rPr>
          <w:rFonts w:ascii="Times New Roman" w:cs="Times New Roman" w:eastAsia="Times New Roman" w:hAnsi="Times New Roman"/>
          <w:sz w:val="16"/>
          <w:szCs w:val="16"/>
          <w:color w:val="auto"/>
        </w:rPr>
        <w:t>Our revenues decreased from $150.4 million in fiscal 2023 to $142.8 million in fiscal 2024, and increased to $164.5 million in fiscal 2025 primarily due to the increased demands for our IT consulting services from banks and other financial institutions. We operate across 10 countries worldwide, with strategic regional hubs in Shanghai (mainland China), Singapore (Southeast Asia), and California (North America), and supported by subsidiaries in Japan and the UAE, to serve different customers in various geographic locations. The number of our total employees was 3,509 in fiscal 2023 and 3,325 in fiscal 2024. As of June 30, 2025 we had 3,534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65" w:lineRule="exact"/>
        <w:rPr>
          <w:sz w:val="20"/>
          <w:szCs w:val="20"/>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recruiting, training, developing and retaining sufficient IT talent and management personnel;</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creating and capitalizing upon economies of scale;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a larger number of clients in a greater number of industries and locations;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effective oversight of personnel and offices;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work among offices and project teams and maintaining high resource utilization rates;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integrating new management personnel and expanded operations while preserving our culture and core values;</w:t>
      </w:r>
    </w:p>
    <w:p>
      <w:pPr>
        <w:spacing w:after="0" w:line="200"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improving our internal administrative infrastructure, particularly our financial, operational, human resources, communications and other internal systems, procedures and controls; and</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adhering to and further improving our high quality and process execution standards and maintaining high levels of client satisfaction.</w:t>
      </w:r>
    </w:p>
    <w:p>
      <w:pPr>
        <w:spacing w:after="0" w:line="201"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4" w:name="page15"/>
    <w:bookmarkEnd w:id="14"/>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40"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delay their IT spending or change their IT outsourcing strategy, and reduce their purchases from us. The recent global economic slowdown and any future economic slowdown, and the resulting reduction in IT spending, could also lead to increased pricing pressure from our clients. The occurrence of any of these events could materially and adversely affect our revenues and results of operations.</w:t>
      </w:r>
    </w:p>
    <w:p>
      <w:pPr>
        <w:spacing w:after="0" w:line="1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face intense competition from onshore and offshore IT services companies, and, if we are unable to compete effectively, we may lose clients, and our revenues may decline.</w:t>
      </w:r>
    </w:p>
    <w:p>
      <w:pPr>
        <w:spacing w:after="0" w:line="14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in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65"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0" w:lineRule="exact"/>
        <w:rPr>
          <w:sz w:val="20"/>
          <w:szCs w:val="20"/>
          <w:color w:val="auto"/>
        </w:rPr>
      </w:pPr>
    </w:p>
    <w:p>
      <w:pPr>
        <w:jc w:val="both"/>
        <w:ind w:right="20" w:firstLine="577"/>
        <w:spacing w:after="0" w:line="253" w:lineRule="auto"/>
        <w:rPr>
          <w:sz w:val="20"/>
          <w:szCs w:val="20"/>
          <w:color w:val="auto"/>
        </w:rPr>
      </w:pPr>
      <w:r>
        <w:rPr>
          <w:rFonts w:ascii="Times New Roman" w:cs="Times New Roman" w:eastAsia="Times New Roman" w:hAnsi="Times New Roman"/>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annual voluntarily attrition rates were 18% and 18.6% in fiscal 2023 and fiscal 2024, respectively; in fiscal 2025, this rate was 14.5%. We may encounter higher attrition rates in the future.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Talent Creation Program (“TCP”) and Talent Development Program (“TDP”)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5" w:name="page16"/>
    <w:bookmarkEnd w:id="15"/>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40"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Our future success heavily depends upon the continued services of our senior executives and other key employees. In particular, we rely on the expertise, experience, client relationships and reputation of Xiao Feng Yang, our Chairman of the Board. We currently do not maintain key-man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in light of the uncertainties with China’s legal system.</w:t>
      </w:r>
    </w:p>
    <w:p>
      <w:pPr>
        <w:spacing w:after="0" w:line="17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40"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We believe that in the foreseeable future we will continue to derive a significant portion of our revenues from a small number of major clients. For the fiscal year ended June 30, 2025, our top client accounted for 13.4% of the Company’s total revenue. Citibank and its affiliates accounted for 16.7% and 21.4% of the Company’s total revenues for the fiscal years 2024 and 2023, respectively. For fiscal years 2025 and 2024, substantially all services provided by the Company to its top client and to Citibank consisted of IT consulting services, which were billed through time-and-expense contracts.</w:t>
      </w:r>
    </w:p>
    <w:p>
      <w:pPr>
        <w:spacing w:after="0" w:line="162"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As result of its strategic shift, Citibank, one of our major clients, exited the consumer banking business in China and reduced the size of its technology employee workforce in its China Citi Solution Centers located in Shanghai and Dalian. While we still generated revenue from Citibank during fiscal 2025, the significant decrease in business volume negatively impacted our financial performance and may continue to affect our financial results in subsequent periods. There can be no assurance that we will be able to replace the lost revenue from Citibank with new customer engagements in a timely manner or on comparable terms. The loss of any other major customer, or the failure to secure new long-term contracts, could further adversely affect our business, financial condition, and results of operations.</w:t>
      </w:r>
    </w:p>
    <w:p>
      <w:pPr>
        <w:spacing w:after="0" w:line="162" w:lineRule="exact"/>
        <w:rPr>
          <w:sz w:val="20"/>
          <w:szCs w:val="20"/>
          <w:color w:val="auto"/>
        </w:rPr>
      </w:pPr>
    </w:p>
    <w:p>
      <w:pPr>
        <w:jc w:val="both"/>
        <w:ind w:right="20" w:firstLine="577"/>
        <w:spacing w:after="0" w:line="254" w:lineRule="auto"/>
        <w:rPr>
          <w:sz w:val="20"/>
          <w:szCs w:val="20"/>
          <w:color w:val="auto"/>
        </w:rPr>
      </w:pPr>
      <w:r>
        <w:rPr>
          <w:rFonts w:ascii="Times New Roman" w:cs="Times New Roman" w:eastAsia="Times New Roman" w:hAnsi="Times New Roman"/>
          <w:sz w:val="16"/>
          <w:szCs w:val="16"/>
          <w:color w:val="auto"/>
        </w:rPr>
        <w:t>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one and three years. A major client in one year may not provide the same level of revenues for us in any subsequent year. The IT services we provide to our clients, and the revenues and income from those services, may decline or vary as the type and quantity of IT services we provide change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collect our receivables from our clients, our results of operations and cash flows could be adversely affected.</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Our business depends on our ability to successfully obtain payment from our clients of the amounts they owe us for work performed. As of June 30, 2025 and 2024, our accounts receivable balance, net of allowance, amounted to approximately $44.9 million and $38.8 million, respectively. As of the years ended June 30, 2025 and 2024, the Company’s top client and Citibank accounted for 7.6% and 14.5% of the its total accounts receivable balance, respectively. Since we generally do not require collateral or other security from our clients, we establish an allowance for credit losses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6" w:name="page17"/>
    <w:bookmarkEnd w:id="16"/>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40"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The market for our services is characterized by rapid technological changes, evolving industry standards, changing client preferences and new product and service introductions. Our future growth and success depend significantly on our ability to anticipate developments in IT services,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6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40"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40"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56" w:lineRule="exact"/>
        <w:rPr>
          <w:sz w:val="20"/>
          <w:szCs w:val="20"/>
          <w:color w:val="auto"/>
        </w:rPr>
      </w:pPr>
    </w:p>
    <w:p>
      <w:pPr>
        <w:ind w:left="860" w:hanging="287"/>
        <w:spacing w:after="0"/>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integrating operations, services and personnel in a timely and efficient manner;</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unforeseen or undisclosed liabilities;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generating sufficient revenue and net income to offset acquisition costs;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loss of, or harm to, employee or client relationships;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7" w:name="page18"/>
    <w:bookmarkEnd w:id="17"/>
    <w:p>
      <w:pPr>
        <w:ind w:left="860" w:hanging="287"/>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properly structuring our acquisition consideration and any related post-acquisition earn-outs and successfully monitoring any earn-out calculations and payments;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retaining key senior management and key sales and marketing and research and development personnel;</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incompatibility of solutions, services and technology or corporate cultures;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consolidating and rationalizing corporate, information technology and administrative infrastructures;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integrating and documenting processes and controls;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entry into unfamiliar markets; and</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complexity from potentially operating additional geographically dispersed sites, particularly if we acquire a company or business with facilities or operations outside of China.</w:t>
      </w:r>
    </w:p>
    <w:p>
      <w:pPr>
        <w:spacing w:after="0" w:line="143" w:lineRule="exact"/>
        <w:rPr>
          <w:sz w:val="20"/>
          <w:szCs w:val="20"/>
          <w:color w:val="auto"/>
        </w:rPr>
      </w:pPr>
    </w:p>
    <w:p>
      <w:pPr>
        <w:jc w:val="both"/>
        <w:ind w:right="20" w:firstLine="577"/>
        <w:spacing w:after="0" w:line="256" w:lineRule="auto"/>
        <w:rPr>
          <w:sz w:val="20"/>
          <w:szCs w:val="20"/>
          <w:color w:val="auto"/>
        </w:rPr>
      </w:pPr>
      <w:r>
        <w:rPr>
          <w:rFonts w:ascii="Times New Roman" w:cs="Times New Roman" w:eastAsia="Times New Roman" w:hAnsi="Times New Roman"/>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do not succeed in attracting new clients for our services and or growing revenues from existing clients, we may not achieve our revenue growth goals.</w:t>
      </w:r>
    </w:p>
    <w:p>
      <w:pPr>
        <w:spacing w:after="0" w:line="205"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plan to expand the number of clients we serve to diversify our client base and grow our revenues. Revenues from a new client often rise quickly over the first several years following our initial engagement as we expand the services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 a result of our recent development, evaluating our business and prospects may be difficult and our past results may not be indicative of our future performance.</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Our future success depends on our ability to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are at the forefront of driving digital transformation and optimizing operational efficiency across industries through innovations in artificial intelligence, cloud computing, and big data. Our diverse business lines span sectors including fintech, payment and credit services, e-commerce, education and study abroad programs, and global tourism integrated with transportation services. We have expanded our focus on AI and automation by applying AI-enabled solutions. We established the CLPS AI Innovation Committee to oversee the development of next-generation intelligent solutions to support business growth. In addition, we launched Nibot, our proprietary Robotic Process Automation (“RPA”) product, to expand automation services globally across industries such as finance, e-commerce, logistics, healthcare, and manufacturing.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67" w:lineRule="exact"/>
        <w:rPr>
          <w:sz w:val="20"/>
          <w:szCs w:val="20"/>
          <w:color w:val="auto"/>
        </w:rPr>
      </w:pPr>
    </w:p>
    <w:p>
      <w:pPr>
        <w:ind w:left="860" w:hanging="287"/>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uncertainties associated with our ability to continue our growth and maintain profitability;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preserving our competitive position in the IT services industry in China;</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 consistent and high-quality services to retain and attract clients;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8" w:name="page19"/>
    <w:bookmarkEnd w:id="18"/>
    <w:p>
      <w:pPr>
        <w:ind w:left="860" w:hanging="287"/>
        <w:spacing w:after="0"/>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our strategy and modifying it from time to time to respond effectively to competition and changes in client preferences;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expanding operations and successfully expanding our solution and service offerings;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responding in a timely manner to technological or other changes in the IT services industry;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risks associated with intellectual property;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recruiting, training, developing and retaining qualified managerial and other personnel.</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we are unsuccessful in addressing any of these risks or challenges, our business may be materially and adversely affected.</w:t>
      </w:r>
    </w:p>
    <w:p>
      <w:pPr>
        <w:spacing w:after="0" w:line="19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40"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We have a long selling cycle for our technology services, which requires significant investment of capital, human resources and time by both our clients and us. In our IT consulting service request, we collect service fees on monthly and quarterly basis; in our customized IT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profitability will suffer if we are not able to maintain our resource utilization levels and continue to improve our productivity levels.</w:t>
      </w:r>
    </w:p>
    <w:p>
      <w:pPr>
        <w:spacing w:after="0" w:line="20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9" w:name="page20"/>
    <w:bookmarkEnd w:id="19"/>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A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40"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A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wages for professionals in China could prevent us from sustaining our competitive advantage and could reduce our profit margins.</w:t>
      </w:r>
    </w:p>
    <w:p>
      <w:pPr>
        <w:spacing w:after="0" w:line="20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international nature of our business exposes us to risks that could adversely affect our financial condition and results of operations.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43" w:lineRule="exact"/>
        <w:rPr>
          <w:sz w:val="20"/>
          <w:szCs w:val="20"/>
          <w:color w:val="auto"/>
        </w:rPr>
      </w:pPr>
    </w:p>
    <w:p>
      <w:pPr>
        <w:ind w:left="860" w:hanging="287"/>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currency fluctuations between the Renminbi and the U.S. dollar and other currencies in which we transact business;</w:t>
      </w:r>
    </w:p>
    <w:p>
      <w:pPr>
        <w:spacing w:after="0" w:line="200"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adverse tax consequences, such as scrutiny of transfer pricing arrangements by authorities in the countries in which we operate;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and future tariffs and other trade barriers, including restrictions on technology and data transfers;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changes in regulatory requirements;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terrorist attacks and other acts of violence or war.</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occurrence of any of these events could have a material adverse effect on our results of operations and financial condition.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i w:val="1"/>
          <w:iCs w:val="1"/>
          <w:color w:val="auto"/>
        </w:rPr>
        <w:t>Our net revenues and results of operations are affected by seasonal trends.</w:t>
      </w:r>
    </w:p>
    <w:p>
      <w:pPr>
        <w:spacing w:after="0" w:line="20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40"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The services outsourcing industry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and/or reductions in our costs. Furthermore, we may be forced to reduce the prices of our services in response to offerings made by our competitors. Finally, we may not have the same level of bargaining power we have enjoyed in the past when it comes to negotiating the prices of our services.</w:t>
      </w:r>
    </w:p>
    <w:p>
      <w:pPr>
        <w:spacing w:after="0" w:line="1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40"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maintain commercial general or public liability insurance for specific clients in certain countries.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liable to our clients for damages caused by unauthorized disclosure of sensitive and confidential information, whether through our employees or otherwise.</w:t>
      </w:r>
    </w:p>
    <w:p>
      <w:pPr>
        <w:spacing w:after="0" w:line="20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prevent others from unauthorized use of intellectual property of our clients, which could harm our business and competitive position.</w:t>
      </w:r>
    </w:p>
    <w:p>
      <w:pPr>
        <w:spacing w:after="0" w:line="20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6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40"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2" w:name="page23"/>
    <w:bookmarkEnd w:id="22"/>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0"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6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0"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860" w:hanging="287"/>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investors’ perception of, and demand for, securities of technology services outsourcing companies;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conditions of the U.S. and other capital markets in which we may seek to raise funds;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results of operations and financial condition;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government regulation of foreign investment in China;</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political and other conditions in China;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PRC government policies relating to the borrowing and remittance outside China of foreign currency.</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3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40"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color w:val="auto"/>
        </w:rPr>
        <w:t>We may incur losses resulting from business interruptions resulting from occurrence of natural disasters, health epidemics and other outbreaks or events.</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Our operational facilities may be damaged in natural disasters such as earthquakes, floods, heavy rains, 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 in the value of the Renminbi and other currencies may have a material adverse effect on the value of your investment.</w:t>
      </w:r>
    </w:p>
    <w:p>
      <w:pPr>
        <w:spacing w:after="0" w:line="205" w:lineRule="exact"/>
        <w:rPr>
          <w:sz w:val="20"/>
          <w:szCs w:val="20"/>
          <w:color w:val="auto"/>
        </w:rPr>
      </w:pPr>
    </w:p>
    <w:p>
      <w:pPr>
        <w:jc w:val="both"/>
        <w:ind w:right="20" w:firstLine="577"/>
        <w:spacing w:after="0" w:line="254" w:lineRule="auto"/>
        <w:rPr>
          <w:sz w:val="20"/>
          <w:szCs w:val="20"/>
          <w:color w:val="auto"/>
        </w:rPr>
      </w:pPr>
      <w:r>
        <w:rPr>
          <w:rFonts w:ascii="Times New Roman" w:cs="Times New Roman" w:eastAsia="Times New Roman" w:hAnsi="Times New Roman"/>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(SGD), Hong Kong dollar (HKD), Indian rupee (INR), Malaysian ringgit (MYR), Japanese yen (JPY), Philippine peso (PHP), Canadian dollar (CAD), The United Arab Emirates Dirham(AED), and Indonesian rupiah (IDR) in certain of our operating subsidiaries.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69"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adversely affect our business and the value of our securities.</w:t>
      </w:r>
    </w:p>
    <w:p>
      <w:pPr>
        <w:spacing w:after="0" w:line="205" w:lineRule="exact"/>
        <w:rPr>
          <w:sz w:val="20"/>
          <w:szCs w:val="20"/>
          <w:color w:val="auto"/>
        </w:rPr>
      </w:pPr>
    </w:p>
    <w:p>
      <w:pPr>
        <w:jc w:val="both"/>
        <w:ind w:right="20" w:firstLine="577"/>
        <w:spacing w:after="0" w:line="254" w:lineRule="auto"/>
        <w:rPr>
          <w:sz w:val="20"/>
          <w:szCs w:val="20"/>
          <w:color w:val="auto"/>
        </w:rPr>
      </w:pPr>
      <w:r>
        <w:rPr>
          <w:rFonts w:ascii="Times New Roman" w:cs="Times New Roman" w:eastAsia="Times New Roman" w:hAnsi="Times New Roman"/>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Legislation in certain countries in which we have clients may restrict companies in those countries from outsourcing work to us.</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Disruptions in telecommunications or significant failure in our IT systems could harm our service model, which could result in a reduction of our revenue.</w:t>
      </w:r>
    </w:p>
    <w:p>
      <w:pPr>
        <w:spacing w:after="0" w:line="20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i w:val="1"/>
          <w:iCs w:val="1"/>
          <w:color w:val="auto"/>
        </w:rPr>
        <w:t>Our computer networks may be vulnerable to security risks that could disrupt our services and adversely affect our results of operations.</w:t>
      </w:r>
    </w:p>
    <w:p>
      <w:pPr>
        <w:spacing w:after="0" w:line="20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6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140"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independent registered public accounting firm has not conducted an audit of our internal control over financial reporting. It is possible that, had our independent registered public accounting firm conducted an audit of our internal control over financial reporting, such firm might have identified additional material weaknesses and deficiencies.</w:t>
      </w:r>
    </w:p>
    <w:p>
      <w:pPr>
        <w:spacing w:after="0" w:line="156"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Although we cease to be an “emerging growth company” on June 30, 2023 as such term is defined in the Jumpstart Our Business Startups Act (the “JOBS Act”), we are a non-accelerated filer and are exempt from Section 404 requirement to have auditor attestation on our internal control over financial reporting, therefore affording investors less statutory protection.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168"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6" w:name="page27"/>
    <w:bookmarkEnd w:id="26"/>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insurance coverage may be inadequate to protect us against losses.</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Although we maintain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likely not pay dividends in the foreseeable future.</w:t>
      </w:r>
    </w:p>
    <w:p>
      <w:pPr>
        <w:spacing w:after="0" w:line="20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The timing, amount, and form of future dividends (if any) are subject to the discretion of our Board of Directors, subject to certain requirements of Cayman Islands law and will depend on, among other things, our earnings, financial condition, capital requirements and other factors. In addition, our shareholders may by ordinary resolution declare a dividend, but no dividend may exceed the amount recommended by our directors. Although we paid special cash dividends of $0.13, $0.10, and $0.05 per share of common stock on November 24, 2024, December 13, 2023, and January 10, 2023, respectively, there is no assurance that our Board of Directors will declare future dividends, even if we remain profitable. The payment of dividends by entities organized in China is subject to limitations as described herein.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 We may experience difficulties in completing the administrative procedures necessary to obtain and remit foreign currency. Furthermore, if our subsidiaries in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business may be materially and adversely affected if any of our Chinese subsidiaries declare bankruptcy or become subject to a dissolution or liquidation proceeding.</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7" w:name="page28"/>
    <w:bookmarkEnd w:id="27"/>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40"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Pursuant to Company Law of P.R. China (2024 Revision), Foreign Investment Law of the People’s Republic of China (2020) and Implementing Regulations of the Foreign Investment Law of the People’s Republic of China (2020),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14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On August 8, 2006, six Chinese regulatory agencies, including the Ministry of Commerce of the People’s Republic of China (“MOFCOM”), jointly issued the Regulations on Mergers and Acquisitions of Domestic Enterprises by Foreign Investors, which was amended on June 22, 2009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69"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spacing w:after="0" w:line="171"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28" w:name="page29"/>
    <w:bookmarkEnd w:id="28"/>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7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40"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6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continuing compliance with the PRC state regulatory rules, policies and procedures applicable to our industry, or if any policy or measure underpinning our preferential treatment be repealed or amended, we may risk losing certain preferential tax and other treatments which may adversely affect the viability of our current corporate structure, corporate governance and business operations.</w:t>
      </w:r>
    </w:p>
    <w:p>
      <w:pPr>
        <w:spacing w:after="0" w:line="15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According to the Catalogue of Industries for Encouraging Foreign Investment (2022)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If and to the extent we fail to maintain compliance with such applicable rules and regulations, our operations and financial results may be adversely affected.</w:t>
      </w:r>
    </w:p>
    <w:p>
      <w:pPr>
        <w:spacing w:after="0" w:line="163"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 xml:space="preserve">Notwithstanding the foregoing, we are aware that the State Council has promulgated the </w:t>
      </w:r>
      <w:r>
        <w:rPr>
          <w:rFonts w:ascii="Times New Roman" w:cs="Times New Roman" w:eastAsia="Times New Roman" w:hAnsi="Times New Roman"/>
          <w:sz w:val="16"/>
          <w:szCs w:val="16"/>
          <w:i w:val="1"/>
          <w:iCs w:val="1"/>
          <w:color w:val="auto"/>
        </w:rPr>
        <w:t>Regulation on Fair Competition Review</w:t>
      </w:r>
      <w:r>
        <w:rPr>
          <w:rFonts w:ascii="Times New Roman" w:cs="Times New Roman" w:eastAsia="Times New Roman" w:hAnsi="Times New Roman"/>
          <w:sz w:val="16"/>
          <w:szCs w:val="16"/>
          <w:color w:val="auto"/>
        </w:rPr>
        <w:t xml:space="preserve"> (the “RFCR”), which became effective on August 1, 2024. The RFCR prohibits any policy or measure that impacts production and operational costs, unless authorized by law, administrative regulations, or approved by the State Council. Such circumstances include, but are not limited to, the granting of tax incentives, selective or differentiated financial rewards, or subsidies to specific entities. The RFCR further mandates that market regulators establish and improve a spot-check mechanism for fair competition review and organize spot checks of the relevant policies or measures. In case of violation of the RFCR, the market regulator shall urge the drafting entity of the policy or measure in question to rectify the situation. As a result, we cannot guarantee the continued or permanent availability of these preferential treatments. Should any policy or measure underpinning our preferential treatment be repealed or amended, we may lose such advantages, potentially lead to adverse effects on our operations and financial performance.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199"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to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Substantial uncertainties exist with respect to the interpretation and implementation of Cyber Security Law as well as any impact it may have on our business operations.</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On July 1, 2015, the Standing Committee of the National People’s Congress issued the National Security Law, which came into effect on the same day. The National Security Law provides that the state shall safeguard its sovereignty, security and cybersecurity development interests, and that the government shall establish a national security review and supervision system to review, among other things, foreign investment, key technologies, internet and information technology products and services, and other important activities that are likely to impact the national security of China.</w:t>
      </w:r>
    </w:p>
    <w:p>
      <w:pPr>
        <w:spacing w:after="0" w:line="162"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On November 7, 2016, the Standing Committee of the National People’s Congress issued the Cyber Security Law, which came into effect on June 1, 2017. This is the first Chinese law that focuses exclusively on cyber security. The Cyber Security Law provides that network operators must set up internal security management systems that meets the requirements of a classified protection system for cybersecurity, including appointing dedicated cybersecurity personnel, taking technical measures to prevent computer viruses, network attacks and intrusions, taking technical measures to monitor and record network operation status and cybersecurity incidents, and taking data security measures such as data classification, backups and encryption. The Cyber Security Law also imposes a relatively vague but broad obligation to provide technical support and assistance to the public and state security authorities in connection with criminal investigations or for reasons of national security. The Cyber Security Law also requires network operators that provide network access or domain name registration services, landline or mobile phone network access, or that provide users with information publication or instant messaging services, to require users to provide a real identity when they sign up.</w:t>
      </w:r>
    </w:p>
    <w:p>
      <w:pPr>
        <w:spacing w:after="0" w:line="168"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The Cyber Security Law sets high requirements for the operational security of facilities deemed to be part of the PRC’s “critical information infrastructure.” These requirements include data localization, i.e., storing personal information and important business data in China, and national security review requirements for any network products or services that may have an impact on national security. Among other factors, “critical information infrastructure” is defined as critical information infrastructure, that will, in the event of destruction, loss of function or data leak, result in serious damage to national security, the national economy and people’s livelihood, or the public interest. Specific reference is made to key sectors such as public communication and information services, energy, transportation, water-resources, finance, public service and e-government.</w:t>
      </w:r>
    </w:p>
    <w:p>
      <w:pPr>
        <w:spacing w:after="0" w:line="16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On July 30, 2021, the State Council of the People’s Republic of China issued the Regulations on Security Protection of Critical Information Infrastructures, which came into effect on September 1, 2021. The Regulations on Security Protection of Critical Information Infrastructures provides that “critical information infrastructure” shall be identified by the “protection work departments” (the competent departments and supervision and administration departments of the important industries and fields, such as public communication and information service, energy, transportation, water resources, finance, public services, e-government affairs, science, technology and industry for national defense as well as other important network facilities and information system, etc. of which the destruction, loss of function and data divulgence may seriously endanger national security, people’s livelihood and public interests). A “protection work department” shall, in light of the actualities of the industry or field concerned, formulate the rules for identification of “critical information infrastructure” and submit the same to the public security department of the State Council for record-filing, and shall take the following factors into consideration in the rule formulating work: 1) Degree of importance of the network facilities and information system to the critical and core business of the industry or field concerned; 2) Extent of harm likely to be caused once the network facilities and information system, etc. are destroyed, lose functions or divulge data; and; 3) Correlation effect on other industries and fields. However, no official guidelines as to the scope of “critical information infrastructure” or identification rules of the “critical information infrastructure” of our industry or field have been formally issued.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30" w:name="page31"/>
    <w:bookmarkEnd w:id="30"/>
    <w:p>
      <w:pPr>
        <w:jc w:val="both"/>
        <w:ind w:left="4" w:right="20" w:firstLine="577"/>
        <w:spacing w:after="0" w:line="259" w:lineRule="auto"/>
        <w:rPr>
          <w:sz w:val="20"/>
          <w:szCs w:val="20"/>
          <w:color w:val="auto"/>
        </w:rPr>
      </w:pPr>
      <w:r>
        <w:rPr>
          <w:rFonts w:ascii="Times New Roman" w:cs="Times New Roman" w:eastAsia="Times New Roman" w:hAnsi="Times New Roman"/>
          <w:sz w:val="16"/>
          <w:szCs w:val="16"/>
          <w:color w:val="auto"/>
        </w:rPr>
        <w:t>We do not believe that we are an operator of “critical information infrastructure” as defined in the Cyber Security Law and the Regulations on Security Protection of Critical Information Infrastructures. However, there is no assurance that we may not be considered an operator of “critical information infrastructure” in the future as the definition is not precise, and there are substantial uncertainties as to the ultimate interpretation and implementation of the Cyber Security Law and the Regulations on Security Protection of Critical Information Infrastructures. If we are identified as an operator of “critical information infrastructure” accordingly, it could cause us to incur substantial costs or require us to change our business practices in a manner materially adverse to our business.</w:t>
      </w:r>
    </w:p>
    <w:p>
      <w:pPr>
        <w:spacing w:after="0" w:line="162" w:lineRule="exact"/>
        <w:rPr>
          <w:sz w:val="20"/>
          <w:szCs w:val="20"/>
          <w:color w:val="auto"/>
        </w:rPr>
      </w:pPr>
    </w:p>
    <w:p>
      <w:pPr>
        <w:jc w:val="both"/>
        <w:ind w:left="4" w:firstLine="577"/>
        <w:spacing w:after="0" w:line="261" w:lineRule="auto"/>
        <w:rPr>
          <w:sz w:val="20"/>
          <w:szCs w:val="20"/>
          <w:color w:val="auto"/>
        </w:rPr>
      </w:pPr>
      <w:r>
        <w:rPr>
          <w:rFonts w:ascii="Times New Roman" w:cs="Times New Roman" w:eastAsia="Times New Roman" w:hAnsi="Times New Roman"/>
          <w:sz w:val="16"/>
          <w:szCs w:val="16"/>
          <w:color w:val="auto"/>
        </w:rPr>
        <w:t>On September 24, 2024, CAC published Regulation on Network Data Security Management (hereinafter the “RNDSM”). Article 2 of the RNDSM stipulates that “This Regulation applies to network data handling activities and the supervision and administration of security thereof carried out within the territory of the People’s Republic of China.” We do not believe the current business of CLPS involves any “data handling processing activities”. In the foreseeable future, it is our understanding that CLPS will not engage in “data process activities”. Therefore, we believe that the Draft does not apply to CLPS. The Draft has no substantial impact on the business of CLPS.</w:t>
      </w:r>
    </w:p>
    <w:p>
      <w:pPr>
        <w:spacing w:after="0" w:line="162" w:lineRule="exact"/>
        <w:rPr>
          <w:sz w:val="20"/>
          <w:szCs w:val="20"/>
          <w:color w:val="auto"/>
        </w:rPr>
      </w:pPr>
    </w:p>
    <w:p>
      <w:pPr>
        <w:jc w:val="both"/>
        <w:ind w:left="4" w:firstLine="577"/>
        <w:spacing w:after="0" w:line="257" w:lineRule="auto"/>
        <w:rPr>
          <w:sz w:val="20"/>
          <w:szCs w:val="20"/>
          <w:color w:val="auto"/>
        </w:rPr>
      </w:pPr>
      <w:r>
        <w:rPr>
          <w:rFonts w:ascii="Times New Roman" w:cs="Times New Roman" w:eastAsia="Times New Roman" w:hAnsi="Times New Roman"/>
          <w:sz w:val="16"/>
          <w:szCs w:val="16"/>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65" w:lineRule="exact"/>
        <w:rPr>
          <w:sz w:val="20"/>
          <w:szCs w:val="20"/>
          <w:color w:val="auto"/>
        </w:rPr>
      </w:pPr>
    </w:p>
    <w:p>
      <w:pPr>
        <w:jc w:val="both"/>
        <w:ind w:left="4" w:right="20" w:firstLine="577"/>
        <w:spacing w:after="0" w:line="253" w:lineRule="auto"/>
        <w:rPr>
          <w:sz w:val="20"/>
          <w:szCs w:val="20"/>
          <w:color w:val="auto"/>
        </w:rPr>
      </w:pPr>
      <w:r>
        <w:rPr>
          <w:rFonts w:ascii="Times New Roman" w:cs="Times New Roman" w:eastAsia="Times New Roman" w:hAnsi="Times New Roman"/>
          <w:sz w:val="16"/>
          <w:szCs w:val="16"/>
          <w:color w:val="auto"/>
        </w:rPr>
        <w:t>On March 22, 2024, the CAC promulgated the Regulation to Standardize and Promote Cross-border Data Flow (hereinafter the “Regulation”). The Regulation mainly focus on specifying those scenarios which are not required to apply for security assessment for data to be provided abroad, to conclude a standard contract for personal information to be provided abroad or to pass the certification for personal information protection. It is remarkable that, according to Article 5 of the Regulation, a data processor providing personal information abroad may be exempted from proceeding the aforementioned processes if it satisfies any of the following conditions: (1) Where it is really necessary to provide personal information abroad for the purpose of concluding or performing a contract to which an individual concerned is a party, such as cross-border shopping, cross-border delivery, cross-border remittance, cross-border payment, cross-border account opening, air ticket and hotel reservation, visa handling and examination services; (2) Where it is really necessary to provide employees’ personal information abroad for the purpose of conducting cross-border human resources management in accordance with the employment rules and regulations formulated in accordance with the law and collective contracts concluded in accordance with the law;</w:t>
      </w:r>
    </w:p>
    <w:p>
      <w:pPr>
        <w:spacing w:after="0" w:line="4" w:lineRule="exact"/>
        <w:rPr>
          <w:sz w:val="20"/>
          <w:szCs w:val="20"/>
          <w:color w:val="auto"/>
        </w:rPr>
      </w:pPr>
    </w:p>
    <w:p>
      <w:pPr>
        <w:jc w:val="both"/>
        <w:ind w:left="4" w:hanging="4"/>
        <w:spacing w:after="0" w:line="252" w:lineRule="auto"/>
        <w:tabs>
          <w:tab w:leader="none" w:pos="23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it is really necessary to provide personal information abroad in an emergency to protect the life, health and property safety of a natural person; or (4) Where a data processor other than a critical information infrastructure operator provides abroad the personal information (excluding sensitive personal information) of not more than 100,000 persons accumulatively as of January 1 of the current year. And, for the purpose of the preceding paragraph, “personal information provided abroad” does not include critical data. However, according to Article 10 of the Regulation, to provide personal information abroad, a data processor shall, in accordance with laws and administrative regulations, perform obligations such as notification, obtaining individual consent and conducting assessment of impact of personal information protection. Also, Article 2 of the Regulation stipulates that “If the data have not been informed or publicly announced as critical data by relevant departments or regions, data processors are not required to declare security assessment for cross-border provision of the data as critical data.” according to which, the standard for identifying important data is clarified. Therefore, we understand that, as CLPS has not received any such notification from relevant departments or regions, and the data that it processes has not been publicly announced as critical data, CLPS shall not be recognized as a “critical data processor”.</w:t>
      </w:r>
    </w:p>
    <w:p>
      <w:pPr>
        <w:spacing w:after="0" w:line="169" w:lineRule="exact"/>
        <w:rPr>
          <w:sz w:val="20"/>
          <w:szCs w:val="20"/>
          <w:color w:val="auto"/>
        </w:rPr>
      </w:pPr>
    </w:p>
    <w:p>
      <w:pPr>
        <w:jc w:val="both"/>
        <w:ind w:left="4" w:right="20" w:firstLine="577"/>
        <w:spacing w:after="0" w:line="259" w:lineRule="auto"/>
        <w:rPr>
          <w:sz w:val="20"/>
          <w:szCs w:val="20"/>
          <w:color w:val="auto"/>
        </w:rPr>
      </w:pPr>
      <w:r>
        <w:rPr>
          <w:rFonts w:ascii="Times New Roman" w:cs="Times New Roman" w:eastAsia="Times New Roman" w:hAnsi="Times New Roman"/>
          <w:sz w:val="16"/>
          <w:szCs w:val="16"/>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Form 20-F, we have not been involved in any investigations on cybersecurity review made by the CAC on such basis, and we have not received any inquiry, notice, warning, or sanctions in such respect. Based on the foregoing, we and our PRC legal counsel do not expect that, as of the date of this Form 20-F, the current applicable PRC laws on cybersecurity would have a material adverse impact on our business.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Uncertainties with respect to the PRC legal system could have a material adverse effect on us.</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some uncertainties may limit legal protections available to us. In addition, we may have to resort to administrative and court proceedings to enforce the legal protection that we enjoy either by law or contract. However, since partial statutory and contractual terms may remain reasonable blank or uncertainty due to the rapid evolvement, it may be difficult to predict the outcome of administrative and court proceedings and the level of legal protection we enjoy. We cannot predict the effect of future developments in the PRC legal system, including the promulgation of new laws, changes to existing laws or the interpretation or enforcement thereof. These uncertainties could limit the legal protections available to us and other foreign investors, including you. In addition, any litigation in China may result in substantial costs and diversion of our resources and management attention.</w:t>
      </w:r>
    </w:p>
    <w:p>
      <w:pPr>
        <w:spacing w:after="0" w:line="169"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6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The Company may receive general personal information or even sensitive personal information from its clients in the Company’s day-to-day business operations, therefore, the Data Security Law and the PIP Law may accordingly apply to the Company’s business activities in China, as a consequence of which, the Company may have relevant obligations as required thereby.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71"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According to Articles 12 and 24 of the Trial Measures, securities companies, securities service agencies and personnel engaged in the overseas offering and listing business of domestic enterprises are not allowed to express their opinions in documents produced or issued in a manner that is distorted or derogatory to the national laws and policies, the business environment, the judicial situation, etc., or else measures such as ordering rectification, supervisory conversations, issuance of warning letters, etc., may be imposed. Taking into account the aforementioned unofficial information and regulations of the Trial Measures, we believe that our PRC counsel may express limited opinions on China’s legal policies, business environment and judicial situation as compared to the opinions provided by the same previously.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color w:val="auto"/>
        </w:rPr>
        <w:t>Risk of Intervention or Control by the PRC Government.</w:t>
      </w:r>
    </w:p>
    <w:p>
      <w:pPr>
        <w:spacing w:after="0" w:line="20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As a China-based company listed on NASDAQ in the United States, it is important to acknowledge the significant influence and regulatory oversight exercised by the PRC government over our operations. The PRC government’s involvement can have a material impact on our business and the value of our securities. We operate in accordance with the laws and regulations of China, which can change and be subject to interpretation by authorities. The PRC government may have authority over various aspects of our business, including regulatory approvals, licensing, and permits. Changes in government policies, geopolitical factors, or other external influences may result in regulatory decisions that could affect our ability to operate effectively or access capital markets. It is essential for investors to recognize the potential uncertainties associated with the PRC government’s involvement, which may lead to increased volatility in the trading of our securities and could impact their market value. We encourage investors to consider these unique challenges when evaluating our company as an investment opportunity.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regulators’ ability to conduct investigations or enforce rules in China is limited.</w:t>
      </w:r>
    </w:p>
    <w:p>
      <w:pPr>
        <w:spacing w:after="0" w:line="20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As a result, recognition and enforcement in China of these judgments in relation to any matter, including U.S. securities laws and the laws of the Cayman Islands, may be difficult or impossible.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uncertainty regarding the PRC tax reporting obligations and consequences for certain indirect transfers of the stock of our operating company.</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January 20, 2025,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3" w:name="page34"/>
    <w:bookmarkEnd w:id="33"/>
    <w:p>
      <w:pPr>
        <w:jc w:val="both"/>
        <w:ind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5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spacing w:after="0" w:line="165" w:lineRule="exact"/>
        <w:rPr>
          <w:sz w:val="20"/>
          <w:szCs w:val="20"/>
          <w:color w:val="auto"/>
        </w:rPr>
      </w:pPr>
    </w:p>
    <w:p>
      <w:pPr>
        <w:jc w:val="both"/>
        <w:ind w:right="20" w:firstLine="577"/>
        <w:spacing w:after="0" w:line="256" w:lineRule="auto"/>
        <w:rPr>
          <w:sz w:val="20"/>
          <w:szCs w:val="20"/>
          <w:color w:val="auto"/>
        </w:rPr>
      </w:pPr>
      <w:r>
        <w:rPr>
          <w:rFonts w:ascii="Times New Roman" w:cs="Times New Roman" w:eastAsia="Times New Roman" w:hAnsi="Times New Roman"/>
          <w:sz w:val="16"/>
          <w:szCs w:val="16"/>
          <w:color w:val="auto"/>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65"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4" w:name="page35"/>
    <w:bookmarkEnd w:id="34"/>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140"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56"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62"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spacing w:after="0" w:line="16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control of currency conversion may limit our ability to use our revenues effectively and the ability of our PRC subsidiaries to obtain financing.</w:t>
      </w:r>
    </w:p>
    <w:p>
      <w:pPr>
        <w:spacing w:after="0" w:line="205" w:lineRule="exact"/>
        <w:rPr>
          <w:sz w:val="20"/>
          <w:szCs w:val="20"/>
          <w:color w:val="auto"/>
        </w:rPr>
      </w:pPr>
    </w:p>
    <w:p>
      <w:pPr>
        <w:jc w:val="both"/>
        <w:ind w:right="20" w:firstLine="577"/>
        <w:spacing w:after="0" w:line="253" w:lineRule="auto"/>
        <w:rPr>
          <w:sz w:val="20"/>
          <w:szCs w:val="20"/>
          <w:color w:val="auto"/>
        </w:rPr>
      </w:pPr>
      <w:r>
        <w:rPr>
          <w:rFonts w:ascii="Times New Roman" w:cs="Times New Roman" w:eastAsia="Times New Roman" w:hAnsi="Times New Roman"/>
          <w:sz w:val="16"/>
          <w:szCs w:val="16"/>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5" w:name="page36"/>
    <w:bookmarkEnd w:id="35"/>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4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69" w:lineRule="exact"/>
        <w:rPr>
          <w:sz w:val="20"/>
          <w:szCs w:val="20"/>
          <w:color w:val="auto"/>
        </w:rPr>
      </w:pPr>
    </w:p>
    <w:p>
      <w:pPr>
        <w:jc w:val="both"/>
        <w:ind w:right="20" w:firstLine="577"/>
        <w:spacing w:after="0" w:line="253" w:lineRule="auto"/>
        <w:rPr>
          <w:sz w:val="20"/>
          <w:szCs w:val="20"/>
          <w:color w:val="auto"/>
        </w:rPr>
      </w:pPr>
      <w:r>
        <w:rPr>
          <w:rFonts w:ascii="Times New Roman" w:cs="Times New Roman" w:eastAsia="Times New Roman" w:hAnsi="Times New Roman"/>
          <w:sz w:val="16"/>
          <w:szCs w:val="16"/>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6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40"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6" w:name="page37"/>
    <w:bookmarkEnd w:id="36"/>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4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Enhanced scrutiny over acquisition transactions by the PRC tax authorities may have a negative impact on potential acquisitions we may pursue in the future.</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162"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7" w:name="page38"/>
    <w:bookmarkEnd w:id="37"/>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spacing w:after="0" w:line="16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spacing w:after="0" w:line="1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40"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As a holding company, we conduct substantially all of our business through our consolidated subsidiaries incorporated in mainland China, Hong Kong SAR, and Singapore.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current employment practices may be restricted under the PRC Labor Contract Law and our labor costs may increase as a result.</w:t>
      </w:r>
    </w:p>
    <w:p>
      <w:pPr>
        <w:spacing w:after="0" w:line="205" w:lineRule="exact"/>
        <w:rPr>
          <w:sz w:val="20"/>
          <w:szCs w:val="20"/>
          <w:color w:val="auto"/>
        </w:rPr>
      </w:pPr>
    </w:p>
    <w:p>
      <w:pPr>
        <w:jc w:val="both"/>
        <w:ind w:right="20" w:firstLine="577"/>
        <w:spacing w:after="0" w:line="253" w:lineRule="auto"/>
        <w:rPr>
          <w:sz w:val="20"/>
          <w:szCs w:val="20"/>
          <w:color w:val="auto"/>
        </w:rPr>
      </w:pPr>
      <w:r>
        <w:rPr>
          <w:rFonts w:ascii="Times New Roman" w:cs="Times New Roman" w:eastAsia="Times New Roman" w:hAnsi="Times New Roman"/>
          <w:sz w:val="16"/>
          <w:szCs w:val="16"/>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38" w:name="page39"/>
    <w:bookmarkEnd w:id="38"/>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There are uncertainties with respect to regulatory cooperation between PCAOB and Chinese regulators under the Statement of Protocol signed by the PCAOB and the CSRC of the People’s Republic of China on August 26, 2022.</w:t>
      </w:r>
    </w:p>
    <w:p>
      <w:pPr>
        <w:spacing w:after="0" w:line="140"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Having made the determinations in 2021 that the positions taken by PRC authorities prevented the PCAOB from inspecting and investigating in mainland China and Hong Kong completely, the PCAOB determined that it had access to inspect or investigate the registered public accounting firms in mainland China and Hong Kong, and therefore, on December 15, 2022, the PCAOB removed Chinese mainland and Hong Kong from the list of jurisdictions where it is unable to inspect or investigate completely registered public accounting firms. For this reason, we were not identified as an SEC-identified issuer under the HFCA Act in 2023. However, there are uncertainties with respect to regulatory cooperation between the PCAOB and the Chinese regulators.</w:t>
      </w:r>
    </w:p>
    <w:p>
      <w:pPr>
        <w:spacing w:after="0" w:line="16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common shares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the SEC may subsequently impose on a ban on trading of our Common Stock. A ban on trading of our Common Stock would substantially impair investors’ ability to sell or purchase our Common Stock, and the risk and uncertainty associated with the ban would have a negative impact on the price of shares of our Common Stock.</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Under the current version of HFCAA, an SEC ban on trading shares of Common Stock in the U.S. could take place if we have a Listed Auditor (a public auditor that cannot be completely audited and investigated by the PCAOB for two consecutive fiscal years). If this happens, there is no certainty that we will be able to list or otherwise trade our shares on a non-U.S. exchange or that a market for our shares of Common Stock will develop outside of the U.S. The ban on trading of our shares in, or the threat of their being banned from trading in, the U.S. may materially and adversely affect the value of our Shareholders’ investment.</w:t>
      </w:r>
    </w:p>
    <w:p>
      <w:pPr>
        <w:spacing w:after="0" w:line="160"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On December 18, 2020, the Holding Foreign Companies Accountable Act (“HFCAA”) became law. Among other things, the HFCAA requires the SEC to identify public companies that have retained a registered public accounting firm to issue an audit report where that firm has a branch or office that: (1) is located in a foreign jurisdiction, and (2) the Public Company Accounting Oversight Board (“PCAOB”) has determined that it is unable to inspect or investigate completely because of a position taken by an authority in the foreign jurisdiction. PCAOB has identified several public accounting firms in mainland China and Hong Kong SAR that PCAOB cannot inspect or investigate completely because of a position taken by that foreign government. The PCAOB has oversight authority over public accounting firms that audit financial results of companies subject to the Securities Exchange Act of 1934 (the “Exchange Act”). On December 16, 2021, PCAOB issued the HFCAA Determination Report, which includes a list of those public accounting firms located outside the U.S. that PCAOB is unable to inspect or investigate completely because of a position taken by an authority in the foreign jurisdiction (each a “Listed Auditor”). Our auditor, Ernst &amp; Yong Hua Ming LLP (the “Auditor”), for our 2022 fiscal year audit and currently our public auditor was a Listed Auditor subject to the determinations announced by the PCAOB on December 16, 2021. Our Auditor is located in China.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39" w:name="page40"/>
    <w:bookmarkEnd w:id="39"/>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The HFCAA states if the SEC determines that we have filed audit reports issued by a registered public accounting firm that has not been subject to inspection by PCAOB for three consecutive years beginning in 2021, being a Listed Auditor, the SEC shall prohibit our shares from being traded on a national securities exchange or in the over-the counter trading market in the U.S. On December 2, 2021, the SEC adopted final amendments to its rules implementing the HFCAA (the “Final Amendments”). The Final Amendments include requirements to disclose information, including the auditor name and location, the percentage of shares of the issuer owned by governmental entities, whether governmental entities in the applicable foreign jurisdiction with respect to the auditor has a controlling financial interest with respect to the issuer, the name of each official of the Chinese Communist Party who is a member of the board of the issuer, and whether the articles of incorporation of the issuer contains any charter of the Chinese Communist Party, including the text of any such charter.</w:t>
      </w:r>
    </w:p>
    <w:p>
      <w:pPr>
        <w:spacing w:after="0" w:line="16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The SEC publishes a list of Exchange Act reporting companies that retain a Listed Auditor that has issued an audit report for a fiscal year (each company listed is a “Commission Identified Issuer” for purposes of HFCAA). If a Commission Identified Issuer has a Listed Auditor issue audit reports for three consecutive fiscal years, then the SEC will impose an initial trading ban on the publicly traded securities of the Commission Identified Issuer, which trading ban can be lifted if Commission Identified Issuer retains a public auditor that is not a Listed Auditor and that public auditor issues an audit report for a fiscal year for the Commission Identified Issuer. The SEC’s role at this stage of the process is solely to identify issuers that have used Listed Auditors to audit their financial statements.</w:t>
      </w:r>
    </w:p>
    <w:p>
      <w:pPr>
        <w:spacing w:after="0" w:line="162"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Our Auditor is the independent registered public accounting firm that issues the audit report included elsewhere in our Form 20-F and conducts the audit of our annual financial results. As an auditor of a company that has its stock traded publicly in the United States, our Auditor is registered with and supervised by the PCAOB and is subject to laws in the United States. Under those laws, the PCAOB conducts regular inspections or audits to assess public accounting firms acting as auditors, including our Auditor, compliance with the applicable PCAOB rules and professional standards. Since our Auditor is located in China, a jurisdiction where the PCAOB has been unable to conduct audits and inspections completely without the approval of the Chinese authorities, our Auditor was not currently audited or inspected completely by the PCAOB and was consequently a Listed Auditor.</w:t>
      </w:r>
    </w:p>
    <w:p>
      <w:pPr>
        <w:spacing w:after="0" w:line="165" w:lineRule="exact"/>
        <w:rPr>
          <w:sz w:val="20"/>
          <w:szCs w:val="20"/>
          <w:color w:val="auto"/>
        </w:rPr>
      </w:pPr>
    </w:p>
    <w:p>
      <w:pPr>
        <w:jc w:val="both"/>
        <w:ind w:firstLine="577"/>
        <w:spacing w:after="0" w:line="252" w:lineRule="auto"/>
        <w:rPr>
          <w:sz w:val="20"/>
          <w:szCs w:val="20"/>
          <w:color w:val="auto"/>
        </w:rPr>
      </w:pPr>
      <w:r>
        <w:rPr>
          <w:rFonts w:ascii="Times New Roman" w:cs="Times New Roman" w:eastAsia="Times New Roman" w:hAnsi="Times New Roman"/>
          <w:sz w:val="16"/>
          <w:szCs w:val="16"/>
          <w:color w:val="auto"/>
        </w:rPr>
        <w:t>On December 15, 2022, the PCAOB announced that it was able to secure complete access to inspect and investigate PCAOB-registered public accounting firms headquartered in mainland China and Hong Kong in 2022. The PCAOB vacated its previous 2021 determinations that the PCAOB was unable to inspect or investigate completely registered public accounting firms headquartered in mainland China and Hong Kong. For this reason, we do not expect to be identified as a Commission-Identified Issuer following the filing of this annual report. However, it is uncertain whether the PCAOB will continue to be able to satisfactorily conduct inspections of PCAOB-registered public accounting firms headquartered in mainland China and Hong Kong in the future, which ability depends on a number of factors beyond our, and our auditor’s, control, including the uncertainties surrounding the relationship between China and the United States. If in the future the PCAOB finds that it is unable to completely inspect and investigate registered public accounting firms headquartered in mainland China or Hong Kong, the PCAOB may act immediately to consider the need to issue new determinations consistent with the HFCAA, and we may be identified as a Commission-Identified Issuer again. In accordance with the HFCAA as amended by the Consolidated Appropriations Act, 2023, if the PCAOB is unable to continue to inspect or investigate completely registered public accounting firms headquartered in mainland China or Hong Kong, including our independent registered public accounting firm, for two consecutive years, our securities would be delisted from Nasdaq and will be prohibited from trading on other U.S. stock exchanges and “over-the-counter” in the U.S. This potential lack of full audit and inspection could deprive investors in our Common Stock of the benefits of PCAOB oversight and inspections. The potential inability of the PCAOB to conduct inspections of auditors in mainland China and Hong Kong SAR could make it more difficult to evaluate the effectiveness of our Auditor’s audit procedures or quality control procedures as compared to auditors outside of mainland China and Hong Kong SAR that are subject to complete audit and investigation by the PCAOB. This potential limitation on PCAOB audit and inspection could cause investors and potential investors in our Common Stock to lose confidence in our audit procedures and reported financial information and the quality of our financial statements. This potential lack or loss of confidence could also not only cause investors to avoid trading our Common Stock or sell positions in our Common Stock, but could also undermine efforts of the Company to secure equity or debt financing, hinder any efforts to up-list the Common Stock to a national securities exchange, adversely influence the decision of third parties to conduct business with our company, or have other adverse business or financial consequences. Trading in our securities may be prohibited under the HFCAA if PCAOB should determine that it cannot inspect or investigate completely our Auditor, and that as a result, if the Company is subject to a trading ban in the United States, it may be unable to list its Common Stock on a non-U.S. public stock market, or even if listed on a non-U.S. public stock market, that the Common Stock would enjoy any liquidity or investor support. As such, the Common Stock may be difficult to establish or be unable to be established on a foreign public stock market or quotation system. The absence of a public market for the Common Stock could render the shares of Common Stock an illiquid, potentially worthless investment.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0" w:name="page41"/>
    <w:bookmarkEnd w:id="40"/>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If the Company becomes directly subject to the recent scrutiny, criticism and negative publicity involving U.S.-listed Chinese/Hong Kong SAR companies, we may have to expend significant resources to investigate and resolve the matters. Any unfavorable results from the investigations could harm our business operations and our reputation.</w:t>
      </w:r>
    </w:p>
    <w:p>
      <w:pPr>
        <w:spacing w:after="0" w:line="15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In 2021 and onwards, U.S. public companies with operations based in China have been subjects of intense scrutiny, criticism and negative publicity by investors, financial commentators and regulatory agencies, such as the SEC and certain members of Congress. Much of the scrutiny, criticism and negative publicity has centered on alleged financial and accounting irregularities, lack of effective internal control over financial reporting, inadequate corporate governance and ineffective implementation thereof and, in many cases, allegations of fraud. As a result of enhanced scrutiny, criticism and negative publicity, the publicly traded stocks of many U.S.-listed Chinese companies have decreased in value and, in some cases, have become virtually worthless or illiquid. Shareholder lawsuits and SEC investigations and enforcement actions can be fostered by intense, negative public focus on Chinese or Hong Kong SAR based companies. The Company does not believe that it is subject to any of these allegations, investigations or enforcement actions as of the date of this annual report. If the Company becomes a subject of any unfavorable allegations, whether such allegations are proven to be true or untrue, the Company will have to expend significant resources to investigate such allegations and defend the Company. If such allegations were not proven to be baseless, the Company would be severely hampered and the price of the stock of the Company could decline substantially. If such allegations were proven to be groundless, the investigation might have significantly distracted the attention of the Company’s management. The mere commencement of an investigation by a regulator, like the SEC, even without evidence of any misconduct or violation of laws, can undermine investor confidence in the Company as an investment and do so even if the investigation finds no misconduct or violations of laws or regulations. Regulator investigations can take months or longer to resolve and can require considerable resources of a company to adequately respond to such. investigations.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recent government regulation of business activities of U.S.-listed Chinese companies may negatively impact our operations.</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Chinese regulatory authorities issued Opinions on Strictly Cracking Down on Illegal Securities Activities, which were available to the public on July 6, 2021, which further emphasized their goal to strengthen the cross-border regulatory collaboration, to improve relevant laws and regulations on data security, cross-border data transmission, and confidential information management, and provided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These opinions are issued in mid-2021, and there were no known further explanations or detailed rules or regulations with respect to such opinions, and there are still uncertainties regarding the interpretation and implementation of these opinions. China intends to improve regulation of cross-border data flows and security, crack down on illegal activity in the securities market and punish fraudulent securities issuance, market manipulation and insider trading. China will also check sources of funding for securities investment and control leverage ratios. If the Chinese government’s regulatory involvement expands and we become subject to that expanded involvement, our operations may be negatively impacted, although, as of the date of this annual report, there is no known regulatory involvement of the nature described in this paragraph and there is no discernible immediate impact on our company under the recent regulatory developments described in this paragraph.</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1" w:name="page42"/>
    <w:bookmarkEnd w:id="41"/>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We face various risks and uncertainties relating to doing business in mainland China and Hong Kong SAR. Our business operations are primarily conducted in mainland China and Hong Kong SAR, and we are subject to complex and evolving Chinese and Hong Kong SAR laws and regulations. For example, the Anti-Monopoly Law of the People’s Republic of China (Revised in 2022) (“Anti-Monopoly Law”) came into effect on August 1, 2022. The “monopolistic practices” defined by the Anti-Monopoly Law include (a) the conclusion of a monopolistic agreement; (b) the abuse of dominant market positions; and (c) the concentration that eliminates or restricts competition or may eliminate or restrict competition. Based on Company’s China and global market share, the Company does not have a dominant market position that enables the Company to restrict or eliminate the competition. China promulgated several laws and regulations on data security and personal information protections in the last two years, mainly the Data Security Law of the People’s Republic of China (“Data Security Law”), which came into effect on September 1, 2021, and the Personal Information Protection Law of the People’s Republic of China (“PIP Law”), which came into effect on November 1, 2021. In the Company’s day-to-day business operations, sensitive customer data and personal information will not be received from the Company’s clients. The legal consequence of this fact is that neither the Data Security Law or the PIP Law applies to the Company’s business activities in China. And we also face risks associated with regulatory approvals on offshore offerings, as well as the lack of inspection on our Auditor by the PCAOB, which may impact our ability to conduct certain businesses, accept foreign investments, or list and conduct offerings on a United States or other foreign exchange. These risks could result in a material adverse change in our operations and the value of our shares of Common Stock, significantly limit or completely hinder our ability to continue to offer securities to investors, or cause the value of our Common Stock to decline.</w:t>
      </w:r>
    </w:p>
    <w:p>
      <w:pPr>
        <w:spacing w:after="0" w:line="1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Uncertainties with respect to the PRC legal system, including uncertainties regarding the enforcement of laws, and sudden or unexpected changes in policies, laws and regulations in China, could adversely affect us.</w:t>
      </w:r>
    </w:p>
    <w:p>
      <w:pPr>
        <w:spacing w:after="0" w:line="140"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PRC legal system is based on written statutes and court decisions that have limited precedential value. The PRC legal system is evolving rapidly, and therefore the interpretations and enforcement of many laws, regulations and rules may contain reasonable uncertainties.</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However, since partial statutory and contractual terms may remain reasonable blank or uncertainty due to the rapid evolvement, it may be difficult to predict the outcome of a judicial or administrative proceeding.</w:t>
      </w:r>
    </w:p>
    <w:p>
      <w:pPr>
        <w:spacing w:after="0" w:line="143"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Permissions Required from the PRC Authorities for Our Operations</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We conduct our business primarily through our subsidiaries in China. Our operations in China are governed by PRC laws and regulations. As of the date of this annual report, our PRC subsidiaries have obtained the requisite licenses and permits from the PRC government authorities that are material for the business operations of our subsidiaries in China, including, Business license, the Human Resource Services License. Given the uncertainties of interpretation and implementation of relevant laws and regulations and the enforcement practice by relevant government authorities, we may be required to obtain additional licenses, permits, filings or approvals for the services in the future.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2" w:name="page43"/>
    <w:bookmarkEnd w:id="42"/>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Furthermore, in connection with our issuance of securities to foreign investors, under current PRC laws, regulations and regulatory rules, as of the date of this annual report, we, our PRC subsidiaries, (i) are not required to obtain permissions from the China Securities Regulatory Commission, or the CSRC, (ii) are not required to go through cybersecurity review by the Cyberspace Administration of China, or the CAC, and (iii) have not been asked to obtain such permissions by any PRC authority.</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However, the PRC government has recently indicated an intent to exert more oversight and control over offerings that are conducted overseas and/or foreign investment in China-based issuers.</w:t>
      </w:r>
    </w:p>
    <w:p>
      <w:pPr>
        <w:spacing w:after="0" w:line="143"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If any of our Company, our subsidiaries do not receive or maintain the requisite permissions or approvals for our operations, or inadvertently conclude that such permissions or approvals are not required, the relevant PRC regulatory authorities would have broad discretion in dealing with such violations or failures, including imposing fines, confiscating our incomes and products that are deemed to have been obtained through illegal operations, and discontinuing or restricting our operations. It could result in substantial additional costs, adversely affect our ability to conduct our business, compete with other companies, our financial performance and negatively affect investors’ confidence in our financial performance and business prospects. Even if such permissions or approvals are ultimately granted, we may not successfully maintain or renew them and they may be withdrawn. Since applicable laws, regulations, or interpretations for the permissions or approvals may change and we may be required to obtain additional permissions or approvals in the future, we cannot assure you that we may obtain such permissions or approvals in a timely manner, or at all. It could result in a material change in our operations and we may be required to recall some of our current or future products, or even to partially suspend or totally shut down our production. In addition, regulatory changes may relax certain requirements that could benefit our competitors or lower market entry barriers and increase competition. Furthermore, it could significantly limit or completely hinder our ability to offer or continue to offer securities to investors and cause the value of our securities to significantly decline or become worthless.</w:t>
      </w:r>
    </w:p>
    <w:p>
      <w:pPr>
        <w:spacing w:after="0" w:line="163"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The filing, approval or other administrative requirements of the CSRC or other PRC government authorities may be required to maintain our listing status or conduct future offshore securities or debt offerings.</w:t>
      </w:r>
    </w:p>
    <w:p>
      <w:pPr>
        <w:spacing w:after="0" w:line="140"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The PRC government authorities may strengthen oversight over offerings that are conducted overseas and/or foreign investment in overseas-listed China-based issuers like us from time to time. Such actions taken by the PRC government authorities may intervene our operations at any time, which are beyond our control. For instance, the relevant PRC governments promulgated the Opinions on Strictly Cracking Down on Illegal Securities Activities, among which, it is mentioned that the administration and supervision of overseas-listed China-based companies will be strengthened, and the special provisions of the State Council on overseas issuance and listing of shares by such companies will be revised, clarifying the responsibilities of domestic industry competent authorities and regulatory authorities. However, due to lack of further interpretations or applications from the competent authorities on such opinions, there are still uncertainties regarding the interpretation and implementation of these opinions, and any new rules or regulations promulgated in the future may impose additional requirements on us.</w:t>
      </w:r>
    </w:p>
    <w:p>
      <w:pPr>
        <w:spacing w:after="0" w:line="16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On February 17, 2023, the CSRC published the Trial Administrative Measures of Overseas Securities Offering and Listing by Domestic Companies (the “Trial Measures”). Pursuant to the Trial Measures, a filing-based regulatory system is applied to both “direct overseas offering and listing” and “indirect overseas offering and listing” of PRC domestic companies. The “indirect overseas offering and listing” of PRC domestic companies refers to such securities offering and listing in an overseas market made in the name of an offshore entity, but based on the underlying equity, assets, earnings or other similar rights of a domestic company which operates its main business domestically. If the issuer meets the following conditions, the offering and listing shall be determined as an indirect overseas offering and listing by a domestic company: (i) the total assets, net assets, revenues or profits of the domestic operating entity or entities of the issuer in the most recent accounting year account for more than 50% of the corresponding figure in the issuer’s audited consolidated financial statements for the same period; (ii) most of the senior managers in charge of business operation and management of the issuer are Chinese citizens or have domicile in China, and its main places of business are located in China or main business activities are conducted in China. Pursuant to the Trial Measures, we are required to file the relevant documents with the CSRC within three business days after submitting our listing application documents to the relevant regulator in the place of intended listing, and complete the filing procedures with the CSRC in connection with such subsequent securities offerings in the same overseas market where we have previously offered and listed securities within three business days after the offering is completed. Failure to complete the filing under the Trial Measures may subject a PRC domestic company to a warning and a fine of RMB1 million to RMB10 million. In the event of a serious violation of the Trial Measures, the CSRC may impose a ban on entering into the securities market upon the relevant responsible persons. Any such violation that constitutes a crime shall be investigated for criminal liability according to law.</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3" w:name="page44"/>
    <w:bookmarkEnd w:id="43"/>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Furthermore, on February 24, 2023, the CSRC published the Provisions on Strengthening Confidentiality and Archives Administration of Overseas Securities Offering and Listing by Domestic Companies (the “Confidentiality and Archives Management Provisions”).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individuals or entities including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individuals or entities including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that provides accounting archives or copies of accounting archives to any entities including securities companies, securities service providers and overseas regulators and individuals shall fulfill due procedures in compliance with applicable national regulations.</w:t>
      </w:r>
    </w:p>
    <w:p>
      <w:pPr>
        <w:spacing w:after="0" w:line="167"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As the CSRC determines that we need to complete the required filing procedures for any such subsequent securities offerings in the same overseas market where we have previously offered and listed securities, or if such government authorities promulgate any interpretation or implement rules that would require us to obtain approvals from the CSRC or other regulatory authorities or complete required filing or other administrative procedures for any future offshore securities offering or other financing activities, it is uncertain whether we can or how long it will take us to obtain such approval or complete such filing or other administrative procedures, or obtain any waiver of aforesaid requirements if and when procedures are established to obtain such waiver. Any failure to obtain or delay in obtaining such approval or completing such filing or other administrative procedures for any future offshore securities offering, or a rescission of any such approval obtained by us, could subject us to sanctions by the CSRC or other PRC regulatory agencies. In any such event, these regulatory authorities may also impose fines and penalties on our operations in China, limit our operating privileges in China, delay or restrict the repatriation of the proceeds from any future offshore securities offering into the PRC or take other actions that could adversely affect our business, operating results and financial condition, as well as our ability to complete any future offshore securities offering. The CSRC or any other PRC government authorities may also take actions requiring us, or making it advisable for us, to halt any future offshore securities offering. Consequently, if you engage in market trading or other activities in anticipation of and prior to settlement and delivery, you do so at the risk that such settlement and delivery may not occur. Any uncertainties or negative publicity regarding such approval requirements could materially and adversely affect the trading price of our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subsidiaries in mainland China are subject to restrictions on paying dividends and making other payments to our holding company.</w:t>
      </w:r>
    </w:p>
    <w:p>
      <w:pPr>
        <w:spacing w:after="0" w:line="20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CLPS Incorporation is our holding company incorporated in the Cayman Islands and has no operation of its own. As a result of the holding company structure, it currently relies on dividend payments from our subsidiaries in mainland China. However, PRC regulations currently permit payment of dividends only out of accumulated profits, as determined in accordance with PRC accounting standards and regulations. Our subsidiaries in mainland China are also required to set aside a portion of their after-tax profits according to PRC accounting standards and regulations to fund certain reserve funds. The PRC government also imposes controls on the conversion of RMB into foreign currencies and the remittance of foreign currencies out of mainland China. We may experience difficulties in completing the administrative procedures necessary to obtain and remit foreign currency. The Company does not believe that any recent new regulations on foreign exchange controls will cause CLPS entities within mainland China to encounter restrictions or obstacles in distributing profits to foreign shareholders. Furthermore, if our subsidiaries in mainland China incur debt on their own in the future, the instruments governing the debt may restrict their ability to pay dividends or make other payments. If our subsidiaries in mainland China are unable to pay dividends or make other payments to us, we may be unable to pay dividends on our shares.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4" w:name="page45"/>
    <w:bookmarkEnd w:id="44"/>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The Company provides cash support to its subsidiaries according its business development plan. For fiscal years 2023, 2024, and 2025, the Company provided cash support to its subsidiaries in mainland China, Singapore and Hong Kong SAR. The amounts were offset when the Company’s consolidated financial statements were prepared. The balances due from subsidiaries to the Company were US$24.7 million, US$36.2 million, and US$34.8 million as of June 30 for fiscal 2023, 2024, and 2025 respectively. The subsidiaries provide cash support to the Company according to its business development plan. The balances due to subsidiaries from the Company were US$7.6 million, US$24.8 million, and US$23.3 million as of June 30 for fiscal 2023, 2024, and 2025 respectively. The balances were reflected in the section “PARENT COMPANY ONLY CONDENSED FINANCIAL INFORMATION” in our financial statements for fiscal 2023, 2024, and 2025, respectively.</w:t>
      </w:r>
    </w:p>
    <w:p>
      <w:pPr>
        <w:spacing w:after="0" w:line="16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capitals outside China, all of which could materially and adversely affect our business, and cause the value of our securities to significantly decline or become worthless.</w:t>
      </w:r>
    </w:p>
    <w:p>
      <w:pPr>
        <w:spacing w:after="0" w:line="155"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In December 2021, the CAC promulgated the amended Measures of Cybersecurity Review which require cyberspace operators with personal information of more than one million users to file for cybersecurity review with the CRO, in the event such operators plan for an overseas listing. The amended Measures of Cybersecurity Review provide that, among others, an application for cybersecurity review must be made by an issuer that is a “network platform operator” as defined therein before such issuer’s securities become listed in a foreign country, if the issuer possesses personal information of more than one million users, and that the relevant governmental authorities in the PRC may initiate cybersecurity review if such governmental authorities determine an operator’s cyber products or services or data processing activities affect or may affect China’s national security. The amended Measures of Cybersecurity Review took effect on February 15, 2022.</w:t>
      </w:r>
    </w:p>
    <w:p>
      <w:pPr>
        <w:spacing w:after="0" w:line="16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Under the current PRC cybersecurity laws in China, critical information infrastructure operators that intend to purchase internet products and services that may affect national security must be subject to the cybersecurity review. On July 30, 2021, the State Council of the PRC promulgated the Regulations on the Protection of the Security of Critical Information Infrastructure, which took effect on September 1, 2021. The regulations require, among others, that certain competent authorities shall identify critical information infrastructures. If any critical information infrastructure is identified, they shall promptly notify the relevant operators and the Ministry of Public Security.</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Currently, the cybersecurity laws and regulations have not directly affected our business and operations. As the amended Measures of Cybersecurity Review took effect in February 2022, we may be subject to review when conducting data processing activities, and may face challenges in addressing its requirements and make necessary changes to our internal policies and practices in data processing. As of the date of this annual report, we have not been involved in any investigations on cybersecurity review made by the CAC on such basis, and we have not received any inquiry, notice, warning, or sanctions in such respect. Based on the foregoing, we and our PRC legal counsel do not expect that, as of the date of this annual report, the current applicable PRC laws on cybersecurity would have a material adverse impact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meet regulatory requirements to prepare sufficiently for cybersecurity incident.</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July 26, 2023, the SEC promulgated final rules requiring public companies to have sufficient measures against cybersecurity incidents, including certain corporate governance and reporting requirements. If we are not able to implement relevant measures to comply with the SEC rules by December 31, 2023, we may be assessed a regulatory penalty due to non-compliance of the SEC rules. See Item 16K for Cybersecurity disclosure discussion.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meet continued listing standards on the NASDAQ Global Market.</w:t>
      </w:r>
    </w:p>
    <w:p>
      <w:pPr>
        <w:spacing w:after="0" w:line="20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5" w:name="page46"/>
    <w:bookmarkEnd w:id="45"/>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received a written notice from Nasdaq dated June 10, 2024, indicating that the closing bid price for our Common Shares fell below $1.00 per share for 30 consecutive trading days, which was not in compliance with Nasdaq Listing Rule 5450(a)(1). Pursuant to the Nasdaq Listing Rule 5810(c)(3)(A), the Company had been granted a 180-calendar day compliance period, until December 9, 2024, to regain compliance with the minimum bid price requirement. We received a notification from Nasdaq dated September 6, 2024, indicating that the closing bid price for our Common Shares has been at $1.00 per share or greater for the last 10 consecutive business days, which is in compliance with Nasdaq Listing Rule 5450(a)(1), and therefore, this case was closed. However, we cannot assure you that we can continue to meet the Nasdaq continued listing requirements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for our shares may be volatile.</w:t>
      </w:r>
    </w:p>
    <w:p>
      <w:pPr>
        <w:spacing w:after="0" w:line="205"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69" w:lineRule="exact"/>
        <w:rPr>
          <w:sz w:val="20"/>
          <w:szCs w:val="20"/>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our users, or our industry;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uncertainties with regard to our variable interest entity arrangements;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studies and reports relating to our service offerings or those of our competitors;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results of operations and changes or revisions of our expected results;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research analysts;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competitors of new product and service offerings, acquisitions, strategic relationships, joint ventures or capital commitments;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to or departures of our senior management;</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negative publicity about us, our management or our industry;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between the RMB and the U.S. dollar;</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or expiry of lock-up or other transfer restrictions on our outstanding common shares;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or perceived potential sales of additional common shares.</w:t>
      </w:r>
    </w:p>
    <w:p>
      <w:pPr>
        <w:spacing w:after="0" w:line="19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5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6" w:name="page47"/>
    <w:bookmarkEnd w:id="46"/>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40"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68"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Our directors have discretion under our post-offering memorandum and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5"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Judgments obtained against us by our shareholders may not be enforceable.</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5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40"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43" w:lineRule="exact"/>
        <w:rPr>
          <w:sz w:val="20"/>
          <w:szCs w:val="20"/>
          <w:color w:val="auto"/>
        </w:rPr>
      </w:pPr>
    </w:p>
    <w:p>
      <w:pPr>
        <w:ind w:left="860" w:hanging="287"/>
        <w:spacing w:after="0"/>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that regulate the solicitation of proxies, consents or authorizations in respect of a security registered under the Exchange Act;</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7" w:name="page48"/>
    <w:bookmarkEnd w:id="47"/>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may still choose to hold such meetings annually, among other things, to elect our directors. As a result, you may not have the same protections afforded to stockholders of companies that are not foreign private issuers.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lose our foreign private issuer status in the future, which could result in significant additional costs and expenses.</w:t>
      </w:r>
    </w:p>
    <w:p>
      <w:pPr>
        <w:spacing w:after="0" w:line="205"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The determination of our status as a foreign private issuer is made annually on the last business day of our most recently completed second fiscal quarter and, accordingly, the next determination will be made with respect to us on or after December 31, 2025.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risks relating to evaluations of controls required by Sarbanes-Oxley Act of 2002.</w:t>
      </w:r>
    </w:p>
    <w:p>
      <w:pPr>
        <w:spacing w:after="0" w:line="205"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continue to reply on exemption from auditor attestation requirements as a non-accelerated filer.</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Although we cease to be an “emerging growth company” on June 30, 2023 as such term is defined in the JOBS Act, we are a non-accelerated filer and are exempt from Section 404 requirement to have auditor attestation on our internal control over financial reporting, therefore affording investors less statutory protection.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if we are no longer a non-accelerated filer,then we will be subject to SOX 404b and our costs of operating as a public company may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classified as a passive foreign investment company, which could result in adverse U.S. federal income tax consequences to U.S. holders of our common shares.</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48" w:name="page49"/>
    <w:bookmarkEnd w:id="48"/>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40"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corporate structure, together with applicable law, may impede shareholders from asserting claims against us and our principals.</w:t>
      </w:r>
    </w:p>
    <w:p>
      <w:pPr>
        <w:spacing w:after="0" w:line="205"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All Large portion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61"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40"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Changes in general economic conditions, geopolitical conditions, U.S.-China trade relations and other factors beyond the Company’s control may adversely impact our business and operating results.</w:t>
      </w:r>
    </w:p>
    <w:p>
      <w:pPr>
        <w:spacing w:after="0" w:line="140"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operations and performance depend significantly on global and regional economic and geopolitical conditions. Adverse developments in these areas— particularly in U.S.-China relations—could materially affect our business, financial condition, results of operations, or cash flows.</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In recent years, escalating trade tensions between the United States and China have resulted in the imposition of tariffs, export controls, and other trade barriers. These measures have increased the cost of doing business, disrupted supply chains, and created uncertainty for companies operating across borders. If such trade restrictions continue or intensify, they may negatively impact our ability to serve customers, manage costs, or maintain competitive pricing.</w:t>
      </w:r>
    </w:p>
    <w:p>
      <w:pPr>
        <w:spacing w:after="0" w:line="156"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As of October 2025, U.S.-China trade tensions have sharply escalated, with the U.S. announcing 100% tariffs on all Chinese imports effective November 1, 2025, in response to China’s new export controls on rare earth minerals. China has retaliated with its own restrictions and port fees targeting U.S. vessels. These developments mark a significant intensification of the ongoing trade war, disrupting global supply chains, increasing costs for businesses, and contributing to market volatility. The situation remains fluid, with a potential meeting between U.S. and Chinese leaders at the upcoming APEC Summit offering a possible, though uncertain, path toward de-escalation.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addition to trade-related risks, a number of other economic and geopolitical factors could also adversely affect our operations, including:</w:t>
      </w:r>
    </w:p>
    <w:p>
      <w:pPr>
        <w:spacing w:after="0" w:line="201" w:lineRule="exact"/>
        <w:rPr>
          <w:sz w:val="20"/>
          <w:szCs w:val="20"/>
          <w:color w:val="auto"/>
        </w:rPr>
      </w:pPr>
    </w:p>
    <w:p>
      <w:pPr>
        <w:jc w:val="both"/>
        <w:ind w:left="860" w:hanging="287"/>
        <w:spacing w:after="0" w:line="267" w:lineRule="auto"/>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55"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intergovernmental conflicts or actions, including but not limited to armed conflict, trade wars, retaliatory tariffs, and acts of terrorism or war; and</w:t>
      </w:r>
    </w:p>
    <w:p>
      <w:pPr>
        <w:spacing w:after="0" w:line="200" w:lineRule="exact"/>
        <w:rPr>
          <w:rFonts w:ascii="Times New Roman" w:cs="Times New Roman" w:eastAsia="Times New Roman" w:hAnsi="Times New Roman"/>
          <w:sz w:val="16"/>
          <w:szCs w:val="16"/>
          <w:color w:val="auto"/>
        </w:rPr>
      </w:pPr>
    </w:p>
    <w:p>
      <w:pPr>
        <w:jc w:val="both"/>
        <w:ind w:left="860" w:hanging="287"/>
        <w:spacing w:after="0" w:line="267" w:lineRule="auto"/>
        <w:tabs>
          <w:tab w:leader="none" w:pos="8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56"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Any of the foregoing or similar factors could result in reduced demand for our services which, in turn, could have material adverse effects on our business and results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color w:val="auto"/>
        </w:rPr>
        <w:t>The planned initial public offering of JAJI Global may impact our operational results and financial reporting, and could give rise to related party transaction concerns.</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JAJI Global, a consolidated subsidiary of our company, is currently planning an initial public offering. If our equity interest in JAJI Global decreases to below 50% as a result of this offering, or any potential future offering, we may no longer consolidate its financial results. Such deconsolidation could materially affect our operational results and financial condition. It may also lead to changes in the presentation of our financial statements, including the recognition of gains or losses and the reclassification of intercompany balances.</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In addition, there are currently significant intercompany transactions between our company and JAJI Global, including loan arrangements and other financial dealings. If our equity interest in JAJI Global falls below 50%, these transactions may continue to be considered related party transactions under applicable accounting standards. This could subject us to additional disclosure requirements and increased scrutiny from regulators and investors.</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There can be no assurance that the initial public offering of JAJI Global will be completed as planned, or that our ongoing relationship with JAJI Global will not give rise to conflicts of interest or other risks that could adversely affect our business, financial condition, or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201" w:lineRule="exact"/>
        <w:rPr>
          <w:sz w:val="20"/>
          <w:szCs w:val="20"/>
          <w:color w:val="auto"/>
        </w:rPr>
      </w:pPr>
    </w:p>
    <w:p>
      <w:pPr>
        <w:ind w:left="580"/>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A.</w:t>
        <w:tab/>
        <w:t>History and Development of the Company</w:t>
      </w:r>
    </w:p>
    <w:p>
      <w:pPr>
        <w:spacing w:after="0" w:line="203"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are a global information technology (“IT”), consulting and solutions service provider, focused on delivering services primarily to global institutions, including banking, wealth management, ecommerce, and automotive areas both in China and globally. For 20 years, as an IT services provider for a growing network of clients within the fintech and financial services industry, CLPS has been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our clients. We have created and developed a particular market niche by providing turn-key financial solutions.</w:t>
      </w:r>
    </w:p>
    <w:p>
      <w:pPr>
        <w:spacing w:after="0" w:line="16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to evolve into data-driven, intelligent ecosystems.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History and Background</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December 23, 2005, CLPS Shanghai increased its registered capital to RMB1,000,000 (approximately US$123,671). Jingsu Pan and Xiaochun Deng respectively made full payment for their subscribed capital to RMB500,000 (approximately US$61,835) on December 21, 2005.</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50" w:name="page51"/>
    <w:bookmarkEnd w:id="50"/>
    <w:p>
      <w:pPr>
        <w:jc w:val="both"/>
        <w:ind w:right="20" w:firstLine="577"/>
        <w:spacing w:after="0" w:line="268" w:lineRule="auto"/>
        <w:rPr>
          <w:sz w:val="20"/>
          <w:szCs w:val="20"/>
          <w:color w:val="auto"/>
        </w:rPr>
      </w:pPr>
      <w:r>
        <w:rPr>
          <w:rFonts w:ascii="Times New Roman" w:cs="Times New Roman" w:eastAsia="Times New Roman" w:hAnsi="Times New Roman"/>
          <w:sz w:val="16"/>
          <w:szCs w:val="16"/>
          <w:color w:val="auto"/>
        </w:rPr>
        <w:t xml:space="preserve">On March 29, 2010, Yan Pan entered into a </w:t>
      </w:r>
      <w:r>
        <w:rPr>
          <w:rFonts w:ascii="Times New Roman" w:cs="Times New Roman" w:eastAsia="Times New Roman" w:hAnsi="Times New Roman"/>
          <w:sz w:val="16"/>
          <w:szCs w:val="16"/>
          <w:i w:val="1"/>
          <w:iCs w:val="1"/>
          <w:color w:val="auto"/>
        </w:rPr>
        <w:t>Share Purchase Agreement</w:t>
      </w:r>
      <w:r>
        <w:rPr>
          <w:rFonts w:ascii="Times New Roman" w:cs="Times New Roman" w:eastAsia="Times New Roman" w:hAnsi="Times New Roman"/>
          <w:sz w:val="16"/>
          <w:szCs w:val="16"/>
          <w:color w:val="auto"/>
        </w:rPr>
        <w:t xml:space="preserve"> with Jingsu Pan to purchase all of Jingsu Pan’s shares in CLPS Shanghai. Pursuant to the </w:t>
      </w:r>
      <w:r>
        <w:rPr>
          <w:rFonts w:ascii="Times New Roman" w:cs="Times New Roman" w:eastAsia="Times New Roman" w:hAnsi="Times New Roman"/>
          <w:sz w:val="16"/>
          <w:szCs w:val="16"/>
          <w:i w:val="1"/>
          <w:iCs w:val="1"/>
          <w:color w:val="auto"/>
        </w:rPr>
        <w:t>Share Purchase Agreement</w:t>
      </w:r>
      <w:r>
        <w:rPr>
          <w:rFonts w:ascii="Times New Roman" w:cs="Times New Roman" w:eastAsia="Times New Roman" w:hAnsi="Times New Roman"/>
          <w:sz w:val="16"/>
          <w:szCs w:val="16"/>
          <w:color w:val="auto"/>
        </w:rPr>
        <w:t>, Yan Pan paid RMB500,000 (approximately US$61,835) for 50% shares of CLPS Shanghai. After this share transfer, Yan Pan and Xiaochun Deng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held 50% shares of CLPS Shanghai.</w:t>
      </w:r>
    </w:p>
    <w:p>
      <w:pPr>
        <w:spacing w:after="0" w:line="153" w:lineRule="exact"/>
        <w:rPr>
          <w:sz w:val="20"/>
          <w:szCs w:val="20"/>
          <w:color w:val="auto"/>
        </w:rPr>
      </w:pPr>
    </w:p>
    <w:p>
      <w:pPr>
        <w:jc w:val="both"/>
        <w:ind w:right="20" w:firstLine="577"/>
        <w:spacing w:after="0" w:line="262" w:lineRule="auto"/>
        <w:rPr>
          <w:sz w:val="20"/>
          <w:szCs w:val="20"/>
          <w:color w:val="auto"/>
        </w:rPr>
      </w:pPr>
      <w:r>
        <w:rPr>
          <w:rFonts w:ascii="Times New Roman" w:cs="Times New Roman" w:eastAsia="Times New Roman" w:hAnsi="Times New Roman"/>
          <w:sz w:val="16"/>
          <w:szCs w:val="16"/>
          <w:color w:val="auto"/>
        </w:rPr>
        <w:t xml:space="preserve">On October 19, 2010, Raymond Ming Hui Lin entered into a </w:t>
      </w:r>
      <w:r>
        <w:rPr>
          <w:rFonts w:ascii="Times New Roman" w:cs="Times New Roman" w:eastAsia="Times New Roman" w:hAnsi="Times New Roman"/>
          <w:sz w:val="16"/>
          <w:szCs w:val="16"/>
          <w:i w:val="1"/>
          <w:iCs w:val="1"/>
          <w:color w:val="auto"/>
        </w:rPr>
        <w:t>Share Purchase Agreement</w:t>
      </w:r>
      <w:r>
        <w:rPr>
          <w:rFonts w:ascii="Times New Roman" w:cs="Times New Roman" w:eastAsia="Times New Roman" w:hAnsi="Times New Roman"/>
          <w:sz w:val="16"/>
          <w:szCs w:val="16"/>
          <w:color w:val="auto"/>
        </w:rPr>
        <w:t xml:space="preserve"> with Xiaochun Deng to purchase all of Xiaochun Deng’s shares in CLPS Shanghai. Pursuant to the </w:t>
      </w:r>
      <w:r>
        <w:rPr>
          <w:rFonts w:ascii="Times New Roman" w:cs="Times New Roman" w:eastAsia="Times New Roman" w:hAnsi="Times New Roman"/>
          <w:sz w:val="16"/>
          <w:szCs w:val="16"/>
          <w:i w:val="1"/>
          <w:iCs w:val="1"/>
          <w:color w:val="auto"/>
        </w:rPr>
        <w:t>Share Purchase Agreement</w:t>
      </w:r>
      <w:r>
        <w:rPr>
          <w:rFonts w:ascii="Times New Roman" w:cs="Times New Roman" w:eastAsia="Times New Roman" w:hAnsi="Times New Roman"/>
          <w:sz w:val="16"/>
          <w:szCs w:val="16"/>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61"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54" w:lineRule="exact"/>
        <w:rPr>
          <w:sz w:val="20"/>
          <w:szCs w:val="20"/>
          <w:color w:val="auto"/>
        </w:rPr>
      </w:pPr>
    </w:p>
    <w:p>
      <w:pPr>
        <w:jc w:val="both"/>
        <w:ind w:right="20" w:firstLine="577"/>
        <w:spacing w:after="0" w:line="268" w:lineRule="auto"/>
        <w:rPr>
          <w:sz w:val="20"/>
          <w:szCs w:val="20"/>
          <w:color w:val="auto"/>
        </w:rPr>
      </w:pPr>
      <w:r>
        <w:rPr>
          <w:rFonts w:ascii="Times New Roman" w:cs="Times New Roman" w:eastAsia="Times New Roman" w:hAnsi="Times New Roman"/>
          <w:sz w:val="16"/>
          <w:szCs w:val="16"/>
          <w:color w:val="auto"/>
        </w:rPr>
        <w:t xml:space="preserve">On October 30, 2013, Xiao Feng Yang entered into a </w:t>
      </w:r>
      <w:r>
        <w:rPr>
          <w:rFonts w:ascii="Times New Roman" w:cs="Times New Roman" w:eastAsia="Times New Roman" w:hAnsi="Times New Roman"/>
          <w:sz w:val="16"/>
          <w:szCs w:val="16"/>
          <w:i w:val="1"/>
          <w:iCs w:val="1"/>
          <w:color w:val="auto"/>
        </w:rPr>
        <w:t>Share Purchase Agreement</w:t>
      </w:r>
      <w:r>
        <w:rPr>
          <w:rFonts w:ascii="Times New Roman" w:cs="Times New Roman" w:eastAsia="Times New Roman" w:hAnsi="Times New Roman"/>
          <w:sz w:val="16"/>
          <w:szCs w:val="16"/>
          <w:color w:val="auto"/>
        </w:rPr>
        <w:t xml:space="preserve"> with Yan Pan to purchase all of Yan Pan’s shares in CLPS Shanghai. Pursuant to the </w:t>
      </w:r>
      <w:r>
        <w:rPr>
          <w:rFonts w:ascii="Times New Roman" w:cs="Times New Roman" w:eastAsia="Times New Roman" w:hAnsi="Times New Roman"/>
          <w:sz w:val="16"/>
          <w:szCs w:val="16"/>
          <w:i w:val="1"/>
          <w:iCs w:val="1"/>
          <w:color w:val="auto"/>
        </w:rPr>
        <w:t>Share Purchase Agreement</w:t>
      </w:r>
      <w:r>
        <w:rPr>
          <w:rFonts w:ascii="Times New Roman" w:cs="Times New Roman" w:eastAsia="Times New Roman" w:hAnsi="Times New Roman"/>
          <w:sz w:val="16"/>
          <w:szCs w:val="16"/>
          <w:color w:val="auto"/>
        </w:rPr>
        <w:t>, Xiao Feng Yang paid RMB2,500,000 (approximately US$399,993) for 50% shares of CLPS Shanghai. After this share transfer, Xiao Feng Yang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Raymond Ming Hui Lin respectively held 50% shares of CLPS Shanghai.</w:t>
      </w:r>
    </w:p>
    <w:p>
      <w:pPr>
        <w:spacing w:after="0" w:line="15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April 23, 2015, Raymond Ming Hui Lin paid RMB6,163,560 (approximately US$994,523) for the capital contribution that he has made.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May 27, 2015, Raymond Ming Hui Lin paid RMB3,391,883 (approximately US$546,980) for the capital contribution that he has made.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May 29, 2015, Xiao Feng Yang paid RMB4,400,000 (approximately US$709,906), plus with his cash dividends for the capital contribution that he has made.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August 5, 2015, Raymond Ming Hui Lin paid RMB3,894,060 (approximately US$627,103) for the capital contribution that he has made.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August 27, 2015, Raymond Ming Hui Lin paid RMB42,377 (approximately US$6,615) for the capital contribution that he has made.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July 21, 2015, Xiao Feng Yang paid RMB1,100,000 (approximately US$177,147) for the capital contribution that he has made.</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August 14, 2015, Xiao Feng Yang paid RMB8,000,000 (approximately US$1,251,799), plus with his cash dividends for the capital contribution that he has made.</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December 15, 2015, CLPS Shanghai changed its form into a PRC joint stock limited company. The share capital of CLPS Shanghai was RMB30,000,000, which was divided into 30,000,000 shares of RMB1.00 per share.</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INVESTORS</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92"/>
        </w:trPr>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 Feng Yang</w:t>
            </w:r>
          </w:p>
        </w:tc>
        <w:tc>
          <w:tcPr>
            <w:tcW w:w="12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PRC</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15,000,000</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2"/>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Raymond Ming Hui Lin</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Hong Kong</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15,000,000</w:t>
            </w:r>
          </w:p>
        </w:tc>
        <w:tc>
          <w:tcPr>
            <w:tcW w:w="100" w:type="dxa"/>
            <w:vAlign w:val="bottom"/>
          </w:tcPr>
          <w:p>
            <w:pPr>
              <w:spacing w:after="0"/>
              <w:rPr>
                <w:sz w:val="16"/>
                <w:szCs w:val="16"/>
                <w:color w:val="auto"/>
              </w:rPr>
            </w:pPr>
          </w:p>
        </w:tc>
      </w:tr>
      <w:tr>
        <w:trPr>
          <w:trHeight w:val="192"/>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Qinyao Investment Partnership (LLP)</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PRC</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1,700,000</w:t>
            </w:r>
          </w:p>
        </w:tc>
        <w:tc>
          <w:tcPr>
            <w:tcW w:w="100" w:type="dxa"/>
            <w:vAlign w:val="bottom"/>
            <w:shd w:val="clear" w:color="auto" w:fill="CCEEFF"/>
          </w:tcPr>
          <w:p>
            <w:pPr>
              <w:spacing w:after="0"/>
              <w:rPr>
                <w:sz w:val="16"/>
                <w:szCs w:val="16"/>
                <w:color w:val="auto"/>
              </w:rPr>
            </w:pPr>
          </w:p>
        </w:tc>
      </w:tr>
      <w:tr>
        <w:trPr>
          <w:trHeight w:val="192"/>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Shanghai Qinzhi Investment Partnership (LLP)</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PRC</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1,270,000</w:t>
            </w:r>
          </w:p>
        </w:tc>
        <w:tc>
          <w:tcPr>
            <w:tcW w:w="100" w:type="dxa"/>
            <w:vAlign w:val="bottom"/>
          </w:tcPr>
          <w:p>
            <w:pPr>
              <w:spacing w:after="0"/>
              <w:rPr>
                <w:sz w:val="16"/>
                <w:szCs w:val="16"/>
                <w:color w:val="auto"/>
              </w:rPr>
            </w:pPr>
          </w:p>
        </w:tc>
      </w:tr>
      <w:tr>
        <w:trPr>
          <w:trHeight w:val="236"/>
        </w:trPr>
        <w:tc>
          <w:tcPr>
            <w:tcW w:w="7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Qinshang Software Technology Counsel Partnership (LLP)</w:t>
            </w:r>
          </w:p>
        </w:tc>
        <w:tc>
          <w:tcPr>
            <w:tcW w:w="2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PRC</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05"/>
        </w:trPr>
        <w:tc>
          <w:tcPr>
            <w:tcW w:w="7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33,870,000</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51" w:name="page52"/>
    <w:bookmarkEnd w:id="51"/>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41" w:lineRule="exact"/>
        <w:rPr>
          <w:sz w:val="20"/>
          <w:szCs w:val="20"/>
          <w:color w:val="auto"/>
        </w:rPr>
      </w:pPr>
    </w:p>
    <w:p>
      <w:pPr>
        <w:jc w:val="both"/>
        <w:ind w:firstLine="577"/>
        <w:spacing w:after="0" w:line="268" w:lineRule="auto"/>
        <w:rPr>
          <w:sz w:val="20"/>
          <w:szCs w:val="20"/>
          <w:color w:val="auto"/>
        </w:rPr>
      </w:pPr>
      <w:r>
        <w:rPr>
          <w:rFonts w:ascii="Times New Roman" w:cs="Times New Roman" w:eastAsia="Times New Roman" w:hAnsi="Times New Roman"/>
          <w:sz w:val="16"/>
          <w:szCs w:val="16"/>
          <w:color w:val="auto"/>
        </w:rPr>
        <w:t xml:space="preserve">In August 2017, Qiner entered into three </w:t>
      </w:r>
      <w:r>
        <w:rPr>
          <w:rFonts w:ascii="Times New Roman" w:cs="Times New Roman" w:eastAsia="Times New Roman" w:hAnsi="Times New Roman"/>
          <w:sz w:val="16"/>
          <w:szCs w:val="16"/>
          <w:i w:val="1"/>
          <w:iCs w:val="1"/>
          <w:color w:val="auto"/>
        </w:rPr>
        <w:t>Share Purchase Agreements</w:t>
      </w:r>
      <w:r>
        <w:rPr>
          <w:rFonts w:ascii="Times New Roman" w:cs="Times New Roman" w:eastAsia="Times New Roman" w:hAnsi="Times New Roman"/>
          <w:sz w:val="16"/>
          <w:szCs w:val="16"/>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15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xml:space="preserve">On October 31, 2017, CLPS Incorporation entered into a </w:t>
      </w:r>
      <w:r>
        <w:rPr>
          <w:rFonts w:ascii="Times New Roman" w:cs="Times New Roman" w:eastAsia="Times New Roman" w:hAnsi="Times New Roman"/>
          <w:sz w:val="16"/>
          <w:szCs w:val="16"/>
          <w:i w:val="1"/>
          <w:iCs w:val="1"/>
          <w:color w:val="auto"/>
        </w:rPr>
        <w:t>SOLD NOTE</w:t>
      </w:r>
      <w:r>
        <w:rPr>
          <w:rFonts w:ascii="Times New Roman" w:cs="Times New Roman" w:eastAsia="Times New Roman" w:hAnsi="Times New Roman"/>
          <w:sz w:val="16"/>
          <w:szCs w:val="16"/>
          <w:color w:val="auto"/>
        </w:rPr>
        <w:t xml:space="preserve"> with Raymond Lin Ming Hui to purchase all of Raymond Lin Ming Hui’s shares in Qiner.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this transfer, CLPS Incorporation held 100% shares of Qiner. Qiner has become CLPS Incorporation’s wholly-owned subsidiary.</w:t>
      </w:r>
    </w:p>
    <w:p>
      <w:pPr>
        <w:spacing w:after="0" w:line="184"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 xml:space="preserve">In October 2017, all Chinese individual shareholders of CLPS Shanghai completed the procedures for foreign exchange registration of overseas investments in accordance with the </w:t>
      </w:r>
      <w:r>
        <w:rPr>
          <w:rFonts w:ascii="Times New Roman" w:cs="Times New Roman" w:eastAsia="Times New Roman" w:hAnsi="Times New Roman"/>
          <w:sz w:val="16"/>
          <w:szCs w:val="16"/>
          <w:i w:val="1"/>
          <w:iCs w:val="1"/>
          <w:color w:val="auto"/>
        </w:rPr>
        <w:t>Circular of the State Administration of Foreign Exchange on Issues concerning Foreign Exchange Administration over the Overseas Investment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Financing and Round-trip Investment by Domestic Residents via Special Purpose Vehicles </w:t>
      </w:r>
      <w:r>
        <w:rPr>
          <w:rFonts w:ascii="Times New Roman" w:cs="Times New Roman" w:eastAsia="Times New Roman" w:hAnsi="Times New Roman"/>
          <w:sz w:val="16"/>
          <w:szCs w:val="16"/>
          <w:color w:val="auto"/>
        </w:rPr>
        <w:t>(SAFE 2014 No. 37). After these registrations, CLPS QC (WOFE) entered into 46</w:t>
      </w:r>
      <w:r>
        <w:rPr>
          <w:rFonts w:ascii="Times New Roman" w:cs="Times New Roman" w:eastAsia="Times New Roman" w:hAnsi="Times New Roman"/>
          <w:sz w:val="16"/>
          <w:szCs w:val="16"/>
          <w:i w:val="1"/>
          <w:iCs w:val="1"/>
          <w:color w:val="auto"/>
        </w:rPr>
        <w:t xml:space="preserve"> Share Purchase Agreements </w:t>
      </w:r>
      <w:r>
        <w:rPr>
          <w:rFonts w:ascii="Times New Roman" w:cs="Times New Roman" w:eastAsia="Times New Roman" w:hAnsi="Times New Roman"/>
          <w:sz w:val="16"/>
          <w:szCs w:val="16"/>
          <w:color w:val="auto"/>
        </w:rPr>
        <w:t>with all 46 Chinese individual shareholders of which the 46 Chinese individual shareholders in total held 18,731,261 shares of CLPS Shanghai.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aforementioned share transfer was part of a reorganization of the group.</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November 2, 2017, the transfer between the 46 Chinese individual shareholders and CLPS QC (WOFE) has completed the record-filing of changes of Foreign-invested Company and got the record receipt.</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September 15, 2020, Shanghai Qincheng Information Technology Co., Ltd. and Qiner Co., Limited subscribed new shares issued by CLPS Shanghai. After the above-mentioned subscription, the shareholding structure of CLPS Shanghai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PLACE OF</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INVESTORS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192"/>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Qincheng Information Technology Co., Ltd.</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PRC</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27,651,699</w:t>
            </w:r>
          </w:p>
        </w:tc>
        <w:tc>
          <w:tcPr>
            <w:tcW w:w="120" w:type="dxa"/>
            <w:vAlign w:val="bottom"/>
            <w:tcBorders>
              <w:top w:val="single" w:sz="8" w:color="CCEEFF"/>
            </w:tcBorders>
            <w:shd w:val="clear" w:color="auto" w:fill="CCEEFF"/>
          </w:tcPr>
          <w:p>
            <w:pPr>
              <w:spacing w:after="0"/>
              <w:rPr>
                <w:sz w:val="16"/>
                <w:szCs w:val="16"/>
                <w:color w:val="auto"/>
              </w:rPr>
            </w:pPr>
          </w:p>
        </w:tc>
      </w:tr>
      <w:tr>
        <w:trPr>
          <w:trHeight w:val="208"/>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Qiner Co., Limited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Hong Kong</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22,348,301</w:t>
            </w:r>
          </w:p>
        </w:tc>
      </w:tr>
      <w:tr>
        <w:trPr>
          <w:trHeight w:val="19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As of the date of this Annual Report, CLPS Shanghai has seven wholly-owned subsidiaries: CLPS Chengdu, CLPS Shenzhen, CLPS Xi’an, CLPS Hangzhou, CLPS Dalian, CLPS Guangzhou, and CLPS Beijing. Besides the seven wholly-owned subsidiaries, CLPS Shanghai participated in the following investments:</w:t>
      </w:r>
    </w:p>
    <w:p>
      <w:pPr>
        <w:spacing w:after="0" w:line="141" w:lineRule="exact"/>
        <w:rPr>
          <w:sz w:val="20"/>
          <w:szCs w:val="20"/>
          <w:color w:val="auto"/>
        </w:rPr>
      </w:pPr>
    </w:p>
    <w:p>
      <w:pPr>
        <w:ind w:left="860" w:hanging="287"/>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SSIT </w:t>
      </w:r>
      <w:r>
        <w:rPr>
          <w:rFonts w:ascii="Times New Roman" w:cs="Times New Roman" w:eastAsia="Times New Roman" w:hAnsi="Times New Roman"/>
          <w:sz w:val="16"/>
          <w:szCs w:val="16"/>
          <w:color w:val="auto"/>
        </w:rPr>
        <w:t>— CLPS Shanghai holds 35% of equity interest in SSIT, a PRC limited liability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UniDev </w:t>
      </w:r>
      <w:r>
        <w:rPr>
          <w:rFonts w:ascii="Times New Roman" w:cs="Times New Roman" w:eastAsia="Times New Roman" w:hAnsi="Times New Roman"/>
          <w:sz w:val="16"/>
          <w:szCs w:val="16"/>
          <w:color w:val="auto"/>
        </w:rPr>
        <w:t>— CLPS Shanghai holds 15% of equity interest in UniDev, a PRC limited liability company.</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162" w:lineRule="exact"/>
        <w:rPr>
          <w:sz w:val="20"/>
          <w:szCs w:val="20"/>
          <w:color w:val="auto"/>
        </w:rPr>
      </w:pPr>
    </w:p>
    <w:p>
      <w:pPr>
        <w:ind w:left="860" w:hanging="287"/>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Dalian provides both IT consulting and solution services. CLPS Dalian services clients in China’s north east region, including Dalian.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Beijing primarily provides IT consulting services. CLPS Beijing services clients in China’s central east region, including Beijing and Tianjin.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SG currently only provides IT consulting services. CLPS SG services clients in South East Asia region, including Singapore.</w:t>
      </w:r>
    </w:p>
    <w:p>
      <w:pPr>
        <w:spacing w:after="0" w:line="200" w:lineRule="exact"/>
        <w:rPr>
          <w:rFonts w:ascii="Times New Roman" w:cs="Times New Roman" w:eastAsia="Times New Roman" w:hAnsi="Times New Roman"/>
          <w:sz w:val="16"/>
          <w:szCs w:val="16"/>
          <w:color w:val="auto"/>
        </w:rPr>
      </w:pPr>
    </w:p>
    <w:p>
      <w:pPr>
        <w:jc w:val="both"/>
        <w:ind w:left="860" w:hanging="287"/>
        <w:spacing w:after="0" w:line="261" w:lineRule="auto"/>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JAJI China was a subsidiary with the Judge Group in the US. JAJI China continues to service The Judge Group’s clients in China providing both IT consulting and solution services. JAJI China focuses on expanding its client bases with collaboration efforts with The Judge Group. 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2" w:name="page53"/>
    <w:bookmarkEnd w:id="52"/>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Hong Kong provides both IT consulting and solution services. CLPS Hong Kong services clients in East Asia region, including Hong Kong.</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Shenzhen provides both IT consulting and solution services. CLPS Shenzhen services clients in Shenzhen.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Guangzhou primarily provides IT consulting services. CLPS Guangzhou services clients in Guangzhou.</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Pte. provides IT consulting services. Ridik Pte. services clients in South East Asia region, including Singapore.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Software Pte. currently only provides IT consulting services. Ridik Software Pte. services in South East Asia region, including Singapore.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Sdn. primarily provides IT consulting services. Ridik Sdn. services in South East Asia region, including Malaysia.</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California provides IT consulting services. CLPS California services clients in North America, including the United States of America.</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Japan currently only provides IT consulting services. CLPS Japan services clients in Japan.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Philippines currently only provides IT consulting services. Ridik Philippines services clients in Philippines.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Shell Infotech Singapore currently only provides IT consulting services. Shell Infotech Singapore services clients in Singapore.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Ridik Indonesia currently only provides IT consulting services. Ridik Indonesia services clients in Indonesia.</w:t>
      </w:r>
    </w:p>
    <w:p>
      <w:pPr>
        <w:spacing w:after="0" w:line="200"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CLPS Shanghai, CLPS Dalian, CLPS Guangzhou, CLPS Beijing, JAJI China, Ridik Pte., CLPS Hong Kong, CLPS California, and Shell Infotech Singapore all contribute material amounts of the Company’s total revenues.</w:t>
      </w:r>
    </w:p>
    <w:p>
      <w:pPr>
        <w:spacing w:after="0" w:line="143" w:lineRule="exact"/>
        <w:rPr>
          <w:sz w:val="20"/>
          <w:szCs w:val="20"/>
          <w:color w:val="auto"/>
        </w:rPr>
      </w:pPr>
    </w:p>
    <w:p>
      <w:pPr>
        <w:jc w:val="both"/>
        <w:ind w:firstLine="641"/>
        <w:spacing w:after="0" w:line="267" w:lineRule="auto"/>
        <w:rPr>
          <w:sz w:val="20"/>
          <w:szCs w:val="20"/>
          <w:color w:val="auto"/>
        </w:rPr>
      </w:pPr>
      <w:r>
        <w:rPr>
          <w:rFonts w:ascii="Times New Roman" w:cs="Times New Roman" w:eastAsia="Times New Roman" w:hAnsi="Times New Roman"/>
          <w:sz w:val="16"/>
          <w:szCs w:val="16"/>
          <w:color w:val="auto"/>
        </w:rPr>
        <w:t>Academic education services generate revenue through fixed tuition fees for formal educational services. Tuition fees received from students are generally paid in advance prior to the beginning of each course. These services are provided by CAE, a Singapore-based learning institution that CLPS acquired in fiscal year 2024. Building on CAE’s current programs, CLPS has expanded the curriculum to include IT-related courses such as DevOps, ChatGPT, Python, SAFe Scrum Master, and more.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Information</w:t>
      </w:r>
    </w:p>
    <w:p>
      <w:pPr>
        <w:spacing w:after="0" w:line="203"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Our principal executive office is located at Unit 1000, 10th Floor, Millennium City III, 370 Kwun Tong Road, Kwun Tong, Kowloon, Hong Kong SAR. Our telephone number is (852)3707-3600. Our website is as follows www.clpsglobal.com. The information on our website is not part of this Annual Report.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1013460</wp:posOffset>
            </wp:positionH>
            <wp:positionV relativeFrom="paragraph">
              <wp:posOffset>137795</wp:posOffset>
            </wp:positionV>
            <wp:extent cx="5116195" cy="256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16195" cy="256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color w:val="auto"/>
        </w:rPr>
        <w:t>The Initial Public Offering</w:t>
      </w:r>
    </w:p>
    <w:p>
      <w:pPr>
        <w:spacing w:after="0" w:line="203"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6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54" w:lineRule="exact"/>
        <w:rPr>
          <w:sz w:val="20"/>
          <w:szCs w:val="20"/>
          <w:color w:val="auto"/>
        </w:rPr>
      </w:pPr>
    </w:p>
    <w:p>
      <w:pPr>
        <w:ind w:left="860" w:hanging="287"/>
        <w:spacing w:after="0"/>
        <w:tabs>
          <w:tab w:leader="none" w:pos="86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Overview</w:t>
      </w:r>
    </w:p>
    <w:p>
      <w:pPr>
        <w:spacing w:after="0" w:line="200"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Overview</w:t>
      </w:r>
    </w:p>
    <w:p>
      <w:pPr>
        <w:spacing w:after="0" w:line="203"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We are a global information technology (“IT”), consulting and solutions service provider focused on delivering services primarily to global institutions, including banking, wealth management, e-commerce, and automotive areas both in China and globally. For over 20 years as an IT services provider for a growing network of clients in the fintech and financial services industry, CLPS has been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our clients. We have created and developed a particular market niche by providing turn-key financial solutions.</w:t>
      </w:r>
    </w:p>
    <w:p>
      <w:pPr>
        <w:spacing w:after="0" w:line="16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to evolve into data-driven, intelligent ecosystems. Our extensive network enables us to serve diverse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color w:val="auto"/>
        </w:rPr>
        <w:t>Industry and Market Background</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China’s Banking Industry</w:t>
      </w:r>
    </w:p>
    <w:p>
      <w:pPr>
        <w:spacing w:after="0" w:line="203"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According to the 2024 annual report of China Banking and Insurance Regulatory Commission (CBIRC), China’s banking financial institutions had total assets of RMB 444.6 trillion (USD 60.9 trillion) at the end of 2024, a year-on-year increase of RMB 27.3 trillion (USD 3.7 trillion), or 6.5%. Total liabilities equalled to RMB 408.1 trillion (USD 55.9 trillion), a year-on-year increase of RMB 25.0 trillion (USD 3.4 trillion), or 6.5%. The total assets of banking financial institutions were RMB 94.3 trillion (USD 12.9 trillion) in 2010. Over the past 10 years, total assets of China’s banking financial institutions grew at a compound annual growth rate of more than 10%.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CBIRC continued the policies to open China’s banking industry for entry by foreign competitors to promote healthy competition in the industry. Since 2018, the CBIRC has announced three rounds of 34 new measures to further open up China to the outside world, such as abolishing or relaxing restrictions on foreign ownership, relaxing access conditions for foreign institutions and businesses, expanding the business scope of foreign institutions, optimizing regulatory rules for foreign institutions and simplifying administrative licensing procedures. By the end of June 2024, foreign banks had set up 41 foreign legal entities, 116 branches of foreign and Hong Kong, Macau, and Taiwan banks and 127 representative offices in China, with a total of 860 business institutions.</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Software and Information Technology Service Industry in China</w:t>
      </w:r>
    </w:p>
    <w:p>
      <w:pPr>
        <w:spacing w:after="0" w:line="20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According to the 2024 Economic Performance of the Software Industry report by the Ministry of Industry and Information Technology (MIIT), China’s software and information technology service industry operated well. The revenue of the software business grew steadily, the growth of total profit slowed down, and the software business export maintained positive growth.</w:t>
      </w:r>
    </w:p>
    <w:p>
      <w:pPr>
        <w:spacing w:after="0" w:line="156"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China’s software and information technology services industry has developed and grown rapidly in recent years. The MIIT data showed that the industry’s revenue reached RMB 13.7 trillion (USD 1.9 trillion) in 2024, an increase of 10.0% compared to 2023. Profitability remained stable. In 2024, the industry achieved a total profit of RMB 1.69 trillion (USD 231.5 billion), representing an increase of 8.7% compared to the previous year. Software exports slowed down, with the software business exporting USD 56.9 billion in 2024, an increase of 3.5% from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1440815</wp:posOffset>
            </wp:positionH>
            <wp:positionV relativeFrom="paragraph">
              <wp:posOffset>113030</wp:posOffset>
            </wp:positionV>
            <wp:extent cx="4230370" cy="2420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30370"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Data Source: The Ministry of Industry and Information Technology, National Bureau of Statistics of China.</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development of China’s software and IT service industry is generally characterized by:</w:t>
      </w:r>
    </w:p>
    <w:p>
      <w:pPr>
        <w:spacing w:after="0" w:line="199" w:lineRule="exact"/>
        <w:rPr>
          <w:sz w:val="20"/>
          <w:szCs w:val="20"/>
          <w:color w:val="auto"/>
        </w:rPr>
      </w:pPr>
    </w:p>
    <w:p>
      <w:pPr>
        <w:jc w:val="both"/>
        <w:ind w:left="860" w:right="20" w:hanging="287"/>
        <w:spacing w:after="0" w:line="268" w:lineRule="auto"/>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Software products </w:t>
      </w:r>
      <w:r>
        <w:rPr>
          <w:rFonts w:ascii="Times New Roman" w:cs="Times New Roman" w:eastAsia="Times New Roman" w:hAnsi="Times New Roman"/>
          <w:sz w:val="16"/>
          <w:szCs w:val="16"/>
          <w:color w:val="auto"/>
        </w:rPr>
        <w:t>— In 2024, the industry’s revenue from software products reached RMB 3.04 trillion (USD 416.5 billion), an increase of 6.6% over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 year, accounting for 22.2% of the industry’s revenue. Among them, the revenues from industrial software products are RMB 191.9 billion (USD 26.3 billion), an increase of 7.4%.</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55" w:name="page56"/>
    <w:bookmarkEnd w:id="55"/>
    <w:p>
      <w:pPr>
        <w:jc w:val="both"/>
        <w:ind w:left="860" w:right="20" w:hanging="287"/>
        <w:spacing w:after="0" w:line="259" w:lineRule="auto"/>
        <w:tabs>
          <w:tab w:leader="none" w:pos="86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Information technology services </w:t>
      </w:r>
      <w:r>
        <w:rPr>
          <w:rFonts w:ascii="Times New Roman" w:cs="Times New Roman" w:eastAsia="Times New Roman" w:hAnsi="Times New Roman"/>
          <w:sz w:val="16"/>
          <w:szCs w:val="16"/>
          <w:color w:val="auto"/>
        </w:rPr>
        <w:t>— In 2024, the industry’s revenue from information technology services reached RMB 9.2 trillion (USD 1.3 trillion), an increase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11.0% over the previous year, accounting for 67.2% of the industry’s revenue. Among them, the aggregate revenues from cloud services and big data services were RMB 1.4 trillion (USD 191.8 billion), up by 9.9% year-on-year, accounting for 15.3% of the information technology services revenue. Integrated circuit design services revenues reached RMB 364.4 billion (USD 49.9 billion), an increase of 16.4% over the previous year. E-commerce platform technical services revenues reached RMB 1.4 trillion (USD 191.8 billion), an increase of 11.4% over the previous year.</w:t>
      </w:r>
    </w:p>
    <w:p>
      <w:pPr>
        <w:spacing w:after="0" w:line="161" w:lineRule="exact"/>
        <w:rPr>
          <w:rFonts w:ascii="Times New Roman" w:cs="Times New Roman" w:eastAsia="Times New Roman" w:hAnsi="Times New Roman"/>
          <w:sz w:val="16"/>
          <w:szCs w:val="16"/>
          <w:i w:val="1"/>
          <w:iCs w:val="1"/>
          <w:color w:val="auto"/>
        </w:rPr>
      </w:pPr>
    </w:p>
    <w:p>
      <w:pPr>
        <w:ind w:left="860" w:right="20" w:hanging="287"/>
        <w:spacing w:after="0" w:line="285" w:lineRule="auto"/>
        <w:tabs>
          <w:tab w:leader="none" w:pos="86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Information security products and services — </w:t>
      </w:r>
      <w:r>
        <w:rPr>
          <w:rFonts w:ascii="Times New Roman" w:cs="Times New Roman" w:eastAsia="Times New Roman" w:hAnsi="Times New Roman"/>
          <w:sz w:val="16"/>
          <w:szCs w:val="16"/>
          <w:color w:val="auto"/>
        </w:rPr>
        <w:t>In 2024, the revenue of information security products and services reached RMB 229.0 billion (USD 31.4 billion),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 increase of 5.1% over the previous year.</w:t>
      </w:r>
    </w:p>
    <w:p>
      <w:pPr>
        <w:spacing w:after="0" w:line="140" w:lineRule="exact"/>
        <w:rPr>
          <w:rFonts w:ascii="Times New Roman" w:cs="Times New Roman" w:eastAsia="Times New Roman" w:hAnsi="Times New Roman"/>
          <w:sz w:val="16"/>
          <w:szCs w:val="16"/>
          <w:i w:val="1"/>
          <w:iCs w:val="1"/>
          <w:color w:val="auto"/>
        </w:rPr>
      </w:pPr>
    </w:p>
    <w:p>
      <w:pPr>
        <w:ind w:left="860" w:right="20" w:hanging="287"/>
        <w:spacing w:after="0" w:line="285" w:lineRule="auto"/>
        <w:tabs>
          <w:tab w:leader="none" w:pos="86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Embedded system software — </w:t>
      </w:r>
      <w:r>
        <w:rPr>
          <w:rFonts w:ascii="Times New Roman" w:cs="Times New Roman" w:eastAsia="Times New Roman" w:hAnsi="Times New Roman"/>
          <w:sz w:val="16"/>
          <w:szCs w:val="16"/>
          <w:color w:val="auto"/>
        </w:rPr>
        <w:t>In 2024, the revenue of embedded system software reached RMB 1.2 trillion (USD 164.4 billion), an increase of 11.8% over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previous year.</w:t>
      </w:r>
    </w:p>
    <w:p>
      <w:pPr>
        <w:spacing w:after="0" w:line="140" w:lineRule="exact"/>
        <w:rPr>
          <w:rFonts w:ascii="Times New Roman" w:cs="Times New Roman" w:eastAsia="Times New Roman" w:hAnsi="Times New Roman"/>
          <w:sz w:val="16"/>
          <w:szCs w:val="16"/>
          <w:i w:val="1"/>
          <w:iCs w:val="1"/>
          <w:color w:val="auto"/>
        </w:rPr>
      </w:pPr>
    </w:p>
    <w:p>
      <w:pPr>
        <w:jc w:val="both"/>
        <w:ind w:left="860" w:right="20" w:hanging="287"/>
        <w:spacing w:after="0" w:line="262" w:lineRule="auto"/>
        <w:tabs>
          <w:tab w:leader="none" w:pos="860" w:val="left"/>
        </w:tabs>
        <w:numPr>
          <w:ilvl w:val="0"/>
          <w:numId w:val="2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Development on regional level </w:t>
      </w:r>
      <w:r>
        <w:rPr>
          <w:rFonts w:ascii="Times New Roman" w:cs="Times New Roman" w:eastAsia="Times New Roman" w:hAnsi="Times New Roman"/>
          <w:sz w:val="16"/>
          <w:szCs w:val="16"/>
          <w:color w:val="auto"/>
        </w:rPr>
        <w:t>— The eastern region continued to lead. In 2024, revenue from software business completed in eastern, central, western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northeastern regions were RMB 11.3 trillion (USD 1.5 trillion), RMB 734.1 billion (USD 100.6 billion), RMB 1.4 trillion (USD 191.8 billion) and RMB 313.7 billion (USD 43.0 billion), respectively, with growth rates of 10.1%, 11.5%, 8.5% and 8.9% year-on-year, respectively, accounting for 82.3%,5.3%, 10% and 2.3% of the national software industry, respectively.</w:t>
      </w:r>
    </w:p>
    <w:p>
      <w:pPr>
        <w:spacing w:after="0" w:line="161"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Financial institutions/banking IT solutions refer to the software or IT related services provided by professional IT service providers who use their own experience and technology to meet each bank’s needs in business development, strategic development, and management efficiency. The market shares of China’s Banking IT Solution Industry from 2010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-12065</wp:posOffset>
            </wp:positionV>
            <wp:extent cx="4230370" cy="25120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30370"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Data Source: IDC</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According to IDC’s 2024 China Banking IT Solution Market Share report, the IT investment budget of China’s banking industry has been reduced. Although the market size of IT solutions for China’s banking industry has grown, the growth rate continues to slow down compared with that of 2023.</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In 2024, the overall market size of China’s banking IT solution market reached RMB 71.3 billion (USD 9.8 billion), an increase of 2.9% over 2023. IDC predicts that by 2029, the IT solution market for China’s banking industry will reach RMB 103.94 billion (USD 14.2 billion), with a compound growth rate of 7.8% from 2024 to 2029.</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IDC research found that the overall banking IT solution market presents the following characteristics:</w:t>
      </w:r>
    </w:p>
    <w:p>
      <w:pPr>
        <w:spacing w:after="0" w:line="201" w:lineRule="exact"/>
        <w:rPr>
          <w:sz w:val="20"/>
          <w:szCs w:val="20"/>
          <w:color w:val="auto"/>
        </w:rPr>
      </w:pPr>
    </w:p>
    <w:p>
      <w:pPr>
        <w:ind w:left="860" w:hanging="287"/>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cost reduction and efficiency improvement among commercial banks has significantly increased.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independent innovation remains the main theme for all commercial banks.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banks are paying more attention to the in-depth development of existing customers and the optimization of internal operation and management costs.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demand for the autonomous transformation and adaptation of financial market business systems, especially fund business, is relatively urgent.</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large models are also an important market hotspot this year. It has also brought many driving forces to the expansion of the market size of this solution.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6"/>
          <w:szCs w:val="16"/>
          <w:color w:val="auto"/>
        </w:rPr>
        <w:t>Our primary focus is in the following key operational areas: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Banking</w:t>
      </w:r>
    </w:p>
    <w:p>
      <w:pPr>
        <w:spacing w:after="0" w:line="201"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CLPS offers a competitive advantage in the banking industry by providing professional IT consulting and solutions. We’ve established strategic partnerships with global financial institutions to deliver comprehensive banking IT services, including system implementation, testing, and enhancement for various functions like loans, savings, deposits, general ledger, account management, anti-money-laundering, risk control, and credit cards.</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Whether you’re focused on traditional or online banking, CLPS offers a wide range of business modules and advanced fintech solutions. With over 20 years of experience and partnerships with leading banks, we provide a complete service package encompassing planning, development, optimization, software quality assurance, and IT staffing. This ensures banks achieve the optimal balance between cost and development for their IT needs.</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deep understanding of the banking industry enables us to deliver best-in-class fintech solutions. These include expertise in core banking, credit cards, loans, centralized system operations and maintenance, and enterprise quality management. Leveraging our global delivery experience, we offer integrated development, mainframe and open platform integration, mobile apps, quality management, cloud, and big data solutions.</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continues to innovate and has developed its own IP-protected products for key banking areas. Our innovative core products, including CAKU credit card system, loan management, and digital currency platforms, are built on our rich project experience. We help banks stay ahead of the curve, reduce costs, and enhance competitiveness.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CLPS drives fintech innovation, helping its clients excel in a competitive market and achieve sustainable growth.”</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Revenues from our banking area were approximately $64.1 million, $57.2 million, and $61.5 million for the years ended June 30, 2025, 2024, and 2023,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 from our banking area accounted for 39.0%, 40.0%, and 40.9% of our total revenues in fiscal years 2025, 2024, and 2023, respectively.</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Significant portion of our services caters the banking clients.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u w:val="single" w:color="auto"/>
          <w:color w:val="auto"/>
        </w:rPr>
        <w:t>Credit Card Area</w:t>
      </w:r>
    </w:p>
    <w:p>
      <w:pPr>
        <w:spacing w:after="0" w:line="201"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Many global credit card issuers maintain branches and supporting technical infrastructure in China. The development, testing, support, and maintenance of these platforms require a deep understanding and knowledge of the underlying business processes. Due to a shortage of qualified personnel and resources, there is a significant demand for IT consulting services among large-scale credit card platforms. CLPS offers over a decade of experience in IT consulting services for key credit card business areas, including credit card applications, account setup, authorization and activation, settlement, collection, promotion, point systems, anti-fraud, statement, reporting, and risk management. In recent years, we have successfully helped China and global clients manage their credit card IT systems, such as VisionPLUS. Our expertise extends to customizing these credit card tools and platforms to suit various business models.</w:t>
      </w:r>
    </w:p>
    <w:p>
      <w:pPr>
        <w:spacing w:after="0" w:line="16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Our highly experienced team possesses the requisite expertise to provide credit card-related services. Our IT consulting professionals are based in Shanghai, Dalian, and Hong Kong, offering services in various currencies across different geographical regions, including China, Singapore, the UK, the Philippines, Indonesia, and Latin America. To better meet our clients’ needs, we have developed a series of credit card solutions. These solutions leverage our deep understanding of the industry and our proven track record of success.”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Revenues from our credit card area were approximately $2.4 million, $2.5 million, and $4.3 million, for the years ended June 30, 2025, 2024, and 2023,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 from our credit card area accounted for 3.8%, 4.4%, and 7.0%, of our banking revenues in fiscal years 2025, 2024, and 2023, respectively.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6"/>
          <w:szCs w:val="16"/>
          <w:u w:val="single" w:color="auto"/>
          <w:color w:val="auto"/>
        </w:rPr>
        <w:t>Core Banking Area</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are one of China’s largest core banking system services providers for global banks. As many global banks establish IT development centers and expand their operations in China, there is a growing demand for comprehensive core banking IT services.</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With over a decade of experience, we offer the support and expertise needed to implement core banking systems, including business analysis, system design, development, testing, maintenance, and global operation support. Our services cover multiple functions such as loans, deposits, general ledger, wealth management, debit cards, anti-money-laundering, statement and reporting, and risk management.</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also provide architecture consulting services for core banking systems, online banking, and mobile banking. We successfully transformed the centralized core banking system of a US-based client into a service-oriented architecture, integrating it into a global unified version to meet its diverse market needs.</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Moreover, we leverage cloud-native solutions with microservices architecture for core banking systems. This approach can serve both Chinese and global banks by offering high flexibility, scalability, reliability, and multichannel connectivity to address the evolving market demands.</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Revenues from our core banking area were approximately $61.7 million, $54.6 million, and $57.2 million, for the years ended June 30, 2025, 2024, and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Wealth Management</w:t>
      </w:r>
    </w:p>
    <w:p>
      <w:pPr>
        <w:spacing w:after="0" w:line="201"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This report defines ‘wealth management’ as encompassing financial industry segments beyond banking, including investment banking, funds, insurance, securities, futures, clearing, consumer financing, online financing, and supply chain financing. CLPS has been a prominent player in the wealth management sector for nearly two decades, offering solutions that span system construction consulting, system development, and testing management for clients in securities, funds, insurance, and trust industries.</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Drawing on its extensive project experience and service expertise, CLPS provides comprehensive solutions covering core business, customer management and outreach, channel construction, overall system operation and maintenance, and internal company management within the financial management field.</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has successfully developed and implemented multiple management systems in specialized areas, including risk management, decision engines, quantitative investment, mobile cloud testing, unified operation and maintenance platforms, and enterprise digital management. In 2024, CLPS forged a strategic partnership with a leading Hong Kong insurance technology company.</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Furthermore, CLPS continues to supply a global talent pool for its clients. The company currently boasts a team of over 1,000 professionals in the wealth management field, encompassing R&amp;D, testing, operation and maintenance, and senior business experts. This team is strategically distributed across key cities in China, Southeast Asia, and North America.</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Revenues from our wealth management area were approximately $29.3 million, $35.6 million, and $37.4 million for the years ended June 30, 2025, 2024, and 2023, respectively. Revenues from our wealth management area accounted for 17.8%, 24.9%, and 24.9% of our total revenues in fiscal years 2025, 2024, and 2023,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auto"/>
        </w:rPr>
        <w:t>E-Commerce</w:t>
      </w:r>
    </w:p>
    <w:p>
      <w:pPr>
        <w:spacing w:after="0" w:line="201"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At the forefront of technological innovation and business modeling, CLPS drives continuous innovation in the e-commerce landscape. CLPS’s e-commerce system comprehensively supports a diverse range of business models, including online marketplaces, cross-border e-commerce, live streaming, social media, and more. Characterized by its broad scope and adaptability, the system efficiently accommodates evolving business needs, offering flexible implementation solutions such as “0-1” system construction, optimization of existing systems, business operations, and marketing planning.</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With a holistic e-commerce service approach encompassing ‘system construction + business operations + marketing planning,’ CLPS empowers clients to rapidly establish their systems, streamline operations, and enhance marketing campaign conversions.</w:t>
      </w:r>
    </w:p>
    <w:p>
      <w:pPr>
        <w:spacing w:after="0" w:line="143" w:lineRule="exact"/>
        <w:rPr>
          <w:sz w:val="20"/>
          <w:szCs w:val="20"/>
          <w:color w:val="auto"/>
        </w:rPr>
      </w:pPr>
    </w:p>
    <w:p>
      <w:pPr>
        <w:jc w:val="both"/>
        <w:ind w:left="860" w:right="20" w:hanging="287"/>
        <w:spacing w:after="0" w:line="267" w:lineRule="auto"/>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E-commerce system construction: CLPS provides a comprehensive e-commerce platform tailored to various modes, including traditional e-commerce, cross-border e-commerce, live streaming, and social media. Key features encompass transaction settlement, operational management, marketing activities, account systems, and membership systems.</w:t>
      </w:r>
    </w:p>
    <w:p>
      <w:pPr>
        <w:spacing w:after="0" w:line="155" w:lineRule="exact"/>
        <w:rPr>
          <w:rFonts w:ascii="Times New Roman" w:cs="Times New Roman" w:eastAsia="Times New Roman" w:hAnsi="Times New Roman"/>
          <w:sz w:val="16"/>
          <w:szCs w:val="16"/>
          <w:color w:val="auto"/>
        </w:rPr>
      </w:pPr>
    </w:p>
    <w:p>
      <w:pPr>
        <w:jc w:val="both"/>
        <w:ind w:left="860" w:right="20" w:hanging="287"/>
        <w:spacing w:after="0" w:line="267" w:lineRule="auto"/>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E-commerce business operations: CLPS offers a refined e-commerce operational system, providing planning, design, development, and customer service through digital marketing platforms. Leveraging strategic partnerships, CLPS offers unique resource advantages and promotion channels to optimize clients’ marketing effectiveness.</w:t>
      </w:r>
    </w:p>
    <w:p>
      <w:pPr>
        <w:spacing w:after="0" w:line="155"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Digital RMB (Points) Mall: As a pioneer in digital RMB application services, CLPS provides a comprehensive solution for digital RMB (points) malls, encompassing exchange rules, account design, risk control, membership system construction, and multi-level online marketplace development.</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Revenues from our e-Commerce area were approximately $29.8 million, $21.2 million, and $25.5 million for the years ended June 30, 2025, 2024, and 2023, respectively. Revenues from our e-Commerce area accounted for 18.1%, 14.8%, and 17.0% of our total revenues in fiscal years 2025, 2024, and 2023,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Automotive</w:t>
      </w:r>
    </w:p>
    <w:p>
      <w:pPr>
        <w:spacing w:after="0" w:line="201"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CLPS’s deep involvement in automotive encompasses a wide range of areas, including big data governance, data analysis, intelligent cockpits, in-car experience interaction, and in-car marketplaces. For instance, we employ multiple in-vehicle sensors to monitor human health indicators, deliver personalized in-car system applications to users through vehicle cloud data, and create cloud-based competition rankings by integrating in-car data with racing venues for interactive experiences.</w:t>
      </w:r>
    </w:p>
    <w:p>
      <w:pPr>
        <w:spacing w:after="0" w:line="1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Leveraging big data and AI, we analyze vehicle performance data, driving behavior, and other information to provide valuable insights and optimization solutions for automotive manufacturers and service providers. CLPS has cultivated extensive research and development capabilities in various subfields of intelligent automobiles and has demonstrated the value of its products in automotive company implementations. Key areas of expertise include self-parking assistance, vehicle-cloud interaction experiences, vehicle safety technology, data-driven intelligent analysis, vehicle-to-vehicle communication, and safety monitoring and surveillance.</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Revenues from our automotive area were approximately $20.8 million, $14.2 million, and $14.2 million for the years ended June 30, 2025, 2024, and 2023, respectively. Revenues from our automotive area accounted for 12.6%, 10.0%, and 9.4% of our total revenues in fiscal 2025, 2024, and 2023, respectively.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business scope in terms of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Consulting Services</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Revenues from IT consulting services are recognized from time-and-expense basis contracts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provide IT consulting services to our clients in the banking, wealth management, e-commerce, and automotive industries, among others.</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Revenues from our IT consulting services were approximately $158.8 million, $136.8 million, and $144.3 million, respectively. Revenues from our IT consulting services accounted for 96.5%, 95.8%, and 96.0% of our total revenues in fiscal years 2025, 2024, and 2023,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color w:val="auto"/>
        </w:rPr>
        <w:t>Customized IT Solution Services</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Revenues from fixed-price 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provides customized IT solution services to our clients in the banking, wealth management, e-commerce, and automotive industries, among others. Such services included but not limited to unified research and development platform, mainframe and open platform, business process management (BPM), testing center of excellence (TCoE), robotic process automation (RPA), mobile app, among others.</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will continue to develop our new IT solutions to meet the evolving needs of our Chinese and global financial institutional clientele drawing upon the forward-looking research of our R&amp;D center.</w:t>
      </w:r>
    </w:p>
    <w:p>
      <w:pPr>
        <w:spacing w:after="0" w:line="143"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Revenues from our customized IT solution services were approximately $2.8 million, $3.1 million, and $4.6 million, respectively. Revenues from our customized IT solution services accounted for 1.7%, 2.2%, and 3.0% of our total revenues in fiscal years 2025, 2024, and 2023,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Academic Education Services</w:t>
      </w:r>
    </w:p>
    <w:p>
      <w:pPr>
        <w:spacing w:after="0" w:line="20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Academic education services, provided by CAE, generate revenue through fixed tuition fees for formal educational services. Building on CAE’s current programs, CLPS has expanded the curriculum to include IT-related courses such as DevOps, ChatGPT, Python, SAFe® Scrum Master, and more. CAE has been actively working to bridge the gap between academic education and business practice. A diverse faculty of over 100 members, including seasoned professors, industry experts, and associates, is dedicated to achieving this goal. Furthermore, significant investments are being made to develop a state-of-the-art urban campus in Singapore’s financial business district. Moving forward, CAE plans to establish applied skills facilities and a business mentorship program to provide students with internship opportunities, project collaborations, and career guidance. This strategic initiative will equip students with in-demand skills, knowledge, and valuable internship and job opportunities to facilitate their transition into the workforce.</w:t>
      </w:r>
    </w:p>
    <w:p>
      <w:pPr>
        <w:spacing w:after="0" w:line="16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CLPS completely acquired CAE on January 3, 2024. Revenues generated from academic education were $2.0 million and $1.0 million for fiscal years 2025 and 2024, respectively. Revenues from academic education services accounted for 1.2% and 0.7% of our total revenues in fiscal years 2025 and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Services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CLPS Virtual Banking Platform (CLB)</w:t>
      </w:r>
    </w:p>
    <w:p>
      <w:pPr>
        <w:spacing w:after="0" w:line="203" w:lineRule="exact"/>
        <w:rPr>
          <w:sz w:val="20"/>
          <w:szCs w:val="20"/>
          <w:color w:val="auto"/>
        </w:rPr>
      </w:pPr>
    </w:p>
    <w:p>
      <w:pPr>
        <w:jc w:val="both"/>
        <w:ind w:right="20" w:firstLine="577"/>
        <w:spacing w:after="0" w:line="284" w:lineRule="auto"/>
        <w:rPr>
          <w:sz w:val="20"/>
          <w:szCs w:val="20"/>
          <w:color w:val="auto"/>
        </w:rPr>
      </w:pPr>
      <w:r>
        <w:rPr>
          <w:rFonts w:ascii="Times New Roman" w:cs="Times New Roman" w:eastAsia="Times New Roman" w:hAnsi="Times New Roman"/>
          <w:sz w:val="15"/>
          <w:szCs w:val="15"/>
          <w:color w:val="auto"/>
        </w:rPr>
        <w:t>CLB is a unique and successful training platform for IT talents owned by CLPS. For more than ten 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Recruitment and Headhunting</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As per client’s request, we are capable of providing the most suitable person for a position. The Company maintains 90 talent acquisition staff with rich industry background and knowledge. Our recruitment centers are well equipped of advanced technology, such as cloud platforms, big data, RPA, and AI to accelerate the talent acquisition process. As a result, CLPS obtains qualified talent, reduce talent acquisition costs, meet the growing demands of talent from its existing and potential clients, and achieve meaningful growth.</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6"/>
          <w:szCs w:val="16"/>
          <w:i w:val="1"/>
          <w:iCs w:val="1"/>
          <w:color w:val="auto"/>
        </w:rPr>
        <w:t>Fee-For-Service Training</w:t>
      </w:r>
    </w:p>
    <w:p>
      <w:pPr>
        <w:spacing w:after="0" w:line="20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Under the fee-for-service training, we incur charges for clients based on their training needs. Generally, it includes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However, the training content and approach can be customized based on the client’s training needs.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Software Sales</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Software sales segment focuses on delivering comprehensive software solutions to our clients. We offer a range of services, including software implementation and ongoing management. Our team of experts works closely with clients to identify their specific needs and recommend suitable software solutions.</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Revenues from our other services were approximately $0.9 million, $1.8 million, and $1.5 million, respectively. Revenues from our other services accounted for 0.5%, 1.2%, and 1.0% of our total revenues in fiscal years 2025, 2024, and 2023,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Strategies</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have developed and intend to implement the following strategies to expand and grow the revenue, the number of employees, and the number of service locations of our Company:</w:t>
      </w:r>
    </w:p>
    <w:p>
      <w:pPr>
        <w:spacing w:after="0" w:line="141" w:lineRule="exact"/>
        <w:rPr>
          <w:sz w:val="20"/>
          <w:szCs w:val="20"/>
          <w:color w:val="auto"/>
        </w:rPr>
      </w:pPr>
    </w:p>
    <w:p>
      <w:pPr>
        <w:jc w:val="both"/>
        <w:ind w:left="860" w:right="20" w:hanging="287"/>
        <w:spacing w:after="0" w:line="257" w:lineRule="auto"/>
        <w:tabs>
          <w:tab w:leader="none" w:pos="8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Grow revenue with existing and new clients </w:t>
      </w:r>
      <w:r>
        <w:rPr>
          <w:rFonts w:ascii="Times New Roman" w:cs="Times New Roman" w:eastAsia="Times New Roman" w:hAnsi="Times New Roman"/>
          <w:sz w:val="16"/>
          <w:szCs w:val="16"/>
          <w:color w:val="auto"/>
        </w:rPr>
        <w:t>— We intend to pursue additional revenue opportunities from existing Chinese and global clients, which include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66"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fiscal year 2025, revenues from existing and new clients accounted for 97.9% and 2.1% of the total revenue, respectively.</w:t>
      </w:r>
    </w:p>
    <w:p>
      <w:pPr>
        <w:spacing w:after="0" w:line="198" w:lineRule="exact"/>
        <w:rPr>
          <w:rFonts w:ascii="Times New Roman" w:cs="Times New Roman" w:eastAsia="Times New Roman" w:hAnsi="Times New Roman"/>
          <w:sz w:val="16"/>
          <w:szCs w:val="16"/>
          <w:color w:val="auto"/>
        </w:rPr>
      </w:pPr>
    </w:p>
    <w:p>
      <w:pPr>
        <w:jc w:val="both"/>
        <w:ind w:left="860" w:hanging="287"/>
        <w:spacing w:after="0" w:line="259" w:lineRule="auto"/>
        <w:tabs>
          <w:tab w:leader="none" w:pos="860" w:val="left"/>
        </w:tabs>
        <w:numPr>
          <w:ilvl w:val="0"/>
          <w:numId w:val="3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Continue to invest in research and development, deepen domain expertise and develop specific solutions for target industry verticals </w:t>
      </w:r>
      <w:r>
        <w:rPr>
          <w:rFonts w:ascii="Times New Roman" w:cs="Times New Roman" w:eastAsia="Times New Roman" w:hAnsi="Times New Roman"/>
          <w:sz w:val="16"/>
          <w:szCs w:val="16"/>
          <w:color w:val="auto"/>
        </w:rPr>
        <w:t>— We will continue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63" w:lineRule="exact"/>
        <w:rPr>
          <w:rFonts w:ascii="Times New Roman" w:cs="Times New Roman" w:eastAsia="Times New Roman" w:hAnsi="Times New Roman"/>
          <w:sz w:val="16"/>
          <w:szCs w:val="16"/>
          <w:i w:val="1"/>
          <w:iCs w:val="1"/>
          <w:color w:val="auto"/>
        </w:rPr>
      </w:pPr>
    </w:p>
    <w:p>
      <w:pPr>
        <w:jc w:val="both"/>
        <w:ind w:left="860"/>
        <w:spacing w:after="0" w:line="267"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Big data empowers businesses to tailor services precisely to client needs. By extracting valuable insights from vast datasets, organizations can optimize product design, enhance user experience, and identify emerging market trends. CLPS offers comprehensive data services and IT solutions to help organizations unlock the full potential of big data across various industries.</w:t>
      </w:r>
    </w:p>
    <w:p>
      <w:pPr>
        <w:spacing w:after="0" w:line="155" w:lineRule="exact"/>
        <w:rPr>
          <w:rFonts w:ascii="Times New Roman" w:cs="Times New Roman" w:eastAsia="Times New Roman" w:hAnsi="Times New Roman"/>
          <w:sz w:val="16"/>
          <w:szCs w:val="16"/>
          <w:i w:val="1"/>
          <w:iCs w:val="1"/>
          <w:color w:val="auto"/>
        </w:rPr>
      </w:pPr>
    </w:p>
    <w:p>
      <w:pPr>
        <w:jc w:val="both"/>
        <w:ind w:left="860"/>
        <w:spacing w:after="0" w:line="267"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expertise extends to cloud-based and on-premises system management, virtualization, and major cloud platforms. We specialize in building custom ‘private clouds’ for clients and offer comprehensive cloud services including migration, monitoring, operation, training, and tailored solutions. Our focus is on transforming financial institutions through cloud migration, cloud-native application development, data management, and multi-cloud integration.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61" w:name="page62"/>
    <w:bookmarkEnd w:id="61"/>
    <w:p>
      <w:pPr>
        <w:jc w:val="both"/>
        <w:ind w:left="287" w:right="20"/>
        <w:spacing w:after="0" w:line="257" w:lineRule="auto"/>
        <w:rPr>
          <w:sz w:val="20"/>
          <w:szCs w:val="20"/>
          <w:color w:val="auto"/>
        </w:rPr>
      </w:pPr>
      <w:r>
        <w:rPr>
          <w:rFonts w:ascii="Times New Roman" w:cs="Times New Roman" w:eastAsia="Times New Roman" w:hAnsi="Times New Roman"/>
          <w:sz w:val="16"/>
          <w:szCs w:val="16"/>
          <w:color w:val="auto"/>
        </w:rPr>
        <w:t>In AI, CLPS also provides a unified platform for rapid development of custom Large Language Model (LLM) agents. Our platform offers a conversational interface, rich human-computer interaction, flexible agent management and triggering, customizable integration, pre-built skill templates, a visual workflow builder, a tool marketplace, and an LLMOps experimentation environment. In addition, CLPS is a leading force in AIGC technology, focusing on research, application development, and ecosystem building. We are committed to pioneering AIGC advancements through innovative algorithms and models. By delivering tailored AIGC solutions across industries, we empower businesses to drive digital transformation. Our collaborative approach fosters an open ecosystem that promotes industry-wide growth and development.</w:t>
      </w:r>
    </w:p>
    <w:p>
      <w:pPr>
        <w:spacing w:after="0" w:line="165" w:lineRule="exact"/>
        <w:rPr>
          <w:sz w:val="20"/>
          <w:szCs w:val="20"/>
          <w:color w:val="auto"/>
        </w:rPr>
      </w:pPr>
    </w:p>
    <w:p>
      <w:pPr>
        <w:jc w:val="both"/>
        <w:ind w:left="287" w:right="20"/>
        <w:spacing w:after="0" w:line="283" w:lineRule="auto"/>
        <w:rPr>
          <w:sz w:val="20"/>
          <w:szCs w:val="20"/>
          <w:color w:val="auto"/>
        </w:rPr>
      </w:pPr>
      <w:r>
        <w:rPr>
          <w:rFonts w:ascii="Times New Roman" w:cs="Times New Roman" w:eastAsia="Times New Roman" w:hAnsi="Times New Roman"/>
          <w:sz w:val="16"/>
          <w:szCs w:val="16"/>
          <w:color w:val="auto"/>
        </w:rPr>
        <w:t>Furthermore, CLPS leverages blockchain technology to revolutionize the banking and financial services industry. By partnering with clients, we explore innovative blockchain applications to transform traditional banking models and deliver cutting-edge financial services.</w:t>
      </w:r>
    </w:p>
    <w:p>
      <w:pPr>
        <w:spacing w:after="0" w:line="141" w:lineRule="exact"/>
        <w:rPr>
          <w:sz w:val="20"/>
          <w:szCs w:val="20"/>
          <w:color w:val="auto"/>
        </w:rPr>
      </w:pPr>
    </w:p>
    <w:p>
      <w:pPr>
        <w:jc w:val="both"/>
        <w:ind w:left="287" w:hanging="287"/>
        <w:spacing w:after="0" w:line="254" w:lineRule="auto"/>
        <w:tabs>
          <w:tab w:leader="none" w:pos="287" w:val="left"/>
        </w:tabs>
        <w:numPr>
          <w:ilvl w:val="0"/>
          <w:numId w:val="3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Continue to invest in training and development of our world-class human capital base </w:t>
      </w:r>
      <w:r>
        <w:rPr>
          <w:rFonts w:ascii="Times New Roman" w:cs="Times New Roman" w:eastAsia="Times New Roman" w:hAnsi="Times New Roman"/>
          <w:sz w:val="16"/>
          <w:szCs w:val="16"/>
          <w:color w:val="auto"/>
        </w:rPr>
        <w:t>— We place a high priority on attracting, training, developing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retaining our human capital base to be increasingly competitive. Spearheaded by the CLPS Academy, we will continue to build our professional talent pool through our TCP and TDP to ensure the sustainable supply of financial IT talent resources. These programs are the result of our collaboration with universities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spacing w:after="0" w:line="171" w:lineRule="exact"/>
        <w:rPr>
          <w:rFonts w:ascii="Times New Roman" w:cs="Times New Roman" w:eastAsia="Times New Roman" w:hAnsi="Times New Roman"/>
          <w:sz w:val="16"/>
          <w:szCs w:val="16"/>
          <w:i w:val="1"/>
          <w:iCs w:val="1"/>
          <w:color w:val="auto"/>
        </w:rPr>
      </w:pPr>
    </w:p>
    <w:p>
      <w:pPr>
        <w:ind w:left="287"/>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For the fiscal year 2025, we trained more than 196 interns.</w:t>
      </w:r>
    </w:p>
    <w:p>
      <w:pPr>
        <w:spacing w:after="0" w:line="200" w:lineRule="exact"/>
        <w:rPr>
          <w:rFonts w:ascii="Times New Roman" w:cs="Times New Roman" w:eastAsia="Times New Roman" w:hAnsi="Times New Roman"/>
          <w:sz w:val="16"/>
          <w:szCs w:val="16"/>
          <w:i w:val="1"/>
          <w:iCs w:val="1"/>
          <w:color w:val="auto"/>
        </w:rPr>
      </w:pPr>
    </w:p>
    <w:p>
      <w:pPr>
        <w:jc w:val="both"/>
        <w:ind w:left="287" w:right="20"/>
        <w:spacing w:after="0" w:line="267"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CLPS’s acquisition of College of Allied Educators Pte. Ltd. (CAE) marks a strategic expansion into the academic education sector. CAE, a Singapore-based learning institution, complements CLPS’s existing business by providing a platform for vertical integration. In addition to CAE’s current course offerings, we have introduced IT-related programs, creating valuable internship and job opportunities for graduates.</w:t>
      </w:r>
    </w:p>
    <w:p>
      <w:pPr>
        <w:spacing w:after="0" w:line="153" w:lineRule="exact"/>
        <w:rPr>
          <w:rFonts w:ascii="Times New Roman" w:cs="Times New Roman" w:eastAsia="Times New Roman" w:hAnsi="Times New Roman"/>
          <w:sz w:val="16"/>
          <w:szCs w:val="16"/>
          <w:i w:val="1"/>
          <w:iCs w:val="1"/>
          <w:color w:val="auto"/>
        </w:rPr>
      </w:pPr>
    </w:p>
    <w:p>
      <w:pPr>
        <w:jc w:val="both"/>
        <w:ind w:left="287" w:hanging="287"/>
        <w:spacing w:after="0" w:line="257" w:lineRule="auto"/>
        <w:tabs>
          <w:tab w:leader="none" w:pos="287" w:val="left"/>
        </w:tabs>
        <w:numPr>
          <w:ilvl w:val="0"/>
          <w:numId w:val="3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Drive efficiencies through ongoing improvements in operational excellence </w:t>
      </w:r>
      <w:r>
        <w:rPr>
          <w:rFonts w:ascii="Times New Roman" w:cs="Times New Roman" w:eastAsia="Times New Roman" w:hAnsi="Times New Roman"/>
          <w:sz w:val="16"/>
          <w:szCs w:val="16"/>
          <w:color w:val="auto"/>
        </w:rPr>
        <w:t>— We strive to gain significant operating efficiencies by leveraging historical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64" w:lineRule="exact"/>
        <w:rPr>
          <w:rFonts w:ascii="Times New Roman" w:cs="Times New Roman" w:eastAsia="Times New Roman" w:hAnsi="Times New Roman"/>
          <w:sz w:val="16"/>
          <w:szCs w:val="16"/>
          <w:i w:val="1"/>
          <w:iCs w:val="1"/>
          <w:color w:val="auto"/>
        </w:rPr>
      </w:pPr>
    </w:p>
    <w:p>
      <w:pPr>
        <w:jc w:val="both"/>
        <w:ind w:left="287" w:right="20" w:hanging="287"/>
        <w:spacing w:after="0" w:line="262" w:lineRule="auto"/>
        <w:tabs>
          <w:tab w:leader="none" w:pos="28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Capture new growth opportunities through strategic alliances and acquisitions </w:t>
      </w:r>
      <w:r>
        <w:rPr>
          <w:rFonts w:ascii="Times New Roman" w:cs="Times New Roman" w:eastAsia="Times New Roman" w:hAnsi="Times New Roman"/>
          <w:sz w:val="16"/>
          <w:szCs w:val="16"/>
          <w:color w:val="auto"/>
        </w:rPr>
        <w:t>— We will continue to pursue selective alliances and acquisitions in order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353" w:lineRule="exact"/>
        <w:rPr>
          <w:sz w:val="20"/>
          <w:szCs w:val="20"/>
          <w:color w:val="auto"/>
        </w:rPr>
      </w:pPr>
    </w:p>
    <w:p>
      <w:pPr>
        <w:ind w:left="4967"/>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15875</wp:posOffset>
            </wp:positionV>
            <wp:extent cx="71475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687"/>
          </w:cols>
          <w:pgMar w:left="893" w:top="796" w:right="319" w:bottom="1440" w:gutter="0" w:footer="0" w:header="0"/>
        </w:sectPr>
      </w:pPr>
    </w:p>
    <w:bookmarkStart w:id="62" w:name="page63"/>
    <w:bookmarkEnd w:id="62"/>
    <w:p>
      <w:pPr>
        <w:jc w:val="both"/>
        <w:ind w:left="860" w:hanging="287"/>
        <w:spacing w:after="0" w:line="268" w:lineRule="auto"/>
        <w:tabs>
          <w:tab w:leader="none" w:pos="86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Continue to implement our global expansion strategy </w:t>
      </w:r>
      <w:r>
        <w:rPr>
          <w:rFonts w:ascii="Times New Roman" w:cs="Times New Roman" w:eastAsia="Times New Roman" w:hAnsi="Times New Roman"/>
          <w:sz w:val="16"/>
          <w:szCs w:val="16"/>
          <w:color w:val="auto"/>
        </w:rPr>
        <w:t>— We remain focused on investing in our long-term sustainable growth and delivering on our dual-engine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strategy of horizontal and vertical expansion. We will continue to pursue growth in our global footprint and market share as well as in technological and talent development. By delivering on our strategy, we expect to drive shareholder value.</w:t>
      </w:r>
    </w:p>
    <w:p>
      <w:pPr>
        <w:spacing w:after="0" w:line="155" w:lineRule="exact"/>
        <w:rPr>
          <w:rFonts w:ascii="Times New Roman" w:cs="Times New Roman" w:eastAsia="Times New Roman" w:hAnsi="Times New Roman"/>
          <w:sz w:val="16"/>
          <w:szCs w:val="16"/>
          <w:i w:val="1"/>
          <w:iCs w:val="1"/>
          <w:color w:val="auto"/>
        </w:rPr>
      </w:pPr>
    </w:p>
    <w:p>
      <w:pPr>
        <w:jc w:val="both"/>
        <w:ind w:left="860"/>
        <w:spacing w:after="0" w:line="261"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We established new subsidiaries in strategic global markets to broaden our footprint and enhance our service offerings. We launched Ridik Dubai in the United Arab Emirates, marking our entry into the Middle East market. This move aims to provide advanced IT services and solutions to local and international businesses. We further expanded our presence in Southeast Asia by establishing Ridik Indonesia, positioning ourselves to capitalize on the region’s growth potential.</w:t>
      </w:r>
    </w:p>
    <w:p>
      <w:pPr>
        <w:spacing w:after="0" w:line="161" w:lineRule="exact"/>
        <w:rPr>
          <w:rFonts w:ascii="Times New Roman" w:cs="Times New Roman" w:eastAsia="Times New Roman" w:hAnsi="Times New Roman"/>
          <w:sz w:val="16"/>
          <w:szCs w:val="16"/>
          <w:i w:val="1"/>
          <w:iCs w:val="1"/>
          <w:color w:val="auto"/>
        </w:rPr>
      </w:pPr>
    </w:p>
    <w:p>
      <w:pPr>
        <w:ind w:left="860"/>
        <w:spacing w:after="0" w:line="283"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We deepened our integration of business and education by inaugurating the College of Allied Educators (CAE) in Singapore. This wholly-owned learning institution is designed to foster talent development and support our technological and operational needs.</w:t>
      </w:r>
    </w:p>
    <w:p>
      <w:pPr>
        <w:spacing w:after="0" w:line="141" w:lineRule="exact"/>
        <w:rPr>
          <w:rFonts w:ascii="Times New Roman" w:cs="Times New Roman" w:eastAsia="Times New Roman" w:hAnsi="Times New Roman"/>
          <w:sz w:val="16"/>
          <w:szCs w:val="16"/>
          <w:i w:val="1"/>
          <w:iCs w:val="1"/>
          <w:color w:val="auto"/>
        </w:rPr>
      </w:pPr>
    </w:p>
    <w:p>
      <w:pPr>
        <w:jc w:val="both"/>
        <w:ind w:left="860" w:hanging="287"/>
        <w:spacing w:after="0" w:line="262" w:lineRule="auto"/>
        <w:tabs>
          <w:tab w:leader="none" w:pos="860" w:val="left"/>
        </w:tabs>
        <w:numPr>
          <w:ilvl w:val="0"/>
          <w:numId w:val="34"/>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Capitalizing on growth opportunities through strategic diversification into emerging sectors </w:t>
      </w:r>
      <w:r>
        <w:rPr>
          <w:rFonts w:ascii="Times New Roman" w:cs="Times New Roman" w:eastAsia="Times New Roman" w:hAnsi="Times New Roman"/>
          <w:sz w:val="16"/>
          <w:szCs w:val="16"/>
          <w:color w:val="auto"/>
        </w:rPr>
        <w:t>—Our diverse business lines span sectors including fintech, payment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credit services, e-commerce, education and study abroad programs, and global tourism integrated with transportation services. While maintaining its focus on IT services, the company is broadening its reach into these industries, applying its expertise to drive innovation and capture emerging market opportunities. This approach allows CLPS to enhance service delivery, explore new revenue streams, and strengthen its competitive position across multiple sectors.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believe that the principal competitive factors in our markets are industry expertise, breadth and depth of service offerings, quality of the services offered, strategic engagement with blue-chip clients, reputation and track record, marketing and selling skills, scalability of infrastructure and price.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believe that there are several key strengths that differentiate us from our competitors and will continue to contribute to our growth and success.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Breadth and depth of digital transformation service offerings</w:t>
      </w:r>
    </w:p>
    <w:p>
      <w:pPr>
        <w:spacing w:after="0" w:line="201"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provides staffing-based consulting services, turn-key financial solutions, and implementation of advanced technologies, enabling clients to build new or enhance their existing systems. We are fully committed of providing digital transformation services with focused on financial and technology in the banking, wealth management, e-commerce, and automotive industries, among others, through the utilization of innovative technology to achieve our client’s goals.</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We are dedicated to providing a full range of services and solutions across technology needs in finance. We are able to provide both development and implementation of core banking, credit card, online and e-commerce systems, as well as expertise across technology stacks. More recently, we have tested and piloted leading edge technologies including cloud transitions, RPA, big data and blockchain. We are also exploring and implementing applications in AI.</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Talent Creation Program, Talent Development Program, and Academic Education</w:t>
      </w:r>
    </w:p>
    <w:p>
      <w:pPr>
        <w:spacing w:after="0" w:line="201" w:lineRule="exact"/>
        <w:rPr>
          <w:sz w:val="20"/>
          <w:szCs w:val="20"/>
          <w:color w:val="auto"/>
        </w:rPr>
      </w:pPr>
    </w:p>
    <w:p>
      <w:pPr>
        <w:jc w:val="both"/>
        <w:ind w:right="20" w:firstLine="577"/>
        <w:spacing w:after="0" w:line="254" w:lineRule="auto"/>
        <w:rPr>
          <w:sz w:val="20"/>
          <w:szCs w:val="20"/>
          <w:color w:val="auto"/>
        </w:rPr>
      </w:pPr>
      <w:r>
        <w:rPr>
          <w:rFonts w:ascii="Times New Roman" w:cs="Times New Roman" w:eastAsia="Times New Roman" w:hAnsi="Times New Roman"/>
          <w:sz w:val="16"/>
          <w:szCs w:val="16"/>
          <w:color w:val="auto"/>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15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qualified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For the fiscal year 2025, we trained 196 interns.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63" w:name="page64"/>
    <w:bookmarkEnd w:id="63"/>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TDP program is a continuous internal training program for our skilled-professionals in order to serve our clients better. The TDP program increases our professionals’ skillsets and business knowledge in their respective domain and technical fields. Since 2005, through our TCP and TDP programs, we have trained and retained a large pool of specialized personnel skilled in serving financial-related industry clients.</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56" w:lineRule="exact"/>
        <w:rPr>
          <w:sz w:val="20"/>
          <w:szCs w:val="20"/>
          <w:color w:val="auto"/>
        </w:rPr>
      </w:pPr>
    </w:p>
    <w:p>
      <w:pPr>
        <w:ind w:left="860" w:hanging="287"/>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core competency particularly in banking and insurance industry;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deep domain knowledge and solutions in financial industry verticals;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strategic engagements with financial blue-chip clients most of whom have been with us since our inception;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comprehensive service offerings including financial IT solutions &amp; consulting as well as other services;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experienced senior management team with proven track record of success.</w:t>
      </w:r>
    </w:p>
    <w:p>
      <w:pPr>
        <w:spacing w:after="0" w:line="201"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has strategically expanded into the academic education sector by acquiring CAE, a Singapore-based learning institution. CAE complements CLPS’s existing business by providing a platform for vertical integration. In addition to CAE’s current course offerings, we have introduced IT-related programs, creating valuable internship and job opportunities for graduates.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Leading provider of human capital in the financial and technology industry</w:t>
      </w:r>
    </w:p>
    <w:p>
      <w:pPr>
        <w:spacing w:after="0" w:line="201"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CLPS is a leading provider of IT professionals in the financial and technology industry, such in banking, wealth management, e-commerce, automotive, and others. We create, develop, and maintain a large pool of qualified and rich experienced talents, with bilingual or multilingual capability so support the client’s communication need, which is vital for a business’ success.</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As of fiscal year 2025, CLPS maintained more than 3,534 employees, of which, more than 2,982 IT talents serve our customers. Among them, more than 98.3% work full-time for customers and the rest of the 1.7% work on project-based such as IT engineers, project managers, business analysts, among others, or are involved in research of innovative projects.</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greatest edge in terms of human capital is our employees’ English communication skills capability and are familiar with international financial business environment. In terms of our overall IT skills, we maintain even distribution and relatively adequate resources of talent pool with capabilities in Java, Cobol, quality control, and other cutting-edge technology such as data analysis.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Expanding global footprint across key markets</w:t>
      </w:r>
    </w:p>
    <w:p>
      <w:pPr>
        <w:spacing w:after="0" w:line="201"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CLPS has steadily broadened its international presence to support clients in diverse regions and industries. The Company operates in key markets including mainland China, Hong Kong SAR, Singapore, the United States, India, Japan, Canada, the Philippines, Malaysia, the United Arab Emirates, and Indonesia. This growing footprint enables CLPS to engage with multinational enterprises, deliver cross-border technology solutions, and capture opportunities in both mature and emerging markets. By strategically positioning itself across Asia, North America, and the Middle East, CLPS is strengthening its competitiveness and paving the way for sustained global growth.</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4" w:name="page65"/>
    <w:bookmarkEnd w:id="64"/>
    <w:p>
      <w:pPr>
        <w:ind w:firstLine="577"/>
        <w:spacing w:after="0" w:line="283" w:lineRule="auto"/>
        <w:rPr>
          <w:sz w:val="20"/>
          <w:szCs w:val="20"/>
          <w:color w:val="auto"/>
        </w:rPr>
      </w:pPr>
      <w:r>
        <w:rPr>
          <w:rFonts w:ascii="Times New Roman" w:cs="Times New Roman" w:eastAsia="Times New Roman" w:hAnsi="Times New Roman"/>
          <w:sz w:val="16"/>
          <w:szCs w:val="16"/>
          <w:color w:val="auto"/>
        </w:rPr>
        <w:t>As of fiscal year 2025, CLPS’s revenue generated outside mainland China grew by 90.5% year-over-year to $42.5 million, underscoring the rising global demand for the Company’s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clients include large corporations headquartered in China and globally which include, among others:</w:t>
      </w:r>
    </w:p>
    <w:p>
      <w:pPr>
        <w:spacing w:after="0" w:line="199" w:lineRule="exact"/>
        <w:rPr>
          <w:sz w:val="20"/>
          <w:szCs w:val="20"/>
          <w:color w:val="auto"/>
        </w:rPr>
      </w:pPr>
    </w:p>
    <w:p>
      <w:pPr>
        <w:ind w:left="860" w:hanging="287"/>
        <w:spacing w:after="0" w:line="285" w:lineRule="auto"/>
        <w:tabs>
          <w:tab w:leader="none" w:pos="86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Banking or their China-based IT centers </w:t>
      </w:r>
      <w:r>
        <w:rPr>
          <w:rFonts w:ascii="Times New Roman" w:cs="Times New Roman" w:eastAsia="Times New Roman" w:hAnsi="Times New Roman"/>
          <w:sz w:val="16"/>
          <w:szCs w:val="16"/>
          <w:color w:val="auto"/>
        </w:rPr>
        <w:t>— HSBC, Standard Chartered Bank (China) Ltd., The Bank of East Asia, Limited, Bank of China (Hong Kong)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ANZ Bank, and Bank of Communications.</w:t>
      </w:r>
    </w:p>
    <w:p>
      <w:pPr>
        <w:spacing w:after="0" w:line="140" w:lineRule="exact"/>
        <w:rPr>
          <w:rFonts w:ascii="Times New Roman" w:cs="Times New Roman" w:eastAsia="Times New Roman" w:hAnsi="Times New Roman"/>
          <w:sz w:val="16"/>
          <w:szCs w:val="16"/>
          <w:i w:val="1"/>
          <w:iCs w:val="1"/>
          <w:color w:val="auto"/>
        </w:rPr>
      </w:pPr>
    </w:p>
    <w:p>
      <w:pPr>
        <w:ind w:left="860" w:hanging="287"/>
        <w:spacing w:after="0"/>
        <w:tabs>
          <w:tab w:leader="none" w:pos="86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Wealth Management </w:t>
      </w:r>
      <w:r>
        <w:rPr>
          <w:rFonts w:ascii="Times New Roman" w:cs="Times New Roman" w:eastAsia="Times New Roman" w:hAnsi="Times New Roman"/>
          <w:sz w:val="16"/>
          <w:szCs w:val="16"/>
          <w:color w:val="auto"/>
        </w:rPr>
        <w:t>— AIA, CUP Data, First Data, and Orient Securities.</w:t>
      </w:r>
    </w:p>
    <w:p>
      <w:pPr>
        <w:spacing w:after="0" w:line="200" w:lineRule="exact"/>
        <w:rPr>
          <w:rFonts w:ascii="Times New Roman" w:cs="Times New Roman" w:eastAsia="Times New Roman" w:hAnsi="Times New Roman"/>
          <w:sz w:val="16"/>
          <w:szCs w:val="16"/>
          <w:i w:val="1"/>
          <w:iCs w:val="1"/>
          <w:color w:val="auto"/>
        </w:rPr>
      </w:pPr>
    </w:p>
    <w:p>
      <w:pPr>
        <w:ind w:left="860" w:hanging="287"/>
        <w:spacing w:after="0"/>
        <w:tabs>
          <w:tab w:leader="none" w:pos="86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E-Commerce </w:t>
      </w:r>
      <w:r>
        <w:rPr>
          <w:rFonts w:ascii="Times New Roman" w:cs="Times New Roman" w:eastAsia="Times New Roman" w:hAnsi="Times New Roman"/>
          <w:sz w:val="16"/>
          <w:szCs w:val="16"/>
          <w:color w:val="auto"/>
        </w:rPr>
        <w:t>— eBay, PayPal, Greendot Shanghai, Stubhub, and Gumtree.</w:t>
      </w:r>
    </w:p>
    <w:p>
      <w:pPr>
        <w:spacing w:after="0" w:line="200" w:lineRule="exact"/>
        <w:rPr>
          <w:rFonts w:ascii="Times New Roman" w:cs="Times New Roman" w:eastAsia="Times New Roman" w:hAnsi="Times New Roman"/>
          <w:sz w:val="16"/>
          <w:szCs w:val="16"/>
          <w:i w:val="1"/>
          <w:iCs w:val="1"/>
          <w:color w:val="auto"/>
        </w:rPr>
      </w:pPr>
    </w:p>
    <w:p>
      <w:pPr>
        <w:ind w:left="860" w:hanging="287"/>
        <w:spacing w:after="0"/>
        <w:tabs>
          <w:tab w:leader="none" w:pos="860" w:val="left"/>
        </w:tabs>
        <w:numPr>
          <w:ilvl w:val="0"/>
          <w:numId w:val="3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Automotive and Technology </w:t>
      </w:r>
      <w:r>
        <w:rPr>
          <w:rFonts w:ascii="Times New Roman" w:cs="Times New Roman" w:eastAsia="Times New Roman" w:hAnsi="Times New Roman"/>
          <w:sz w:val="16"/>
          <w:szCs w:val="16"/>
          <w:color w:val="auto"/>
        </w:rPr>
        <w:t>— SAIC Motors, Rising Auto, Sony, Cisco, AGFA Healthcare, Neusoft, and Kodak.</w:t>
      </w:r>
    </w:p>
    <w:p>
      <w:pPr>
        <w:spacing w:after="0" w:line="203"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By serving both Chinese and global clients on a common platform, we are able to leverage the shared resources, management, industry expertise and technology know-how to attract new business and remain cost competitive.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20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We have invested in building a broad sales force and marketing team. As of June 30, 2025, our business development teams consisted of 67 full-time sales and marketing personnel, including 31 sales managers, each of whom is responsible for a designated sales region or client account. We plan to enhance our sales efforts by recruiting more sales personnel both domestically and overseas.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03"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203"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Officially named the CLPS Innovation Lab (“CLPS i-Lab)”, our R&amp;D is an integral part of our continued growth. In order to serve our Chinese and global clients’ needs better, we are fully committed on researching and developing cutting-edge technology including distributed application systems, cloud computing, micro services, open API, RPA, blockchain, AI, and big data, among other technologies, with a focus on continuous scientific and technological innovation to provide clients with more comprehensive and efficient IT services.</w:t>
      </w:r>
    </w:p>
    <w:p>
      <w:pPr>
        <w:spacing w:after="0" w:line="162"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Big data offers businesses a powerful tool to understand customer behavior and tailor their offerings accordingly. By analyzing vast datasets, organizations can gain insights into customer preferences, optimize product design, and predict future trends. CLPS research provides comprehensive data services and IT solutions to help businesses harness the potential of big data, including data engineering, data science, data governance, data innovation, and data product development. CLPS also offers data platform, data warehouse, data governance, and data science capabilities to support organizations in their big data initiatives.</w:t>
      </w:r>
    </w:p>
    <w:p>
      <w:pPr>
        <w:spacing w:after="0" w:line="162"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CLPS offers extensive experience in cloud computing, specializing in virtualization and major cloud platforms. Our expertise extends beyond product development to building custom private clouds and providing comprehensive cloud services. CLPS focuses on transforming financial institutions through cloud migration, cloud-native application development, data management, and multi-cloud integration. They aim to empower financial institutions with flexible, scalable, and innovative digital solutions. Key technologies include distributed storage, microservices, cloud migration, cloud monitoring and operations, virtualization technologies, containerization technologies, automated management, cloud security, multi-cloud management, and unified logging. Cloud computing offers enhanced data processing efficiency and reduced IT costs, promoting sustainable business practices.</w:t>
      </w:r>
    </w:p>
    <w:p>
      <w:pPr>
        <w:spacing w:after="0" w:line="16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CLPS offers a platform for developing custom LLM agents, including conversational interface, agent management, and pre-built templates. The platform also provides model management, data management, and enterprise knowledge integration. CLPS focuses on developing advanced algorithms for intelligent content generation, applying natural language processing, computer vision, and neural networks. Its aim is to transform AIGC technology into practical business applications, such as intelligent customer service and AI scoring. CLPS is committed to fostering an AIGC ecosystem through collaboration with diverse partners, aiming to create an open environment that accelerates AIGC adoption. Its collaboration with industry leaders, academia, and associations helps establish AIGC standards and promote technology adoption. CLPS is a leading force in AIGC technology, focusing on research, application development, and ecosystem building. Its dedication to pioneering AIGC advancements through innovative algorithms and models drives the delivery of tailored AIGC solutions across industries, empowering businesses to drive digital transformation.</w:t>
      </w:r>
    </w:p>
    <w:p>
      <w:pPr>
        <w:spacing w:after="0" w:line="16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CLPS specializes in blockchain technology, revolutionizing the banking and financial services industry. Its decentralized, immutable, and traceable nature ensures fair and transparent transactions. CLPS partners with clients to explore innovative blockchain applications, transforming traditional banking models and delivering cutting-edge financial services. CLPS is dedicated to researching and developing innovative blockchain applications across various industries, delivering fast, efficient blockchain solutions that build trust, drive digital transformation, and accelerate enterprises towards an intelligent future. CLPS creates secure, efficient, and transparent blockchain ecosystems that help businesses thrive in competitive markets.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66" w:name="page67"/>
    <w:bookmarkEnd w:id="66"/>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has been committed to promoting digital transformation integrated with secure, smooth, and efficient IT systems. The growing demand for customized and innovative marketing model has pushed CLPS to further enhance its digital marketing solution to achieve client’s business goals prompted by improved marketing performance metrics.</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CLPS i-Lab adheres to our strategy of promoting our products and solutions based on new technology and new research, application innovations, and our leading talent pool, while improving our technological innovation capability and market competitiveness. As the center of our research and development efforts, it will continue to be one of the most important drivers of CLPS’s growth.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Employees</w:t>
      </w:r>
    </w:p>
    <w:p>
      <w:pPr>
        <w:spacing w:after="0" w:line="203"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We believe resource management and planning is critically important to supporting our growth, and we are committed to effectively recruiting, training, developing and retaining our human capital. Our total number of employees was 3,534 employees as of June 30, 2025 from 3,325 employees in June 30, 2024. Approximately 53% of our personnel are dedicated to serving our foreign financial institution clients. Such personnel maintain up to date financial domain knowledge, technical development and testing skills in Java, .Net, C, C++, testing tools, android or iOS app, blockchain, big data, cloud computing, AI,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 Rights</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PRC has domestic laws for the protection of rights in copyrights, trademarks and trade secrets. The PRC is also a signatory to all of the world’s major intellectual property conventions, including:</w:t>
      </w:r>
    </w:p>
    <w:p>
      <w:pPr>
        <w:spacing w:after="0" w:line="143" w:lineRule="exact"/>
        <w:rPr>
          <w:sz w:val="20"/>
          <w:szCs w:val="20"/>
          <w:color w:val="auto"/>
        </w:rPr>
      </w:pPr>
    </w:p>
    <w:p>
      <w:pPr>
        <w:ind w:left="860" w:hanging="287"/>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Convention establishing the World Intellectual Property Organization (June 3, 1980);</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Paris Convention for the Protection of Industrial Property (March 19, 1985);</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Patent Cooperation Treaty (January 1, 1994);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 on Trade-Related Aspects of Intellectual Property Rights (November 11, 2001).</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PRC Trademark Law, adopted in 1982 and revised in 2019, protects registered trademark. The Trademark Office of the State Administration of Industry and Commerce of the PRC, handles trademark registrations and grants trademark registrations for a term of ten years.</w:t>
      </w:r>
    </w:p>
    <w:p>
      <w:pPr>
        <w:spacing w:after="0" w:line="143"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72"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Our primary trademark portfolio consists of five trademarks.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9"/>
        </w:trPr>
        <w:tc>
          <w:tcPr>
            <w:tcW w:w="480" w:type="dxa"/>
            <w:vAlign w:val="bottom"/>
          </w:tcPr>
          <w:p>
            <w:pPr>
              <w:spacing w:after="0"/>
              <w:rPr>
                <w:sz w:val="18"/>
                <w:szCs w:val="18"/>
                <w:color w:val="auto"/>
              </w:rPr>
            </w:pPr>
          </w:p>
        </w:tc>
        <w:tc>
          <w:tcPr>
            <w:tcW w:w="36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color w:val="auto"/>
                <w:w w:val="99"/>
              </w:rPr>
              <w:t>We have registered for the following trademarks: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6"/>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Country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Application</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120" w:type="dxa"/>
            <w:vAlign w:val="bottom"/>
          </w:tcPr>
          <w:p>
            <w:pPr>
              <w:spacing w:after="0"/>
              <w:rPr>
                <w:sz w:val="24"/>
                <w:szCs w:val="24"/>
                <w:color w:val="auto"/>
              </w:rPr>
            </w:pPr>
          </w:p>
        </w:tc>
      </w:tr>
      <w:tr>
        <w:trPr>
          <w:trHeight w:val="215"/>
        </w:trPr>
        <w:tc>
          <w:tcPr>
            <w:tcW w:w="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426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Class/Description</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176"/>
        </w:trPr>
        <w:tc>
          <w:tcPr>
            <w:tcW w:w="4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19288958</w:t>
            </w:r>
          </w:p>
        </w:tc>
        <w:tc>
          <w:tcPr>
            <w:tcW w:w="1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Class 9: Recorded computer programs (programs); Recorded</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CLPS Shanghai Co., Ltd.</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operating programs Computer peripherals; Computer</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 (recorded); Connector (data processing equipment);</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Monitor program (computer program); Electronic publications</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(downloadable); Computer program (downloadable software);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Downloadable  computer  application  software;  Computer</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hardware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2"/>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19289112</w:t>
            </w:r>
          </w:p>
        </w:tc>
        <w:tc>
          <w:tcPr>
            <w:tcW w:w="1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Class  38:  Information  transmission;  Computer  terminal</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CLPS Shanghai Co., Ltd.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communication;  Computer-aided  information  and  image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transmission;  Information  transmission  equipment  rental;</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Provide telecommunications link services to connect with the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global  computer  network;  Telecommunications  routing  and</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junction services; Provide access service for global computer</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network users; Provide database access service; Digital file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 Teleconference call service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2"/>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19289503</w:t>
            </w:r>
          </w:p>
        </w:tc>
        <w:tc>
          <w:tcPr>
            <w:tcW w:w="1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Class 9: Recorded computer programs (programs); Recorded</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CLPS Shanghai Co., Ltd.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operating programs; Computer peripherals; Computer</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 (recorded); Connector (data processing equipment);</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Monitor program (computer program); Electronic publications</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(downloadable); Computer program (downloadable software);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Downloadable  computer  application  software;  Computer</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hardware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2"/>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19289341</w:t>
            </w:r>
          </w:p>
        </w:tc>
        <w:tc>
          <w:tcPr>
            <w:tcW w:w="1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Class 42: Technical research; Research or develop new products</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CLPS Shanghai Co., Ltd.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 others; Computer programming; Computer software design;</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hardware  design  and  development  consulting;</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 rental; Computer software maintenance;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system  analysis;  Computer  software  installation;</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 consulting</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68"/>
        </w:trPr>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19289214</w:t>
            </w:r>
          </w:p>
        </w:tc>
        <w:tc>
          <w:tcPr>
            <w:tcW w:w="12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41: Teaching; Education; Training; Practical training</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CLPS Shanghai Co., Ltd.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(demonstration); Employment guidance (education or training</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consultants); Arrange and organize academic seminars; Arrange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-4275455</wp:posOffset>
            </wp:positionV>
            <wp:extent cx="549910" cy="221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9910" cy="221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-3298190</wp:posOffset>
            </wp:positionV>
            <wp:extent cx="549910" cy="221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9910" cy="221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-2198370</wp:posOffset>
            </wp:positionV>
            <wp:extent cx="565150" cy="221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150" cy="221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-1221105</wp:posOffset>
            </wp:positionV>
            <wp:extent cx="565150" cy="221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150" cy="221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-365760</wp:posOffset>
            </wp:positionV>
            <wp:extent cx="7147560" cy="732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7560" cy="732790"/>
                    </a:xfrm>
                    <a:prstGeom prst="rect">
                      <a:avLst/>
                    </a:prstGeom>
                    <a:noFill/>
                  </pic:spPr>
                </pic:pic>
              </a:graphicData>
            </a:graphic>
          </wp:anchor>
        </w:drawing>
      </w:r>
    </w:p>
    <w:p>
      <w:pPr>
        <w:ind w:left="4080"/>
        <w:spacing w:after="0"/>
        <w:rPr>
          <w:sz w:val="20"/>
          <w:szCs w:val="20"/>
          <w:color w:val="auto"/>
        </w:rPr>
      </w:pPr>
      <w:r>
        <w:rPr>
          <w:rFonts w:ascii="Times New Roman" w:cs="Times New Roman" w:eastAsia="Times New Roman" w:hAnsi="Times New Roman"/>
          <w:sz w:val="16"/>
          <w:szCs w:val="16"/>
          <w:color w:val="auto"/>
        </w:rPr>
        <w:t>and organize meetings; Arrange and organize general meeting;</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Arrange  and  organize  symposium;  Arrange  and  organize</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training classes</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Country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Application</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Current</w:t>
            </w:r>
          </w:p>
        </w:tc>
        <w:tc>
          <w:tcPr>
            <w:tcW w:w="1120" w:type="dxa"/>
            <w:vAlign w:val="bottom"/>
          </w:tcPr>
          <w:p>
            <w:pPr>
              <w:spacing w:after="0"/>
              <w:rPr>
                <w:sz w:val="16"/>
                <w:szCs w:val="16"/>
                <w:color w:val="auto"/>
              </w:rPr>
            </w:pPr>
          </w:p>
        </w:tc>
      </w:tr>
      <w:tr>
        <w:trPr>
          <w:trHeight w:val="215"/>
        </w:trPr>
        <w:tc>
          <w:tcPr>
            <w:tcW w:w="1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Mark</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426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Class/Description</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176"/>
        </w:trPr>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8"/>
              </w:rPr>
              <w:t>Hong Kong,</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47628610</w:t>
            </w:r>
          </w:p>
        </w:tc>
        <w:tc>
          <w:tcPr>
            <w:tcW w:w="120" w:type="dxa"/>
            <w:vAlign w:val="bottom"/>
            <w:tcBorders>
              <w:top w:val="single" w:sz="8" w:color="CCEEFF"/>
            </w:tcBorders>
            <w:shd w:val="clear" w:color="auto" w:fill="CCEEFF"/>
          </w:tcPr>
          <w:p>
            <w:pPr>
              <w:spacing w:after="0"/>
              <w:rPr>
                <w:sz w:val="15"/>
                <w:szCs w:val="15"/>
                <w:color w:val="auto"/>
              </w:rPr>
            </w:pPr>
          </w:p>
        </w:tc>
        <w:tc>
          <w:tcPr>
            <w:tcW w:w="41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Class 36: Financial management; Financial consulting; Credit</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Technology</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card payment processing; Debit card payment processing; Credit</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(HONG KONG) Co., Ltd.</w:t>
            </w: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card  issuing;  Online  banking  service;  Credit  card  related</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investigations; Electronic credit card transaction processing;</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Credit  card  issuance;  Credit  card  verification;  Credit  card</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processing service; Banking services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2"/>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6"/>
        </w:trPr>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Hong Kong,</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47629542</w:t>
            </w:r>
          </w:p>
        </w:tc>
        <w:tc>
          <w:tcPr>
            <w:tcW w:w="120" w:type="dxa"/>
            <w:vAlign w:val="bottom"/>
            <w:shd w:val="clear" w:color="auto" w:fill="CCEEFF"/>
          </w:tcPr>
          <w:p>
            <w:pPr>
              <w:spacing w:after="0"/>
              <w:rPr>
                <w:sz w:val="15"/>
                <w:szCs w:val="15"/>
                <w:color w:val="auto"/>
              </w:rPr>
            </w:pPr>
          </w:p>
        </w:tc>
        <w:tc>
          <w:tcPr>
            <w:tcW w:w="4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Class 41: Teaching; Education; Training; Arrange and organize</w:t>
            </w:r>
          </w:p>
        </w:tc>
        <w:tc>
          <w:tcPr>
            <w:tcW w:w="18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w w:val="99"/>
              </w:rPr>
              <w:t>CLPS Technology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academic seminars; Arrange and organize meetings; Arrange</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(HONG KONG) Co., Ltd.</w:t>
            </w: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organize training courses; Arrange and organize on-site</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education forums; Written publication (excluding advertising</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text); Book publication; Online publication of e-books and</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2"/>
        </w:trPr>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magazines;  Provide  non-downloadable  online  electronic</w:t>
            </w: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9"/>
        </w:trPr>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publications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368"/>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54531262</w:t>
            </w:r>
          </w:p>
        </w:tc>
        <w:tc>
          <w:tcPr>
            <w:tcW w:w="12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42:  Technical  research;  Research  and  develop  new</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JAJI (Shanghai) Co., Ltd.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192"/>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products for other parties; Information technology consulting</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services; Industrial product design; Computer software update;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-2198370</wp:posOffset>
            </wp:positionV>
            <wp:extent cx="549910" cy="221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9910" cy="221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-1343025</wp:posOffset>
            </wp:positionV>
            <wp:extent cx="549910" cy="221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9910" cy="221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-365760</wp:posOffset>
            </wp:positionV>
            <wp:extent cx="7147560" cy="8553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7560" cy="855345"/>
                    </a:xfrm>
                    <a:prstGeom prst="rect">
                      <a:avLst/>
                    </a:prstGeom>
                    <a:noFill/>
                  </pic:spPr>
                </pic:pic>
              </a:graphicData>
            </a:graphic>
          </wp:anchor>
        </w:drawing>
      </w:r>
    </w:p>
    <w:p>
      <w:pPr>
        <w:ind w:left="4080"/>
        <w:spacing w:after="0"/>
        <w:tabs>
          <w:tab w:leader="none" w:pos="4820" w:val="left"/>
          <w:tab w:leader="none" w:pos="5520" w:val="left"/>
          <w:tab w:leader="none" w:pos="6060" w:val="left"/>
          <w:tab w:leader="none" w:pos="6420" w:val="left"/>
          <w:tab w:leader="none" w:pos="7380" w:val="left"/>
          <w:tab w:leader="none" w:pos="7560" w:val="left"/>
        </w:tabs>
        <w:rPr>
          <w:sz w:val="20"/>
          <w:szCs w:val="20"/>
          <w:color w:val="auto"/>
        </w:rPr>
      </w:pPr>
      <w:r>
        <w:rPr>
          <w:rFonts w:ascii="Times New Roman" w:cs="Times New Roman" w:eastAsia="Times New Roman" w:hAnsi="Times New Roman"/>
          <w:sz w:val="16"/>
          <w:szCs w:val="16"/>
          <w:color w:val="auto"/>
        </w:rPr>
        <w:t>Computer</w:t>
        <w:tab/>
        <w:t>software</w:t>
        <w:tab/>
        <w:t>design</w:t>
        <w:tab/>
        <w:t>and</w:t>
        <w:tab/>
        <w:t>development</w:t>
        <w:tab/>
        <w:t>;</w:t>
      </w:r>
      <w:r>
        <w:rPr>
          <w:sz w:val="20"/>
          <w:szCs w:val="20"/>
          <w:color w:val="auto"/>
        </w:rPr>
        <w:tab/>
      </w:r>
      <w:r>
        <w:rPr>
          <w:rFonts w:ascii="Times New Roman" w:cs="Times New Roman" w:eastAsia="Times New Roman" w:hAnsi="Times New Roman"/>
          <w:sz w:val="15"/>
          <w:szCs w:val="15"/>
          <w:color w:val="auto"/>
        </w:rPr>
        <w:t>Computer</w:t>
      </w:r>
    </w:p>
    <w:p>
      <w:pPr>
        <w:spacing w:after="0" w:line="8" w:lineRule="exact"/>
        <w:rPr>
          <w:sz w:val="20"/>
          <w:szCs w:val="20"/>
          <w:color w:val="auto"/>
        </w:rPr>
      </w:pPr>
    </w:p>
    <w:p>
      <w:pPr>
        <w:ind w:left="4080"/>
        <w:spacing w:after="0"/>
        <w:tabs>
          <w:tab w:leader="none" w:pos="4780" w:val="left"/>
          <w:tab w:leader="none" w:pos="5800" w:val="left"/>
          <w:tab w:leader="none" w:pos="6620" w:val="left"/>
          <w:tab w:leader="none" w:pos="7380" w:val="left"/>
          <w:tab w:leader="none" w:pos="7980" w:val="left"/>
        </w:tabs>
        <w:rPr>
          <w:sz w:val="20"/>
          <w:szCs w:val="20"/>
          <w:color w:val="auto"/>
        </w:rPr>
      </w:pPr>
      <w:r>
        <w:rPr>
          <w:rFonts w:ascii="Times New Roman" w:cs="Times New Roman" w:eastAsia="Times New Roman" w:hAnsi="Times New Roman"/>
          <w:sz w:val="16"/>
          <w:szCs w:val="16"/>
          <w:color w:val="auto"/>
        </w:rPr>
        <w:t>software</w:t>
        <w:tab/>
        <w:t>maintenance;</w:t>
        <w:tab/>
        <w:t>Computer</w:t>
        <w:tab/>
        <w:t>hardware</w:t>
        <w:tab/>
        <w:t>design</w:t>
      </w:r>
      <w:r>
        <w:rPr>
          <w:sz w:val="20"/>
          <w:szCs w:val="20"/>
          <w:color w:val="auto"/>
        </w:rPr>
        <w:tab/>
      </w:r>
      <w:r>
        <w:rPr>
          <w:rFonts w:ascii="Times New Roman" w:cs="Times New Roman" w:eastAsia="Times New Roman" w:hAnsi="Times New Roman"/>
          <w:sz w:val="15"/>
          <w:szCs w:val="15"/>
          <w:color w:val="auto"/>
        </w:rPr>
        <w:t>and</w:t>
      </w:r>
    </w:p>
    <w:p>
      <w:pPr>
        <w:spacing w:after="0" w:line="8" w:lineRule="exact"/>
        <w:rPr>
          <w:sz w:val="20"/>
          <w:szCs w:val="20"/>
          <w:color w:val="auto"/>
        </w:rPr>
      </w:pPr>
    </w:p>
    <w:p>
      <w:pPr>
        <w:ind w:left="4080"/>
        <w:spacing w:after="0"/>
        <w:tabs>
          <w:tab w:leader="none" w:pos="5100" w:val="left"/>
          <w:tab w:leader="none" w:pos="6040" w:val="left"/>
          <w:tab w:leader="none" w:pos="6640" w:val="left"/>
          <w:tab w:leader="none" w:pos="7600" w:val="left"/>
        </w:tabs>
        <w:rPr>
          <w:sz w:val="20"/>
          <w:szCs w:val="20"/>
          <w:color w:val="auto"/>
        </w:rPr>
      </w:pPr>
      <w:r>
        <w:rPr>
          <w:rFonts w:ascii="Times New Roman" w:cs="Times New Roman" w:eastAsia="Times New Roman" w:hAnsi="Times New Roman"/>
          <w:sz w:val="16"/>
          <w:szCs w:val="16"/>
          <w:color w:val="auto"/>
        </w:rPr>
        <w:t>development</w:t>
        <w:tab/>
        <w:t>consulting;</w:t>
        <w:tab/>
        <w:t>Cloud</w:t>
        <w:tab/>
        <w:t>computing;</w:t>
      </w:r>
      <w:r>
        <w:rPr>
          <w:sz w:val="20"/>
          <w:szCs w:val="20"/>
          <w:color w:val="auto"/>
        </w:rPr>
        <w:tab/>
      </w:r>
      <w:r>
        <w:rPr>
          <w:rFonts w:ascii="Times New Roman" w:cs="Times New Roman" w:eastAsia="Times New Roman" w:hAnsi="Times New Roman"/>
          <w:sz w:val="15"/>
          <w:szCs w:val="15"/>
          <w:color w:val="auto"/>
        </w:rPr>
        <w:t>computer</w:t>
      </w:r>
    </w:p>
    <w:p>
      <w:pPr>
        <w:spacing w:after="0" w:line="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color w:val="auto"/>
        </w:rPr>
        <w:t>programming</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9"/>
        </w:trPr>
        <w:tc>
          <w:tcPr>
            <w:tcW w:w="3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The following is a list of the Company’s copyrights: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66"/>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38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CLPS HR Management Platform Software V1.0</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2009SR015975</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Food and Beverage Report Analysis 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2009SR060110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Management Platform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Apparel Industry POS Management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2009SR060102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Express Information Interactive Platform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2009SR060112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Chain Store Information Interactive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2009SR060108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Project Analysis and Management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2009SR060169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Payroll Accounting System Platform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2010SR043564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Fast Moving Consumer Goods Frontline Staff</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2010SR043561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Management Platform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Staff Management Platform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2010SR043562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Coal Mining Enterprise Information System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2010SR045449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Management Platform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Campus Expense Card Web Service System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2010SR045441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Platform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Campus Expense Card Bathroom Management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2010SR045444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Machinery Industry ERP Management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2010SR045802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Assignment and Task Management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2011SR076863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Software (short name: Assignment and Task</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Management System)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Marketing Assistant System Platform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2012SR096727</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CLPS Outsourcing Service Staff Management System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2012SR096666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209"/>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Platform Software V1.0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-4397375</wp:posOffset>
            </wp:positionV>
            <wp:extent cx="7147560" cy="2444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-3909060</wp:posOffset>
            </wp:positionV>
            <wp:extent cx="7147560" cy="244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-3420110</wp:posOffset>
            </wp:positionV>
            <wp:extent cx="7147560" cy="2444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-2931795</wp:posOffset>
            </wp:positionV>
            <wp:extent cx="7147560" cy="2444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-2442845</wp:posOffset>
            </wp:positionV>
            <wp:extent cx="7147560" cy="2444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-1953895</wp:posOffset>
            </wp:positionV>
            <wp:extent cx="7147560" cy="2444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-1465580</wp:posOffset>
            </wp:positionV>
            <wp:extent cx="7147560" cy="2444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2444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137920"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37920" cy="15240"/>
                    </a:xfrm>
                    <a:prstGeom prst="rect">
                      <a:avLst/>
                    </a:prstGeom>
                    <a:noFill/>
                  </pic:spPr>
                </pic:pic>
              </a:graphicData>
            </a:graphic>
          </wp:anchor>
        </w:drawing>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29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April 2009</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2009</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2009</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2009</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2009</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2009</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August 2010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August 2010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August 2010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September 2010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September 2010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September 2010</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September 2010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2011</w:t>
      </w:r>
    </w:p>
    <w:p>
      <w:pPr>
        <w:spacing w:after="0" w:line="2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wp:posOffset>
            </wp:positionV>
            <wp:extent cx="64135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350" cy="1524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40"/>
            <w:col w:w="1320" w:space="500"/>
            <w:col w:w="680"/>
          </w:cols>
          <w:pgMar w:left="320" w:top="796" w:right="4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3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56"/>
        </w:trPr>
        <w:tc>
          <w:tcPr>
            <w:tcW w:w="20" w:type="dxa"/>
            <w:vAlign w:val="bottom"/>
          </w:tcPr>
          <w:p>
            <w:pPr>
              <w:spacing w:after="0"/>
              <w:rPr>
                <w:sz w:val="13"/>
                <w:szCs w:val="13"/>
                <w:color w:val="auto"/>
              </w:rPr>
            </w:pPr>
          </w:p>
        </w:tc>
        <w:tc>
          <w:tcPr>
            <w:tcW w:w="38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CLPS Outsourcing Service Staff System Background</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2012SR096731</w:t>
            </w:r>
          </w:p>
        </w:tc>
        <w:tc>
          <w:tcPr>
            <w:tcW w:w="10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CLPS Shanghai Co.,</w:t>
            </w:r>
          </w:p>
        </w:tc>
      </w:tr>
      <w:tr>
        <w:trPr>
          <w:trHeight w:val="204"/>
        </w:trPr>
        <w:tc>
          <w:tcPr>
            <w:tcW w:w="20" w:type="dxa"/>
            <w:vAlign w:val="bottom"/>
          </w:tcPr>
          <w:p>
            <w:pPr>
              <w:spacing w:after="0"/>
              <w:rPr>
                <w:sz w:val="17"/>
                <w:szCs w:val="17"/>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V1.0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Logistics Terminal Distribution Platform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2012SR096668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HR Background Support Management System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2012SR098440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HR Management System Platform Software (short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2012SR098429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name: HR Management System)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Outsourcing Service Staff Resume Entry System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2012SR098687</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Document Business Management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2013SR054800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 name: Document Management)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Monetary Transaction Management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2013SR054796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 name: Monetary Transaction Management)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Expense Management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2014SR168125</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Repayment Process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2014SR168130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Point Accumulative Management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2014SR168132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Interest Process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2014SR168136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Credit Application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2014SR168138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Mortgage Loan Plan Spreadsheet Tool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2015SR198772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209"/>
        </w:trPr>
        <w:tc>
          <w:tcPr>
            <w:tcW w:w="2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 name: Loan Spreadsheet) V1.0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-3550285</wp:posOffset>
            </wp:positionV>
            <wp:extent cx="7147560" cy="252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7560" cy="2520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-3053715</wp:posOffset>
            </wp:positionV>
            <wp:extent cx="7147560" cy="2444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-2564765</wp:posOffset>
            </wp:positionV>
            <wp:extent cx="7147560" cy="2444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-2076450</wp:posOffset>
            </wp:positionV>
            <wp:extent cx="7147560" cy="2444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-1587500</wp:posOffset>
            </wp:positionV>
            <wp:extent cx="7147560" cy="2444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-1099185</wp:posOffset>
            </wp:positionV>
            <wp:extent cx="7147560" cy="2444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-610235</wp:posOffset>
            </wp:positionV>
            <wp:extent cx="7147560" cy="244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17145</wp:posOffset>
            </wp:positionV>
            <wp:extent cx="113792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7920" cy="1524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June 2013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June 2013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wp:posOffset>
            </wp:positionV>
            <wp:extent cx="641350"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350" cy="1524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80"/>
            <w:col w:w="1240" w:space="540"/>
            <w:col w:w="680"/>
          </w:cols>
          <w:pgMar w:left="320" w:top="794" w:right="4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3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56"/>
        </w:trPr>
        <w:tc>
          <w:tcPr>
            <w:tcW w:w="20" w:type="dxa"/>
            <w:vAlign w:val="bottom"/>
          </w:tcPr>
          <w:p>
            <w:pPr>
              <w:spacing w:after="0"/>
              <w:rPr>
                <w:sz w:val="13"/>
                <w:szCs w:val="13"/>
                <w:color w:val="auto"/>
              </w:rPr>
            </w:pPr>
          </w:p>
        </w:tc>
        <w:tc>
          <w:tcPr>
            <w:tcW w:w="38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CLPS Bank Product Management Software V1.0</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2015SR198610</w:t>
            </w:r>
          </w:p>
        </w:tc>
        <w:tc>
          <w:tcPr>
            <w:tcW w:w="10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Deposit and Withdrawal Services Management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2015SR198176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Loan Application Management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2015SR198654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Repayment Management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2015SR198649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Exchange Rate Management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2015SR198774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Interest Settlement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2015SR198246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Foreign Exchange Transaction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2015SR198240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Investment Management Securities Business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2016SR376924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Big Data Decision-making Platform Customer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2016SR382920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Portrayal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Internet Financial Cloud Mobile Banking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2016SR398821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Wantong Calculus Mall Software V2.0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2017SR118507</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CLPS Beijing</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Hengtong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RC Rules Engine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2017SR169307</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Internet Financing Collection Management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2017SR119266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Points Management Platform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2017SR119078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Full-web Order Receiving Unified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2017SR202535</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Quanxi Intelligent Marketing Platform Clients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2017SR565576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Growth Center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Enterprise Recruitment Intelligent Cooperation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2017SR646712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Intelligent Online Training Test Instructional</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2017SR646507</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209"/>
        </w:trPr>
        <w:tc>
          <w:tcPr>
            <w:tcW w:w="2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V1.0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-4764405</wp:posOffset>
            </wp:positionV>
            <wp:extent cx="7147560" cy="2444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-4275455</wp:posOffset>
            </wp:positionV>
            <wp:extent cx="7147560" cy="2444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-3786505</wp:posOffset>
            </wp:positionV>
            <wp:extent cx="7147560" cy="2444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-3298190</wp:posOffset>
            </wp:positionV>
            <wp:extent cx="7147560" cy="244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-2809240</wp:posOffset>
            </wp:positionV>
            <wp:extent cx="7147560" cy="2444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-2320925</wp:posOffset>
            </wp:positionV>
            <wp:extent cx="7147560" cy="2444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-1831975</wp:posOffset>
            </wp:positionV>
            <wp:extent cx="7147560" cy="2444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-1343025</wp:posOffset>
            </wp:positionV>
            <wp:extent cx="7147560" cy="2444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2444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113792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37920" cy="1524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2015</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2016</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2016</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December 2016</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April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May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April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April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May 2017</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2017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2017</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wp:posOffset>
            </wp:positionV>
            <wp:extent cx="64135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350" cy="1524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40"/>
            <w:col w:w="1320" w:space="500"/>
            <w:col w:w="680"/>
          </w:cols>
          <w:pgMar w:left="320" w:top="794" w:right="4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3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56"/>
        </w:trPr>
        <w:tc>
          <w:tcPr>
            <w:tcW w:w="20" w:type="dxa"/>
            <w:vAlign w:val="bottom"/>
          </w:tcPr>
          <w:p>
            <w:pPr>
              <w:spacing w:after="0"/>
              <w:rPr>
                <w:sz w:val="13"/>
                <w:szCs w:val="13"/>
                <w:color w:val="auto"/>
              </w:rPr>
            </w:pPr>
          </w:p>
        </w:tc>
        <w:tc>
          <w:tcPr>
            <w:tcW w:w="38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CLPS Enterprise Internet Qinqin Loan Background</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2017SR647634</w:t>
            </w:r>
          </w:p>
        </w:tc>
        <w:tc>
          <w:tcPr>
            <w:tcW w:w="10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CLPS Shanghai Co.,</w:t>
            </w:r>
          </w:p>
        </w:tc>
      </w:tr>
      <w:tr>
        <w:trPr>
          <w:trHeight w:val="204"/>
        </w:trPr>
        <w:tc>
          <w:tcPr>
            <w:tcW w:w="20" w:type="dxa"/>
            <w:vAlign w:val="bottom"/>
          </w:tcPr>
          <w:p>
            <w:pPr>
              <w:spacing w:after="0"/>
              <w:rPr>
                <w:sz w:val="17"/>
                <w:szCs w:val="17"/>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V1.0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Blockchain Based Virtual Credits Background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2017SR645676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Enterprise Talent Information Intelligent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2017SR645650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Enterprise Recruitment Intelligent Cooperation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2017SR647190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General Points Platform and Business Center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2019SR0004653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Online Financial Microloan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2019SR0004669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Customer Management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2019SR0004663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Online Financial Management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2019SR0140935</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Talent Training One-Stop Platform Software V1.0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2020SR0094641</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Project Management Software [PMS]V2.0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2020SR0095716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Online Financial Management Software V2.0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2020SR0095716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Online Financial Microloan Software V3.0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2020SR0094745</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Bank Customer Management Software V3.0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2020SR0095318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Online Financial Accounting Management Software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2020SR0095725</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209"/>
        </w:trPr>
        <w:tc>
          <w:tcPr>
            <w:tcW w:w="2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-3794125</wp:posOffset>
            </wp:positionV>
            <wp:extent cx="7147560" cy="252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7560" cy="2520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-3298190</wp:posOffset>
            </wp:positionV>
            <wp:extent cx="7147560" cy="2444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-2809240</wp:posOffset>
            </wp:positionV>
            <wp:extent cx="7147560" cy="244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-2320925</wp:posOffset>
            </wp:positionV>
            <wp:extent cx="7147560" cy="2444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-1831975</wp:posOffset>
            </wp:positionV>
            <wp:extent cx="7147560" cy="2444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-1343025</wp:posOffset>
            </wp:positionV>
            <wp:extent cx="7147560" cy="2444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2444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Approval Date</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352"/>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24</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November 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4"/>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24</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November 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24</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November 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24</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November 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w:t>
            </w:r>
            <w:r>
              <w:rPr>
                <w:rFonts w:ascii="Times New Roman" w:cs="Times New Roman" w:eastAsia="Times New Roman" w:hAnsi="Times New Roman"/>
                <w:sz w:val="26"/>
                <w:szCs w:val="26"/>
                <w:color w:val="auto"/>
                <w:w w:val="97"/>
                <w:vertAlign w:val="superscript"/>
              </w:rPr>
              <w:t>nd</w:t>
            </w:r>
            <w:r>
              <w:rPr>
                <w:rFonts w:ascii="Times New Roman" w:cs="Times New Roman" w:eastAsia="Times New Roman" w:hAnsi="Times New Roman"/>
                <w:sz w:val="16"/>
                <w:szCs w:val="16"/>
                <w:color w:val="auto"/>
                <w:w w:val="97"/>
              </w:rPr>
              <w:t xml:space="preserve"> January 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w:t>
            </w:r>
            <w:r>
              <w:rPr>
                <w:rFonts w:ascii="Times New Roman" w:cs="Times New Roman" w:eastAsia="Times New Roman" w:hAnsi="Times New Roman"/>
                <w:sz w:val="26"/>
                <w:szCs w:val="26"/>
                <w:color w:val="auto"/>
                <w:w w:val="97"/>
                <w:vertAlign w:val="superscript"/>
              </w:rPr>
              <w:t>nd</w:t>
            </w:r>
            <w:r>
              <w:rPr>
                <w:rFonts w:ascii="Times New Roman" w:cs="Times New Roman" w:eastAsia="Times New Roman" w:hAnsi="Times New Roman"/>
                <w:sz w:val="16"/>
                <w:szCs w:val="16"/>
                <w:color w:val="auto"/>
                <w:w w:val="97"/>
              </w:rPr>
              <w:t xml:space="preserve"> January 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2</w:t>
            </w:r>
            <w:r>
              <w:rPr>
                <w:rFonts w:ascii="Times New Roman" w:cs="Times New Roman" w:eastAsia="Times New Roman" w:hAnsi="Times New Roman"/>
                <w:sz w:val="26"/>
                <w:szCs w:val="26"/>
                <w:color w:val="auto"/>
                <w:w w:val="97"/>
                <w:vertAlign w:val="superscript"/>
              </w:rPr>
              <w:t>nd</w:t>
            </w:r>
            <w:r>
              <w:rPr>
                <w:rFonts w:ascii="Times New Roman" w:cs="Times New Roman" w:eastAsia="Times New Roman" w:hAnsi="Times New Roman"/>
                <w:sz w:val="16"/>
                <w:szCs w:val="16"/>
                <w:color w:val="auto"/>
                <w:w w:val="97"/>
              </w:rPr>
              <w:t xml:space="preserve"> January 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14</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February 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January 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January 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January 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January 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January 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January 2020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bl>
    <w:p>
      <w:pPr>
        <w:sectPr>
          <w:pgSz w:w="11900" w:h="16838" w:orient="portrait"/>
          <w:cols w:equalWidth="0" w:num="2">
            <w:col w:w="8240" w:space="100"/>
            <w:col w:w="2920"/>
          </w:cols>
          <w:pgMar w:left="320" w:top="794" w:right="31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3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56"/>
        </w:trPr>
        <w:tc>
          <w:tcPr>
            <w:tcW w:w="20" w:type="dxa"/>
            <w:vAlign w:val="bottom"/>
          </w:tcPr>
          <w:p>
            <w:pPr>
              <w:spacing w:after="0"/>
              <w:rPr>
                <w:sz w:val="13"/>
                <w:szCs w:val="13"/>
                <w:color w:val="auto"/>
              </w:rPr>
            </w:pPr>
          </w:p>
        </w:tc>
        <w:tc>
          <w:tcPr>
            <w:tcW w:w="38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CLPS Blockchain Based Virtual Credits Background</w:t>
            </w:r>
          </w:p>
        </w:tc>
        <w:tc>
          <w:tcPr>
            <w:tcW w:w="12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3"/>
                <w:szCs w:val="13"/>
                <w:color w:val="auto"/>
              </w:rPr>
            </w:pPr>
          </w:p>
        </w:tc>
        <w:tc>
          <w:tcPr>
            <w:tcW w:w="14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2020SR0224622</w:t>
            </w:r>
          </w:p>
        </w:tc>
        <w:tc>
          <w:tcPr>
            <w:tcW w:w="100" w:type="dxa"/>
            <w:vAlign w:val="bottom"/>
          </w:tcPr>
          <w:p>
            <w:pPr>
              <w:spacing w:after="0"/>
              <w:rPr>
                <w:sz w:val="13"/>
                <w:szCs w:val="13"/>
                <w:color w:val="auto"/>
              </w:rPr>
            </w:pPr>
          </w:p>
        </w:tc>
        <w:tc>
          <w:tcPr>
            <w:tcW w:w="14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CLPS Guangzhou</w:t>
            </w:r>
          </w:p>
        </w:tc>
      </w:tr>
      <w:tr>
        <w:trPr>
          <w:trHeight w:val="204"/>
        </w:trPr>
        <w:tc>
          <w:tcPr>
            <w:tcW w:w="20" w:type="dxa"/>
            <w:vAlign w:val="bottom"/>
          </w:tcPr>
          <w:p>
            <w:pPr>
              <w:spacing w:after="0"/>
              <w:rPr>
                <w:sz w:val="17"/>
                <w:szCs w:val="17"/>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V3.0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Enterprise Recruitment Intelligent Cooperation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2020SR0224616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Guangzhou</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 Software 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Enterprise Talent Information Intelligent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2020SR0224243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Guangzhou</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(“ERP System”) 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Ruicheng ERP-TRMS Software (“ERP-TRMS”)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2020SR1691822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Ruicheng BPM Organizational Structure and Process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2020SR1691823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Approval Software (“BPM”)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Ruicheng Timesheet CLPS Management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2020SR1691884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Software(“Timesheet”)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Ruicheng WeChat Based Timesheet Management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2020SR1691802</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Ruicheng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(“Timesheet”)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China EKYC Based Mobile Banking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2020SR1692693</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Software(“Mobile Banking”)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Project Management Software(“PMS”) V3.0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2021SR0113240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Comprehensive Information Platform</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2021SR0113286</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Software(“ChinaLinkV”) V2.1.1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Meeting Room Reservation Management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2021SR0113234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Software(“Meeting”)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BPM Organizational Structure and Process Approval</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2021SR0216840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Software(“BPM”)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EKYC Based Mobile Banking Software (“Mobile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2021SR0216890</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Banking”)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Hainan Qincheng BPM Organization Structure and Process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2021SR783928</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Hainan Qincheng</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Approval Software(“BPM”)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Software 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Hainan Qincheng ERP-TRMS Software(“ERP-TRMS”)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2021SR0783904</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Hainan Qincheng</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Software 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Hainan Qincheng Timesheet Management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2021SR0783929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Hainan Qincheng</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Software(“Timesheet”) 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Software Technology</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-4649470</wp:posOffset>
            </wp:positionV>
            <wp:extent cx="7147560" cy="2520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7560" cy="2520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-4153535</wp:posOffset>
            </wp:positionV>
            <wp:extent cx="7147560" cy="2444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-3664585</wp:posOffset>
            </wp:positionV>
            <wp:extent cx="7147560" cy="2444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-3175635</wp:posOffset>
            </wp:positionV>
            <wp:extent cx="7147560" cy="244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-2687320</wp:posOffset>
            </wp:positionV>
            <wp:extent cx="7147560" cy="2444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-2198370</wp:posOffset>
            </wp:positionV>
            <wp:extent cx="7147560" cy="2444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-1710055</wp:posOffset>
            </wp:positionV>
            <wp:extent cx="7147560" cy="2444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-1099185</wp:posOffset>
            </wp:positionV>
            <wp:extent cx="7147560" cy="366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7560" cy="3663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113792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37920" cy="15240"/>
                    </a:xfrm>
                    <a:prstGeom prst="rect">
                      <a:avLst/>
                    </a:prstGeom>
                    <a:noFill/>
                  </pic:spPr>
                </pic:pic>
              </a:graphicData>
            </a:graphic>
          </wp:anchor>
        </w:drawing>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March 2020</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March 2020</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March 2020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2020</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January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January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January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May 2021</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May 2021</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May 2021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wp:posOffset>
            </wp:positionV>
            <wp:extent cx="641350"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350" cy="1524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00"/>
            <w:col w:w="1380" w:space="480"/>
            <w:col w:w="680"/>
          </w:cols>
          <w:pgMar w:left="320" w:top="794" w:right="49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Hainan Qincheng WeChat Based Timesheet Management</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2021SR0783905</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Hainan Qincheng</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(“Timesheet”)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Software 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Project Management Software V4.0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2021SR1775321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Meeting Room Reservation Management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2021SR1628925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One-Stop Platform for Talent Cultivation Based on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2021SR1775007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Internationalization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Project Lifeline Tracking Management System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2021SR1952575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Salary Query Software V1.2</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2021SR1952576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Internet Financial Accounting Management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2021SR2008521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Bank Clients Management Software Based on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2021SR1969086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Distributed Architecture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Talent Recommendation and Recruitment Mobile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2021SR2085396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BPM BPM Organizational Structure and Process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2021SR1880802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Approval Software V4.0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Online Finance Management Software Based on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2021SR2008522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Distributed Architecture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Enterprise Talent Information Analysis and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2021SR1901457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Based on Distributed Architecture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Mobile Banking System Based on Intelligent Face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2021SR1969085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Recognition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Talent Resume Management DB Database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2021SR1952673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V1.5</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Business Points Mall WeChat Platform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2021SR1952574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EKYC Based Mobile Banking Software (“Mobile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2021SR1617316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209"/>
        </w:trPr>
        <w:tc>
          <w:tcPr>
            <w:tcW w:w="2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Banking”) V3.0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-3909060</wp:posOffset>
            </wp:positionV>
            <wp:extent cx="7147560" cy="2444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-3420110</wp:posOffset>
            </wp:positionV>
            <wp:extent cx="7147560" cy="2444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-2931795</wp:posOffset>
            </wp:positionV>
            <wp:extent cx="7147560" cy="2444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-2442845</wp:posOffset>
            </wp:positionV>
            <wp:extent cx="7147560" cy="2444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-1953895</wp:posOffset>
            </wp:positionV>
            <wp:extent cx="7147560" cy="2444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-1343025</wp:posOffset>
            </wp:positionV>
            <wp:extent cx="7147560" cy="2444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2444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-4535170</wp:posOffset>
            </wp:positionV>
            <wp:extent cx="7147560" cy="381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7560" cy="3816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May 2021</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June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July 2021</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September 2021</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September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2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2021</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November 2021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20"/>
            <w:col w:w="1360" w:space="480"/>
            <w:col w:w="680"/>
          </w:cols>
          <w:pgMar w:left="320" w:top="794" w:right="4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CLPS Credit Card Comprehensive Information Platform</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2021SR1617317</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Software(“ChinaLinkV”) 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Big Data Integrated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2021SR1619652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Background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Clearing Management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2021SR1619639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Risk Management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2021SR1619640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Account Establishment and Card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2021SR1619641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Making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Authorization Management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2021SR1619642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Customer Service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2021SR1619643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Credit Card Merchant Consumption Integrated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2021SR1619651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Comprehensive Management 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Internet Financing Collection Software V1.5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2021SR1666790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Online Learning Platform Software V1.5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2021SR1666804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-3786505</wp:posOffset>
            </wp:positionV>
            <wp:extent cx="7147560" cy="4889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-2809240</wp:posOffset>
            </wp:positionV>
            <wp:extent cx="7147560" cy="488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-1831975</wp:posOffset>
            </wp:positionV>
            <wp:extent cx="7147560" cy="488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2444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-4535170</wp:posOffset>
            </wp:positionV>
            <wp:extent cx="7147560" cy="259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7560" cy="259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November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2021</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60"/>
            <w:col w:w="1280" w:space="520"/>
            <w:col w:w="680"/>
          </w:cols>
          <w:pgMar w:left="320" w:top="794" w:right="4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JAJI Dual Recording Platform Software V1.0</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2021SR2116913</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FATA Authorized Testing Automation Tool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2022SR1457563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MC Transaction Simulation Tool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2022SR1457579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OpenAPI Interface Resource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2022SR1457562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 Software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VISA Transaction Simulation Tool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2022SR1462651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Scene Engine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2022SR1462652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Batch Scheduling Management Platform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2022SR1462653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Authorization Authentication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2022SR1457578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CUP Trading Simulation Tool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2022SR1474275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JCB Transaction Simulation Tool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2022SR1480972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-3664585</wp:posOffset>
            </wp:positionV>
            <wp:extent cx="7147560" cy="4889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-2687320</wp:posOffset>
            </wp:positionV>
            <wp:extent cx="7147560" cy="4889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-1710055</wp:posOffset>
            </wp:positionV>
            <wp:extent cx="7147560" cy="488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-732155</wp:posOffset>
            </wp:positionV>
            <wp:extent cx="7147560" cy="4889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-4412615</wp:posOffset>
            </wp:positionV>
            <wp:extent cx="7147560" cy="259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7560" cy="259715"/>
                    </a:xfrm>
                    <a:prstGeom prst="rect">
                      <a:avLst/>
                    </a:prstGeom>
                    <a:noFill/>
                  </pic:spPr>
                </pic:pic>
              </a:graphicData>
            </a:graphic>
          </wp:anchor>
        </w:drawing>
      </w:r>
    </w:p>
    <w:p>
      <w:pPr>
        <w:jc w:val="center"/>
        <w:ind w:left="6780"/>
        <w:spacing w:after="0"/>
        <w:rPr>
          <w:sz w:val="20"/>
          <w:szCs w:val="20"/>
          <w:color w:val="auto"/>
        </w:rPr>
      </w:pPr>
      <w:r>
        <w:rPr>
          <w:rFonts w:ascii="Times New Roman" w:cs="Times New Roman" w:eastAsia="Times New Roman" w:hAnsi="Times New Roman"/>
          <w:sz w:val="16"/>
          <w:szCs w:val="16"/>
          <w:color w:val="auto"/>
        </w:rPr>
        <w:t>Technology Services</w:t>
      </w:r>
    </w:p>
    <w:p>
      <w:pPr>
        <w:spacing w:after="0" w:line="8"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6"/>
          <w:szCs w:val="16"/>
          <w:color w:val="auto"/>
        </w:rPr>
        <w:t>Co., Ltd.</w:t>
      </w: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firstLine="167"/>
        <w:spacing w:after="0" w:line="324" w:lineRule="auto"/>
        <w:rPr>
          <w:sz w:val="20"/>
          <w:szCs w:val="20"/>
          <w:color w:val="auto"/>
        </w:rPr>
      </w:pPr>
      <w:r>
        <w:rPr>
          <w:rFonts w:ascii="Times New Roman" w:cs="Times New Roman" w:eastAsia="Times New Roman" w:hAnsi="Times New Roman"/>
          <w:sz w:val="15"/>
          <w:szCs w:val="15"/>
          <w:b w:val="1"/>
          <w:bCs w:val="1"/>
          <w:color w:val="auto"/>
        </w:rPr>
        <w:t xml:space="preserve">Approval Date </w:t>
      </w:r>
      <w:r>
        <w:rPr>
          <w:rFonts w:ascii="Times New Roman" w:cs="Times New Roman" w:eastAsia="Times New Roman" w:hAnsi="Times New Roman"/>
          <w:sz w:val="15"/>
          <w:szCs w:val="15"/>
          <w:color w:val="auto"/>
        </w:rPr>
        <w:t>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2021</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2022</w:t>
      </w: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November 2022</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20"/>
            <w:col w:w="1340" w:space="500"/>
            <w:col w:w="680"/>
          </w:cols>
          <w:pgMar w:left="320" w:top="794" w:right="4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CLPS CRM Customer Management Software V1.0</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2022SR1561547</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Talent Order Matching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2022SR1561546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Talent Delivery Management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2022SR1561545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Rules and Regulations Document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2022SR1561390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Data Sharing SD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2022SR1561392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PL Report System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2022SR1561391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CRM Customer Management Software User Manual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2023SR0235089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Talent Order Matching Software User Manual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2023SR0235088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Talent Delivery Management System User Manual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2023SR0235112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Rules and Regulations Document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2023SR0235113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System User Manual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Data Sharing SD Software V3.0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2023SR0235114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PL Report System Software V3.0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2023SR0235115</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Digital Currency Happy Shopping Platform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2023SR0911860</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CLPS Shenzhen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Digital RMB Canteen System V3.0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2023SR1145755</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Cloud Mall Platform Transaction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2023SR1176614</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Lottery Platform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2023SR1183041</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Rules Engine Management Platform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2023SR1182353</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-5008245</wp:posOffset>
            </wp:positionV>
            <wp:extent cx="7147560" cy="2444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-4519930</wp:posOffset>
            </wp:positionV>
            <wp:extent cx="7147560" cy="2444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-4030980</wp:posOffset>
            </wp:positionV>
            <wp:extent cx="7147560" cy="2444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-3542665</wp:posOffset>
            </wp:positionV>
            <wp:extent cx="7147560" cy="2444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-3053715</wp:posOffset>
            </wp:positionV>
            <wp:extent cx="7147560" cy="2444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-2564765</wp:posOffset>
            </wp:positionV>
            <wp:extent cx="7147560" cy="2444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-5512435</wp:posOffset>
            </wp:positionV>
            <wp:extent cx="7147560" cy="259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7560" cy="259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-1831975</wp:posOffset>
            </wp:positionV>
            <wp:extent cx="7147560" cy="4889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4889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0" w:firstLine="171"/>
        <w:spacing w:after="0" w:line="324" w:lineRule="auto"/>
        <w:rPr>
          <w:sz w:val="20"/>
          <w:szCs w:val="20"/>
          <w:color w:val="auto"/>
        </w:rPr>
      </w:pPr>
      <w:r>
        <w:rPr>
          <w:rFonts w:ascii="Times New Roman" w:cs="Times New Roman" w:eastAsia="Times New Roman" w:hAnsi="Times New Roman"/>
          <w:sz w:val="15"/>
          <w:szCs w:val="15"/>
          <w:b w:val="1"/>
          <w:bCs w:val="1"/>
          <w:color w:val="auto"/>
        </w:rPr>
        <w:t xml:space="preserve">Approval Date </w:t>
      </w:r>
      <w:r>
        <w:rPr>
          <w:rFonts w:ascii="Times New Roman" w:cs="Times New Roman" w:eastAsia="Times New Roman" w:hAnsi="Times New Roman"/>
          <w:sz w:val="15"/>
          <w:szCs w:val="15"/>
          <w:color w:val="auto"/>
        </w:rPr>
        <w:t>23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5"/>
          <w:szCs w:val="15"/>
          <w:color w:val="auto"/>
        </w:rPr>
        <w:t xml:space="preserve"> November 2022</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6"/>
          <w:szCs w:val="16"/>
          <w:color w:val="auto"/>
        </w:rPr>
        <w:t xml:space="preserve"> November 2022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February 2023</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August 2023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September 2023</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September 2023</w:t>
      </w:r>
    </w:p>
    <w:p>
      <w:pPr>
        <w:spacing w:after="0" w:line="200" w:lineRule="exact"/>
        <w:rPr>
          <w:sz w:val="20"/>
          <w:szCs w:val="20"/>
          <w:color w:val="auto"/>
        </w:rPr>
      </w:pPr>
    </w:p>
    <w:p>
      <w:pPr>
        <w:spacing w:after="0" w:line="2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200" w:lineRule="exact"/>
        <w:rPr>
          <w:sz w:val="20"/>
          <w:szCs w:val="20"/>
          <w:color w:val="auto"/>
        </w:rPr>
      </w:pPr>
    </w:p>
    <w:p>
      <w:pPr>
        <w:spacing w:after="0" w:line="2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jc w:val="both"/>
        <w:ind w:firstLine="40"/>
        <w:spacing w:after="0" w:line="560" w:lineRule="auto"/>
        <w:rPr>
          <w:sz w:val="20"/>
          <w:szCs w:val="20"/>
          <w:color w:val="auto"/>
        </w:rPr>
      </w:pPr>
      <w:r>
        <w:rPr>
          <w:rFonts w:ascii="Times New Roman" w:cs="Times New Roman" w:eastAsia="Times New Roman" w:hAnsi="Times New Roman"/>
          <w:sz w:val="15"/>
          <w:szCs w:val="15"/>
          <w:color w:val="auto"/>
        </w:rPr>
        <w:t>Registered Registered Registered</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00"/>
            <w:col w:w="1380" w:space="440"/>
            <w:col w:w="720"/>
          </w:cols>
          <w:pgMar w:left="320" w:top="794" w:right="4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Software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JAJI Decision Tree Editing Software V2.0</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2023SR1193997</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ind w:left="60"/>
              <w:spacing w:after="0" w:line="176" w:lineRule="exact"/>
              <w:rPr>
                <w:sz w:val="20"/>
                <w:szCs w:val="20"/>
                <w:color w:val="auto"/>
              </w:rPr>
            </w:pPr>
            <w:r>
              <w:rPr>
                <w:rFonts w:ascii="Times New Roman" w:cs="Times New Roman" w:eastAsia="Times New Roman" w:hAnsi="Times New Roman"/>
                <w:sz w:val="16"/>
                <w:szCs w:val="16"/>
                <w:color w:val="auto"/>
              </w:rPr>
              <w:t>JAJI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Decision Rule UDK Editing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2023SR1205627</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JAJI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Quantitative Matching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2023SR1204049</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JAJI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Quantitative Configuration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2023SR1204959</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JAJI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Quantitative Execution System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2023SR1209552</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JAJI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PC AMS Asset Management System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2023SR1217432</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CLPS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Video Interview System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2023SR1217429</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CLPS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Talent Introduction Management System V3.0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2023SR1216783</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CLPS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WeChat AMS Asset Management System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2023SR1221845</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CLPS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Process Approval WeChat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2023SR1222463</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CLPS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Unified Management Platform for Network</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2023SR1322594</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Collection 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BPM Organizational Structure and Process Approval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2023SR1353798</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CLPS Shanghai</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V5.0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Decision Rule Scoring Card Editing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2023SR1358161</w:t>
            </w: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JAJI (Shanghai)</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8"/>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Credit Card Application Approval Platform</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2023SR1392594</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Dual Information Credit Card Issuance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2024SR1259899</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Mastercard Clearing Service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2024SR1259903</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Credit Card Installment Management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2024SR1260050</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Real-time Credit Card Issuance Service Software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2024SR1258681</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Chenqin UnionPay International Issuance Platform</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2024SR1260809</w:t>
            </w:r>
          </w:p>
        </w:tc>
        <w:tc>
          <w:tcPr>
            <w:tcW w:w="146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Technology</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rPr>
              <w:t>Services Co., Ltd.</w:t>
            </w:r>
          </w:p>
        </w:tc>
      </w:tr>
      <w:tr>
        <w:trPr>
          <w:trHeight w:val="770"/>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-6352540</wp:posOffset>
            </wp:positionV>
            <wp:extent cx="7147560" cy="2444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-5863590</wp:posOffset>
            </wp:positionV>
            <wp:extent cx="7147560" cy="2444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-5375275</wp:posOffset>
            </wp:positionV>
            <wp:extent cx="7147560" cy="2444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-4886325</wp:posOffset>
            </wp:positionV>
            <wp:extent cx="7147560" cy="2444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-4397375</wp:posOffset>
            </wp:positionV>
            <wp:extent cx="7147560" cy="4889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-3664585</wp:posOffset>
            </wp:positionV>
            <wp:extent cx="7147560" cy="2444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-2931795</wp:posOffset>
            </wp:positionV>
            <wp:extent cx="7147560" cy="4889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-1953895</wp:posOffset>
            </wp:positionV>
            <wp:extent cx="7147560" cy="4889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-976630</wp:posOffset>
            </wp:positionV>
            <wp:extent cx="7147560" cy="4889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-6856730</wp:posOffset>
            </wp:positionV>
            <wp:extent cx="7147560" cy="259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7560" cy="259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Approval Date</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October 2023</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November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5"/>
          <w:szCs w:val="15"/>
          <w:color w:val="auto"/>
        </w:rPr>
        <w:t xml:space="preserve"> November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November 2023</w:t>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28th August 2024</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28th August 2024</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28th August 2024</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28th August 2024</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28th August 2024</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Status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w:t>
      </w:r>
    </w:p>
    <w:p>
      <w:pPr>
        <w:sectPr>
          <w:pgSz w:w="11900" w:h="16838" w:orient="portrait"/>
          <w:cols w:equalWidth="0" w:num="3">
            <w:col w:w="8240" w:space="360"/>
            <w:col w:w="1280" w:space="520"/>
            <w:col w:w="680"/>
          </w:cols>
          <w:pgMar w:left="320" w:top="794" w:right="4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Patent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Chenqin Prepaid Card Overseas Study Transfer Platform</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2024SR1258692</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Electronic Contract Signing Software V1.5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2024SR1295341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Ticket Booking SoftwareV1.0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2024SR1295312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Travel Website Route Booking Software V1.6.1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2024SR1293026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Comprehensive Big Data Processing and Value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2024SR1292986</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Mining Analysis Platform SoftwareV1.6.1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Software Development Management Platform</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2024SR1294613</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SoftwareV1.4.6</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CLPS Employee Electronic Business Card Management</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2024SR1295318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CLPS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SoftwareV3.0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Data Management Platform Software V3.0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2024SR1326747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Multi-tenant Operation Management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2024SR1326707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Open Fund Management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2024SR1326758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E-commerce Platform H5 Software V1.0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2024SR1328467</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Intelligent Recruitment Data Synchronization Tool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2024SR1328374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Intelligent Cockpit - Health &amp; Safety Monitoring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2024SR1328041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Credit Trading System V1.1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2025SR0327148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Hainan Qincheng</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Software Technology</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VR Tourism Experience Management Platform</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2025SR0584319</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Software V1.0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E-commerce Platform PC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2025SR0584532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E-commerce Platform Management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2025SR0615014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Meeting Room Reservation Display Software V2.0</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2025SR0584491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LeFanGo H5 Software V1.5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2025SR0600192</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LeFanGo Management Software V1.5</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2025SR0613701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Intelligent Cockpit - Health &amp; Safety Monitoring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2025SR0583108</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Vehicle Software V2.0</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JAJI Intelligent Cockpit - Smart Steering Wheel</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2025SR0595374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JAJI (Shanghai) Co.,</w:t>
            </w:r>
          </w:p>
        </w:tc>
      </w:tr>
      <w:tr>
        <w:trPr>
          <w:trHeight w:val="209"/>
        </w:trPr>
        <w:tc>
          <w:tcPr>
            <w:tcW w:w="2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Management Software V2.0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-6115685</wp:posOffset>
            </wp:positionV>
            <wp:extent cx="7147560" cy="4965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7560" cy="4965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-5375275</wp:posOffset>
            </wp:positionV>
            <wp:extent cx="7147560" cy="2444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-4886325</wp:posOffset>
            </wp:positionV>
            <wp:extent cx="7147560" cy="2444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-4397375</wp:posOffset>
            </wp:positionV>
            <wp:extent cx="7147560" cy="2444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-3909060</wp:posOffset>
            </wp:positionV>
            <wp:extent cx="7147560" cy="2444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-3420110</wp:posOffset>
            </wp:positionV>
            <wp:extent cx="7147560" cy="2444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-2931795</wp:posOffset>
            </wp:positionV>
            <wp:extent cx="7147560" cy="2444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-2320925</wp:posOffset>
            </wp:positionV>
            <wp:extent cx="7147560" cy="2444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-1831975</wp:posOffset>
            </wp:positionV>
            <wp:extent cx="7147560" cy="2444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-1343025</wp:posOffset>
            </wp:positionV>
            <wp:extent cx="7147560" cy="2444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2444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Approval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352"/>
        </w:trPr>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28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August 2024</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757"/>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16"/>
                <w:szCs w:val="16"/>
                <w:color w:val="auto"/>
                <w:w w:val="97"/>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16"/>
                <w:szCs w:val="16"/>
                <w:color w:val="auto"/>
                <w:w w:val="97"/>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16"/>
                <w:szCs w:val="16"/>
                <w:color w:val="auto"/>
                <w:w w:val="97"/>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16"/>
                <w:szCs w:val="16"/>
                <w:color w:val="auto"/>
                <w:w w:val="97"/>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16"/>
                <w:szCs w:val="16"/>
                <w:color w:val="auto"/>
                <w:w w:val="97"/>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3</w:t>
            </w:r>
            <w:r>
              <w:rPr>
                <w:rFonts w:ascii="Times New Roman" w:cs="Times New Roman" w:eastAsia="Times New Roman" w:hAnsi="Times New Roman"/>
                <w:sz w:val="26"/>
                <w:szCs w:val="26"/>
                <w:color w:val="auto"/>
                <w:w w:val="97"/>
                <w:vertAlign w:val="superscript"/>
              </w:rPr>
              <w:t>rd</w:t>
            </w:r>
            <w:r>
              <w:rPr>
                <w:rFonts w:ascii="Times New Roman" w:cs="Times New Roman" w:eastAsia="Times New Roman" w:hAnsi="Times New Roman"/>
                <w:sz w:val="16"/>
                <w:szCs w:val="16"/>
                <w:color w:val="auto"/>
                <w:w w:val="97"/>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6</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6"/>
                <w:szCs w:val="16"/>
                <w:color w:val="auto"/>
                <w:w w:val="98"/>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6</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6"/>
                <w:szCs w:val="16"/>
                <w:color w:val="auto"/>
                <w:w w:val="98"/>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6</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6"/>
                <w:szCs w:val="16"/>
                <w:color w:val="auto"/>
                <w:w w:val="98"/>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9</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6"/>
                <w:szCs w:val="16"/>
                <w:color w:val="auto"/>
                <w:w w:val="98"/>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9</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6"/>
                <w:szCs w:val="16"/>
                <w:color w:val="auto"/>
                <w:w w:val="98"/>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9</w:t>
            </w:r>
            <w:r>
              <w:rPr>
                <w:rFonts w:ascii="Times New Roman" w:cs="Times New Roman" w:eastAsia="Times New Roman" w:hAnsi="Times New Roman"/>
                <w:sz w:val="26"/>
                <w:szCs w:val="26"/>
                <w:color w:val="auto"/>
                <w:w w:val="98"/>
                <w:vertAlign w:val="superscript"/>
              </w:rPr>
              <w:t>th</w:t>
            </w:r>
            <w:r>
              <w:rPr>
                <w:rFonts w:ascii="Times New Roman" w:cs="Times New Roman" w:eastAsia="Times New Roman" w:hAnsi="Times New Roman"/>
                <w:sz w:val="16"/>
                <w:szCs w:val="16"/>
                <w:color w:val="auto"/>
                <w:w w:val="98"/>
              </w:rPr>
              <w:t xml:space="preserve"> September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25</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February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577"/>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38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w:t>
            </w:r>
            <w:r>
              <w:rPr>
                <w:rFonts w:ascii="Times New Roman" w:cs="Times New Roman" w:eastAsia="Times New Roman" w:hAnsi="Times New Roman"/>
                <w:sz w:val="26"/>
                <w:szCs w:val="26"/>
                <w:color w:val="auto"/>
                <w:w w:val="96"/>
                <w:vertAlign w:val="superscript"/>
              </w:rPr>
              <w:t>th</w:t>
            </w:r>
            <w:r>
              <w:rPr>
                <w:rFonts w:ascii="Times New Roman" w:cs="Times New Roman" w:eastAsia="Times New Roman" w:hAnsi="Times New Roman"/>
                <w:sz w:val="16"/>
                <w:szCs w:val="16"/>
                <w:color w:val="auto"/>
                <w:w w:val="96"/>
              </w:rPr>
              <w:t xml:space="preserve"> April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bl>
    <w:p>
      <w:pPr>
        <w:sectPr>
          <w:pgSz w:w="11900" w:h="16838" w:orient="portrait"/>
          <w:cols w:equalWidth="0" w:num="2">
            <w:col w:w="8240" w:space="100"/>
            <w:col w:w="2920"/>
          </w:cols>
          <w:pgMar w:left="320" w:top="794" w:right="31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The following is a list of the Company’s patents: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6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Country of</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Current</w:t>
            </w: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Patent Name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Owner</w:t>
            </w:r>
          </w:p>
        </w:tc>
      </w:tr>
      <w:tr>
        <w:trPr>
          <w:trHeight w:val="176"/>
        </w:trPr>
        <w:tc>
          <w:tcPr>
            <w:tcW w:w="20" w:type="dxa"/>
            <w:vAlign w:val="bottom"/>
          </w:tcPr>
          <w:p>
            <w:pPr>
              <w:spacing w:after="0"/>
              <w:rPr>
                <w:sz w:val="15"/>
                <w:szCs w:val="15"/>
                <w:color w:val="auto"/>
              </w:rPr>
            </w:pPr>
          </w:p>
        </w:tc>
        <w:tc>
          <w:tcPr>
            <w:tcW w:w="3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6"/>
                <w:szCs w:val="16"/>
                <w:color w:val="auto"/>
              </w:rPr>
              <w:t>Credit Card Clearing and Settlement Platform, Batch Task</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China</w:t>
            </w:r>
          </w:p>
        </w:tc>
        <w:tc>
          <w:tcPr>
            <w:tcW w:w="120" w:type="dxa"/>
            <w:vAlign w:val="bottom"/>
          </w:tcPr>
          <w:p>
            <w:pPr>
              <w:spacing w:after="0"/>
              <w:rPr>
                <w:sz w:val="15"/>
                <w:szCs w:val="15"/>
                <w:color w:val="auto"/>
              </w:rPr>
            </w:pPr>
          </w:p>
        </w:tc>
        <w:tc>
          <w:tcPr>
            <w:tcW w:w="14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CN 117539643 B</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Processing Method and Server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Task Data Processing Method and Device for Credit Card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CN 117539641 B</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Platform</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192"/>
        </w:trPr>
        <w:tc>
          <w:tcPr>
            <w:tcW w:w="3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Distributed Scheduling Platform and Scheduling Method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China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CN 117539642 B</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Shanghai Chenqin</w:t>
            </w:r>
          </w:p>
        </w:tc>
      </w:tr>
      <w:tr>
        <w:trPr>
          <w:trHeight w:val="192"/>
        </w:trPr>
        <w:tc>
          <w:tcPr>
            <w:tcW w:w="20" w:type="dxa"/>
            <w:vAlign w:val="bottom"/>
          </w:tcPr>
          <w:p>
            <w:pPr>
              <w:spacing w:after="0"/>
              <w:rPr>
                <w:sz w:val="16"/>
                <w:szCs w:val="16"/>
                <w:color w:val="auto"/>
              </w:rPr>
            </w:pPr>
          </w:p>
        </w:tc>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 Credit Cards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Information</w:t>
            </w:r>
          </w:p>
        </w:tc>
      </w:t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Technology Services</w:t>
            </w:r>
          </w:p>
        </w:tc>
      </w:tr>
      <w:tr>
        <w:trPr>
          <w:trHeight w:val="209"/>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 Ltd.</w:t>
            </w:r>
          </w:p>
        </w:tc>
      </w:tr>
      <w:tr>
        <w:trPr>
          <w:trHeight w:val="57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-1839595</wp:posOffset>
            </wp:positionV>
            <wp:extent cx="7147560" cy="4965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7560" cy="4965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-854710</wp:posOffset>
            </wp:positionV>
            <wp:extent cx="7147560" cy="4889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7560" cy="4889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7147560"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Approval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Status</w:t>
            </w:r>
          </w:p>
        </w:tc>
      </w:tr>
      <w:tr>
        <w:trPr>
          <w:trHeight w:val="352"/>
        </w:trPr>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29</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16"/>
                <w:szCs w:val="16"/>
                <w:color w:val="auto"/>
                <w:w w:val="97"/>
              </w:rPr>
              <w:t xml:space="preserve"> March 2024</w:t>
            </w:r>
          </w:p>
        </w:tc>
        <w:tc>
          <w:tcPr>
            <w:tcW w:w="10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757"/>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2</w:t>
            </w:r>
            <w:r>
              <w:rPr>
                <w:rFonts w:ascii="Times New Roman" w:cs="Times New Roman" w:eastAsia="Times New Roman" w:hAnsi="Times New Roman"/>
                <w:sz w:val="26"/>
                <w:szCs w:val="26"/>
                <w:color w:val="auto"/>
                <w:w w:val="96"/>
                <w:vertAlign w:val="superscript"/>
              </w:rPr>
              <w:t>nd</w:t>
            </w:r>
            <w:r>
              <w:rPr>
                <w:rFonts w:ascii="Times New Roman" w:cs="Times New Roman" w:eastAsia="Times New Roman" w:hAnsi="Times New Roman"/>
                <w:sz w:val="16"/>
                <w:szCs w:val="16"/>
                <w:color w:val="auto"/>
                <w:w w:val="96"/>
              </w:rPr>
              <w:t xml:space="preserve"> April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r>
        <w:trPr>
          <w:trHeight w:val="770"/>
        </w:trPr>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2</w:t>
            </w:r>
            <w:r>
              <w:rPr>
                <w:rFonts w:ascii="Times New Roman" w:cs="Times New Roman" w:eastAsia="Times New Roman" w:hAnsi="Times New Roman"/>
                <w:sz w:val="26"/>
                <w:szCs w:val="26"/>
                <w:color w:val="auto"/>
                <w:w w:val="96"/>
                <w:vertAlign w:val="superscript"/>
              </w:rPr>
              <w:t>nd</w:t>
            </w:r>
            <w:r>
              <w:rPr>
                <w:rFonts w:ascii="Times New Roman" w:cs="Times New Roman" w:eastAsia="Times New Roman" w:hAnsi="Times New Roman"/>
                <w:sz w:val="16"/>
                <w:szCs w:val="16"/>
                <w:color w:val="auto"/>
                <w:w w:val="96"/>
              </w:rPr>
              <w:t xml:space="preserve"> April 2024</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Registered</w:t>
            </w:r>
          </w:p>
        </w:tc>
      </w:tr>
    </w:tbl>
    <w:p>
      <w:pPr>
        <w:sectPr>
          <w:pgSz w:w="11900" w:h="16838" w:orient="portrait"/>
          <w:cols w:equalWidth="0" w:num="2">
            <w:col w:w="8240" w:space="100"/>
            <w:col w:w="2920"/>
          </w:cols>
          <w:pgMar w:left="320" w:top="796"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207" w:lineRule="exact"/>
        <w:rPr>
          <w:sz w:val="20"/>
          <w:szCs w:val="20"/>
          <w:color w:val="auto"/>
        </w:rPr>
      </w:pPr>
    </w:p>
    <w:p>
      <w:pPr>
        <w:jc w:val="both"/>
        <w:ind w:right="20" w:firstLine="577"/>
        <w:spacing w:after="0" w:line="215" w:lineRule="auto"/>
        <w:rPr>
          <w:sz w:val="20"/>
          <w:szCs w:val="20"/>
          <w:color w:val="auto"/>
        </w:rPr>
      </w:pPr>
      <w:r>
        <w:rPr>
          <w:rFonts w:ascii="Times New Roman" w:cs="Times New Roman" w:eastAsia="Times New Roman" w:hAnsi="Times New Roman"/>
          <w:sz w:val="16"/>
          <w:szCs w:val="16"/>
          <w:color w:val="auto"/>
        </w:rPr>
        <w:t>On July 2023, we relocated our principal executive office to Unit 1000,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Millennium City III, 370 Kwun Tong Road, Kwun Tong, Kowloon, Hong Kong SAR. On September 24, 2021, CLPS, through its wholly-owned subsidiary, Arabian Jasmine, entered into a purchase agreement to acquire the commercial real estate located</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6"/>
          <w:szCs w:val="16"/>
          <w:color w:val="auto"/>
        </w:rPr>
        <w:t>at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Millennium City III, 370 Kwun Tong Road, Kwun Tong, Kowloon, Hong Kong SAR for a consideration of US$11,286,971, which has been and will continue to be used as the Company’s principal executive office. The consideration was fully paid on December 8, 2021.</w:t>
      </w:r>
    </w:p>
    <w:p>
      <w:pPr>
        <w:spacing w:after="0" w:line="180" w:lineRule="exact"/>
        <w:rPr>
          <w:sz w:val="20"/>
          <w:szCs w:val="20"/>
          <w:color w:val="auto"/>
        </w:rPr>
      </w:pPr>
    </w:p>
    <w:p>
      <w:pPr>
        <w:jc w:val="both"/>
        <w:ind w:right="20" w:firstLine="577"/>
        <w:spacing w:after="0" w:line="225" w:lineRule="auto"/>
        <w:rPr>
          <w:sz w:val="20"/>
          <w:szCs w:val="20"/>
          <w:color w:val="auto"/>
        </w:rPr>
      </w:pPr>
      <w:r>
        <w:rPr>
          <w:rFonts w:ascii="Times New Roman" w:cs="Times New Roman" w:eastAsia="Times New Roman" w:hAnsi="Times New Roman"/>
          <w:sz w:val="16"/>
          <w:szCs w:val="16"/>
          <w:color w:val="auto"/>
        </w:rPr>
        <w:t>Our previous principal executive office was located at Unit 1102,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Millennium City III, 370 Kwun Tong Road, Kwun Tong, Kowloon, Hong Kong SAR. We leased the premise, and the lease term has expired on May 5, 2021. On June 7, 2021, CLPS, through its wholly-owned subsidiary, entered into a purchase agreement to acquire the commercial real estate for a consideration of US$3,860,000. The consideration was fully paid on July 21, 2021.</w:t>
      </w:r>
    </w:p>
    <w:p>
      <w:pPr>
        <w:spacing w:after="0" w:line="177"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July 30, 2021, CLPS, through its wholly-owned subsidiary, Noni Singapore, entered into a purchase agreement to acquire commercial real estate located at 60 Paya Lebar Road #05-29 and #05-30, Singapore for a consideration of US$4,614,743. The consideration was fully paid on October 25, 2021.</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In addition, the Company manages and operates several other facilities. We rent office space in Shanghai, Tianjin, Shenzhen, Guangzhou, Dalian, Xi’an, Chengdu, Beijing, Hainan, Singapore, Japan, India, the U.S., Canada, Philippines, Malaysia, Indonesia, and the UAE. Rent expenses amounted to $2,166,911, $1,514,162, and $1,086,622 for the years ended June 30, 2025, 2024, and 2023, respectively. We believe our facilities are adequate for our current needs.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5"/>
        </w:trPr>
        <w:tc>
          <w:tcPr>
            <w:tcW w:w="1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20" w:type="dxa"/>
            <w:vAlign w:val="bottom"/>
          </w:tcPr>
          <w:p>
            <w:pPr>
              <w:spacing w:after="0"/>
              <w:rPr>
                <w:sz w:val="18"/>
                <w:szCs w:val="18"/>
                <w:color w:val="auto"/>
              </w:rPr>
            </w:pPr>
          </w:p>
        </w:tc>
        <w:tc>
          <w:tcPr>
            <w:tcW w:w="8200" w:type="dxa"/>
            <w:vAlign w:val="bottom"/>
            <w:gridSpan w:val="2"/>
          </w:tcPr>
          <w:p>
            <w:pPr>
              <w:ind w:left="3760"/>
              <w:spacing w:after="0"/>
              <w:rPr>
                <w:sz w:val="20"/>
                <w:szCs w:val="20"/>
                <w:color w:val="auto"/>
              </w:rPr>
            </w:pPr>
            <w:r>
              <w:rPr>
                <w:rFonts w:ascii="Times New Roman" w:cs="Times New Roman" w:eastAsia="Times New Roman" w:hAnsi="Times New Roman"/>
                <w:sz w:val="16"/>
                <w:szCs w:val="16"/>
                <w:b w:val="1"/>
                <w:bCs w:val="1"/>
                <w:color w:val="auto"/>
              </w:rPr>
              <w:t>Address</w:t>
            </w: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Space (m2)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Office</w:t>
            </w:r>
          </w:p>
        </w:tc>
        <w:tc>
          <w:tcPr>
            <w:tcW w:w="120" w:type="dxa"/>
            <w:vAlign w:val="bottom"/>
            <w:tcBorders>
              <w:top w:val="single" w:sz="8" w:color="CCEEFF"/>
            </w:tcBorders>
            <w:shd w:val="clear" w:color="auto" w:fill="CCEEFF"/>
          </w:tcPr>
          <w:p>
            <w:pPr>
              <w:spacing w:after="0"/>
              <w:rPr>
                <w:sz w:val="19"/>
                <w:szCs w:val="19"/>
                <w:color w:val="auto"/>
              </w:rPr>
            </w:pPr>
          </w:p>
        </w:tc>
        <w:tc>
          <w:tcPr>
            <w:tcW w:w="8100" w:type="dxa"/>
            <w:vAlign w:val="bottom"/>
            <w:tcBorders>
              <w:top w:val="single" w:sz="8" w:color="auto"/>
            </w:tcBorders>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Floor, Building 18, Shanghai Pudong Software Park, 498 Guoshoujing Road, Pudong District, Shanghai, PRC</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1,259.94</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Office</w:t>
            </w:r>
          </w:p>
        </w:tc>
        <w:tc>
          <w:tcPr>
            <w:tcW w:w="8320" w:type="dxa"/>
            <w:vAlign w:val="bottom"/>
            <w:gridSpan w:val="3"/>
            <w:shd w:val="clear" w:color="auto" w:fill="CCEEFF"/>
          </w:tcPr>
          <w:p>
            <w:pPr>
              <w:ind w:left="120"/>
              <w:spacing w:after="0" w:line="228"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Floor, Building 18, Shanghai Pudong Software Park, 498 Guoshoujing Road, Pudong District, Shanghai,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914.62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 511&amp;513, Building 1, No. 2966 Jinke Road, Zhangjiang High tech Park, Shanghai,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564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Dalian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B02#503-507, No. 30, Cuitao Street, High Tech Park, Ganjingzi District, Dalian, Liaoning Province,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1,029.54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Dalian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B02#502, No. 30, Cuitao Street, High Tech Park, Ganjingzi District, Dalian, Liaoning Province,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115.78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Tianjin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 4403, F4, Building No.4, Xinhuan West Road, TEDA, Tianjin,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76.55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Shenzhen Office</w:t>
            </w:r>
          </w:p>
        </w:tc>
        <w:tc>
          <w:tcPr>
            <w:tcW w:w="83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6"/>
                <w:szCs w:val="16"/>
                <w:color w:val="auto"/>
              </w:rPr>
              <w:t>Room 27A, 27B, 27C, 27E, Building A, Honglong Century Plaza, No. 3001, Heping Road, Renminqiao Community, Guiyuan</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Sub-district, Luohu District, Shenzhen City,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830.43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Guangzhou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 01-08 and 10-11, 6th Floor, No. 240 Tianhe Road, Tianhe District, Guangzhou,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1,602.57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Xi’an Office</w:t>
            </w:r>
          </w:p>
        </w:tc>
        <w:tc>
          <w:tcPr>
            <w:tcW w:w="8320" w:type="dxa"/>
            <w:vAlign w:val="bottom"/>
            <w:gridSpan w:val="3"/>
            <w:shd w:val="clear" w:color="auto" w:fill="CCEEFF"/>
          </w:tcPr>
          <w:p>
            <w:pPr>
              <w:ind w:left="120"/>
              <w:spacing w:after="0" w:line="212" w:lineRule="exact"/>
              <w:rPr>
                <w:sz w:val="20"/>
                <w:szCs w:val="20"/>
                <w:color w:val="auto"/>
              </w:rPr>
            </w:pPr>
            <w:r>
              <w:rPr>
                <w:rFonts w:ascii="Times New Roman" w:cs="Times New Roman" w:eastAsia="Times New Roman" w:hAnsi="Times New Roman"/>
                <w:sz w:val="15"/>
                <w:szCs w:val="15"/>
                <w:color w:val="auto"/>
              </w:rPr>
              <w:t>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Floor, Building C2, Phase II, Xi’an Software New Town R&amp;D Base, No. 156, Tiangu 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Road, High Tech Zone, Xi’an,</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Shaanxi,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1,232.92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Chengdu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 1205, Tower 2, Xiangnian Square, High-Tech District, Chengdu, Sichuan,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119.52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Beijing Office</w:t>
            </w:r>
          </w:p>
        </w:tc>
        <w:tc>
          <w:tcPr>
            <w:tcW w:w="83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6"/>
                <w:szCs w:val="16"/>
                <w:color w:val="auto"/>
              </w:rPr>
              <w:t>610-611, 6th Floor, Pacific Eagle Center, No.1 Building, 33 Gucheng Nanli East Street, Bajiao Street, Shijingshan District,</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Beijing,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327.2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10/F, Millennium City III, 370 Kwun Tong Rd, Kwun Tong, Kowloon, Hong Kong</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756.23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Japan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3rd Floor, Ansoleil Ota Building 20-1 Nihonbashi Hakozakicho, Chuo-ku Tokyo 103-0015, Japan</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157.96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Japan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4F, Toyo Building 1-36-3 Nihonbashi Kakigaracho,Chuo Ku,Tokyo, Japan</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40.17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India Office</w:t>
            </w:r>
          </w:p>
        </w:tc>
        <w:tc>
          <w:tcPr>
            <w:tcW w:w="8320" w:type="dxa"/>
            <w:vAlign w:val="bottom"/>
            <w:gridSpan w:val="3"/>
            <w:shd w:val="clear" w:color="auto" w:fill="CCEEFF"/>
          </w:tcPr>
          <w:p>
            <w:pPr>
              <w:ind w:left="120"/>
              <w:spacing w:after="0" w:line="228" w:lineRule="exact"/>
              <w:rPr>
                <w:sz w:val="20"/>
                <w:szCs w:val="20"/>
                <w:color w:val="auto"/>
              </w:rPr>
            </w:pPr>
            <w:r>
              <w:rPr>
                <w:rFonts w:ascii="Times New Roman" w:cs="Times New Roman" w:eastAsia="Times New Roman" w:hAnsi="Times New Roman"/>
                <w:sz w:val="16"/>
                <w:szCs w:val="16"/>
                <w:color w:val="auto"/>
              </w:rPr>
              <w:t>DLF Cybercity,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6"/>
                <w:szCs w:val="16"/>
                <w:color w:val="auto"/>
              </w:rPr>
              <w:t xml:space="preserve"> Floor, Unit No. 222, Bhubaneswar, India 751024</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113.81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Two Embarcadero Center, 8th Floor, San Francisco, CA, USA 94111</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Canada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7 Bayview Station Road, K1Y 2C5 Ottawa, ON, Canada</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Hainan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 B1013, Binhai Avenue, 109-9 Haihang Plaza, Hainan,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63.62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Philippines Office</w:t>
            </w:r>
          </w:p>
        </w:tc>
        <w:tc>
          <w:tcPr>
            <w:tcW w:w="83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6"/>
                <w:szCs w:val="16"/>
                <w:color w:val="auto"/>
              </w:rPr>
              <w:t>Unit 9-037, Level 9, Arthaland Century Pacific Tower, 5th Avenue Corner 30th Street, Bonifacio Global City, Manila,</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Philippines</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Singapore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60 Paya Lebar Road #05-29&amp;#05-30, Paya Lebar Square, Singapore, 409051</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Singapore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 Collyer Quay, #18-01 to #18-05, The Arcade, Singapore 049317</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656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Malaysia Office</w:t>
            </w: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 26-03, Q Sentral, Jalan Stesen Sentral 2, 50470 Kl Sentral, Kuala Lumpur, Malaysia</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United Arab Emirates</w:t>
            </w:r>
          </w:p>
        </w:tc>
        <w:tc>
          <w:tcPr>
            <w:tcW w:w="83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6"/>
                <w:szCs w:val="16"/>
                <w:color w:val="auto"/>
              </w:rPr>
              <w:t>Dubai International Financial Centre Leve14</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Gate PO, Dubai, UAE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w:t>
            </w:r>
          </w:p>
        </w:tc>
        <w:tc>
          <w:tcPr>
            <w:tcW w:w="12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Guangzhou Office</w:t>
            </w:r>
          </w:p>
        </w:tc>
        <w:tc>
          <w:tcPr>
            <w:tcW w:w="8320" w:type="dxa"/>
            <w:vAlign w:val="bottom"/>
            <w:gridSpan w:val="3"/>
            <w:shd w:val="clear" w:color="auto" w:fill="CCEEFF"/>
          </w:tcPr>
          <w:p>
            <w:pPr>
              <w:ind w:left="120"/>
              <w:spacing w:after="0" w:line="228" w:lineRule="exact"/>
              <w:rPr>
                <w:sz w:val="20"/>
                <w:szCs w:val="20"/>
                <w:color w:val="auto"/>
              </w:rPr>
            </w:pPr>
            <w:r>
              <w:rPr>
                <w:rFonts w:ascii="Times New Roman" w:cs="Times New Roman" w:eastAsia="Times New Roman" w:hAnsi="Times New Roman"/>
                <w:sz w:val="16"/>
                <w:szCs w:val="16"/>
                <w:color w:val="auto"/>
              </w:rPr>
              <w:t>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Floor, Building A, Fengxing Plaza, No. 67, Tianhe East Road, Tianhe District, Guangzhou City, Guangdong,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2,354.13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Guangzhou Office</w:t>
            </w:r>
          </w:p>
        </w:tc>
        <w:tc>
          <w:tcPr>
            <w:tcW w:w="8320" w:type="dxa"/>
            <w:vAlign w:val="bottom"/>
            <w:gridSpan w:val="3"/>
            <w:shd w:val="clear" w:color="auto" w:fill="CCEEFF"/>
          </w:tcPr>
          <w:p>
            <w:pPr>
              <w:ind w:left="120"/>
              <w:spacing w:after="0" w:line="228" w:lineRule="exact"/>
              <w:rPr>
                <w:sz w:val="20"/>
                <w:szCs w:val="20"/>
                <w:color w:val="auto"/>
              </w:rPr>
            </w:pPr>
            <w:r>
              <w:rPr>
                <w:rFonts w:ascii="Times New Roman" w:cs="Times New Roman" w:eastAsia="Times New Roman" w:hAnsi="Times New Roman"/>
                <w:sz w:val="16"/>
                <w:szCs w:val="16"/>
                <w:color w:val="auto"/>
              </w:rPr>
              <w:t>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 Building A, Fengxing Plaza, No. 67 Tianhe East Road, Tianhe District, Guangzhou, Guangdong, PRC</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2,354.13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Indonesia Office</w:t>
            </w:r>
          </w:p>
        </w:tc>
        <w:tc>
          <w:tcPr>
            <w:tcW w:w="8320" w:type="dxa"/>
            <w:vAlign w:val="bottom"/>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6"/>
                <w:szCs w:val="16"/>
                <w:color w:val="auto"/>
              </w:rPr>
              <w:t>Kantorkuu Coworking &amp; Office Space, Gedung Citywalk Sudirman Lantai 5, Jl. KH. Mas Mansyur No. 121, RT 10/RW 11,</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Kel. Karet Tengsin, Kec. Tanah Abang, Jakarta Pusat, 10220, Indonesia</w:t>
            </w:r>
          </w:p>
        </w:tc>
        <w:tc>
          <w:tcPr>
            <w:tcW w:w="112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2"/>
          </w:tcPr>
          <w:p>
            <w:pPr>
              <w:ind w:left="384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6"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are currently not involved in any legal proceedings; nor are we aware of any claims that could have a material adverse effect on our business, financial condition, results of operations or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Holding Foreign Companies Accountable Act (HFCAA)</w:t>
      </w:r>
    </w:p>
    <w:p>
      <w:pPr>
        <w:spacing w:after="0" w:line="203"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We became a Commission-identified issuer (“CII”) under the Holding Foreign Companies Accountable Act (“HFCAA”) on November 18, 2022. There is no material impact on our Company by the intervention or control of the PRC government, as disclosed in the heading “Risk of Intervention or Control by the PRC Government” under Risk Factors. No member of the board of directors of our Company is a current member of the Chinese Communist Party (“CCP”). Our Company’s Memorandum and Articles of Associations and bylaws do not contain any chapter of the CCP.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Uyghur Forced Labor Prevention Act (UFLPA)</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do not conduct any operation in or reply on any counterparty conducting operation in Xinjiang Uyghur Autonomous Region and are in full compliance with Uyghur Forced Labor Prevention 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PRC Information Technology Service Industry</w:t>
      </w:r>
    </w:p>
    <w:p>
      <w:pPr>
        <w:spacing w:after="0" w:line="20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According to the Catalogue of Industries for Encouraging Foreign Investment (2022)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56"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63"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 xml:space="preserve">Notwithstanding the foregoing, we are aware that the State Council has promulgated the </w:t>
      </w:r>
      <w:r>
        <w:rPr>
          <w:rFonts w:ascii="Times New Roman" w:cs="Times New Roman" w:eastAsia="Times New Roman" w:hAnsi="Times New Roman"/>
          <w:sz w:val="16"/>
          <w:szCs w:val="16"/>
          <w:i w:val="1"/>
          <w:iCs w:val="1"/>
          <w:color w:val="auto"/>
        </w:rPr>
        <w:t>Regulation on Fair Competition Review</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RFCR</w:t>
      </w:r>
      <w:r>
        <w:rPr>
          <w:rFonts w:ascii="Times New Roman" w:cs="Times New Roman" w:eastAsia="Times New Roman" w:hAnsi="Times New Roman"/>
          <w:sz w:val="16"/>
          <w:szCs w:val="16"/>
          <w:color w:val="auto"/>
        </w:rPr>
        <w:t>”), which became effective on August 1, 2024. The RFCR prohibits any policy or measure that impacts production and operational costs, unless authorized by law, administrative regulations, or approved by the State Council. Such circumstances include, but are not limited to, the granting of tax incentives, selective or differentiated financial rewards, or subsidies to specific entities. The RFCR further mandates that market regulators establish and improve a spot-check mechanism for fair competition review and organize spot checks of the relevant policies or measures. In case of violation of the RFCR, the market regulator shall urge the drafting entity of the policy or measure in question to rectify the situation. As a result, we cannot guarantee the continued or permanent availability of these preferential treatments. Should any policy or measure underpinning our preferential treatment be repealed or amended, we may lose such advantages, potentially lead to adverse effects on our operations and financial performance.</w:t>
      </w:r>
    </w:p>
    <w:p>
      <w:pPr>
        <w:spacing w:after="0" w:line="167"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i w:val="1"/>
          <w:iCs w:val="1"/>
          <w:color w:val="auto"/>
        </w:rPr>
        <w:t>Regulations on Intellectual Property Rights</w:t>
      </w:r>
    </w:p>
    <w:p>
      <w:pPr>
        <w:spacing w:after="0" w:line="203"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 of Foreign Currency Exchange and Dividend Distribution</w:t>
      </w:r>
    </w:p>
    <w:p>
      <w:pPr>
        <w:spacing w:after="0" w:line="203"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u w:val="single" w:color="auto"/>
          <w:color w:val="auto"/>
        </w:rPr>
        <w:t>Foreign Currency Exchange.</w:t>
      </w:r>
      <w:r>
        <w:rPr>
          <w:rFonts w:ascii="Times New Roman" w:cs="Times New Roman" w:eastAsia="Times New Roman" w:hAnsi="Times New Roman"/>
          <w:sz w:val="16"/>
          <w:szCs w:val="16"/>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6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u w:val="single" w:color="auto"/>
          <w:color w:val="auto"/>
        </w:rPr>
        <w:t>Dividend Distribution.</w:t>
      </w:r>
      <w:r>
        <w:rPr>
          <w:rFonts w:ascii="Times New Roman" w:cs="Times New Roman" w:eastAsia="Times New Roman" w:hAnsi="Times New Roman"/>
          <w:sz w:val="16"/>
          <w:szCs w:val="16"/>
          <w:color w:val="auto"/>
        </w:rPr>
        <w:t xml:space="preserve"> The principal regulations governing the distribution of dividends by foreign holding companies include the Company Law of the PRC (2024), the Foreign Investment Law of the People’s Republic of China (2020), and the Implementing Regulations of the Foreign Investment Law of the People’s Republic of China (2020).</w:t>
      </w:r>
    </w:p>
    <w:p>
      <w:pPr>
        <w:spacing w:after="0" w:line="1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62"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u w:val="single" w:color="auto"/>
          <w:color w:val="auto"/>
        </w:rPr>
        <w:t>Circular 37</w:t>
      </w:r>
      <w:r>
        <w:rPr>
          <w:rFonts w:ascii="Times New Roman" w:cs="Times New Roman" w:eastAsia="Times New Roman" w:hAnsi="Times New Roman"/>
          <w:sz w:val="16"/>
          <w:szCs w:val="16"/>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i w:val="1"/>
          <w:iCs w:val="1"/>
          <w:color w:val="auto"/>
        </w:rPr>
        <w:t>New M&amp;A Regulations and Overseas Listings</w:t>
      </w:r>
    </w:p>
    <w:p>
      <w:pPr>
        <w:spacing w:after="0" w:line="203"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6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on Offshore Parent Holding Companies’ Direct Investment in and Loans to Their PRC Subsidiaries</w:t>
      </w:r>
    </w:p>
    <w:p>
      <w:pPr>
        <w:spacing w:after="0" w:line="203"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Foreign Investment Law of the People’s Republic of China (2020)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3"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We are a global information technology (“IT”), consulting and solutions service provider, focused on delivering services primarily to global institutions, including banking, wealth management, e-commerce, and automotive areas both in China and globally. For over 20 years as an IT services provider for a growing network of clients in the fintech and financial services industry, CLPS has been at the forefront of driving digital transformation and optimizing operational efficiency across industries through innovations in artificial intelligence (AI), cloud computing, and big data. Our diverse business lines span sectors including fintech, payment and credit services, e-commerce, education and study abroad programs, and global tourism integrated with transportation services. Through its diversified offerings, CLPS is committed to providing comprehensive services, solutions, and products for our clients. We have created and developed a particular market niche by providing turn-key financial solutions.</w:t>
      </w:r>
    </w:p>
    <w:p>
      <w:pPr>
        <w:spacing w:after="0" w:line="16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Since our inception, we have aimed to build one of the largest sales and service delivery platforms for IT services and solutions in China. The nature of our services is such that we provide a majority of services to our banking and credit card clients in order to build new or modify existing clients’ own proprietary systems.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Our extensive network enables us to serve different clients across various geographic locations. By combining onsite or onshore support and consulting with scalable and high-efficiency offsite or offshore services and processing, we are able to meet client demands in a cost-effective manner while retaining significant operational flexibility. By serving both Chinese and global clients on a common platform, we are able to leverage the shared resources, management proficiency, industry expertise and technological know-how to attract new business and remain cost competitive. We believe that maintaining our Company as a proven and reliable partner to our clients both in China and globally positions us well to capture greater opportunities in the rapidly evolving global market for IT consulting and solutions.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 Results of subsidiaries and businesses acquired from third parties are consolidated from the date on which control is transferred to us.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1" w:lineRule="exact"/>
        <w:rPr>
          <w:sz w:val="20"/>
          <w:szCs w:val="20"/>
          <w:color w:val="auto"/>
        </w:rPr>
      </w:pPr>
    </w:p>
    <w:p>
      <w:pPr>
        <w:jc w:val="both"/>
        <w:ind w:firstLine="577"/>
        <w:spacing w:after="0" w:line="262"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 of Company</w:t>
      </w:r>
    </w:p>
    <w:p>
      <w:pPr>
        <w:spacing w:after="0" w:line="203"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together with Mr. Raymond Ming Hui Lin, the Company’s Chief Executive Officer and Director are the controlling shareholders of the Company (the “Controlling Shareholders”).</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August 15, 2018, the shareholders of CLPS SG and Ridik AU were changed to Qiner from CLPS Shanghai pursuant to the share purchase agreements. Qiner purchased the 100% equity interest of CLPS SG and Ridik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August 20, 2018, CLPS SG acquired an 80% interest in Infogain Solutions Pte. Ltd. (“Infogain”) located in Singapore from Sharma Devendra Prasad and Deepak Malhotra with the final purchase price of $0.4 million (or approximately 576,000 Singapore dollars).</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On April 3, 2019, Qiner purchased a 30% equity interest in Economic Modeling Information Technology Co., Ltd. (“EMIT”). The consideration is zero amount. Qiner subsequently made a capital contribution of $0.44 million (RMB 3 million) to EMIT directly. There is remaining capital contribution of $0.23 million not paid as of June 30, 2021.</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July 31, 2019, the Company incorporated CLPS Hangzhou Co., Ltd. (“CLPS Hangzhou”), to develop the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September 13, 2019, the Company incorporated CLPS Technology Japan (“CLPS Japan”) to develop business in related areas.</w:t>
      </w:r>
    </w:p>
    <w:p>
      <w:pPr>
        <w:spacing w:after="0" w:line="201"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On September 26, 2019, Qiner acquired an 80% interest in Ridik Pte. Ltd. (“Ridik Pte.”) located in Singapore from Srustijeet Mishra and Routray Sibashis with the final purchase price of $2,462,580 (3,402,304 Singapore dollars), in the form of cash of $2,026,043 (2,799,180 Singapore dollars) and the Company’s common shares valued at $436,537 (603,123 Singapore dollars), respectively. Ridik Sdn. Bhd. (“Ridik Sdn.”), Ridik Software Solutions Pte. Ltd. (“Ridik Software Pte.”), Ridik Software Solutions Ltd. (“Ridik Software”), and Suzhou Ridik Information Technology Co., Ltd. (“Suzhou Ridik”) are all subsidiaries of Ridik Pte. Suzhou Ridik was liquidated on April 16,2021. Ridik Software was dissolved on May 11,2021.</w:t>
      </w:r>
    </w:p>
    <w:p>
      <w:pPr>
        <w:spacing w:after="0" w:line="162"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Prior to December 2019, CLPS Shanghai held a 70% equity interest in CLPS Shenzhen and an 80% equity interest in CLPS Hong Kong, which held the remaining 30% equity interest in CLPS Shenzhen. And the remaining 20% equity interest in CLPS Hong Kong and remaining 6% equity interest in CLPS Shenzhen were recorded as a noncontrolling interests on the Company’s consolidated balance sheet. On December 9, 2019, Qiner acquired the remaining 20% equity interest in CLPS Hong Kong from noncontrolling shareholder with the consideration of the Company’s 100,000 common shares, and became the sole shareholder of CLPS Hong Kong and CLPS Shenzhen.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88" w:name="page89"/>
    <w:bookmarkEnd w:id="88"/>
    <w:p>
      <w:pPr>
        <w:ind w:left="580"/>
        <w:spacing w:after="0"/>
        <w:rPr>
          <w:sz w:val="20"/>
          <w:szCs w:val="20"/>
          <w:color w:val="auto"/>
        </w:rPr>
      </w:pPr>
      <w:r>
        <w:rPr>
          <w:rFonts w:ascii="Times New Roman" w:cs="Times New Roman" w:eastAsia="Times New Roman" w:hAnsi="Times New Roman"/>
          <w:sz w:val="16"/>
          <w:szCs w:val="16"/>
          <w:color w:val="auto"/>
        </w:rPr>
        <w:t>On December 31, 2019, the Company incorporated Qinson Credit Card Services Limited (“Qinson”) to develop business in related areas.</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January 6, 2020, Ridik Pte. acquired 100% equity interest in Ridik Consulting Private Limited (“Ridik Consulting”) from third-party selling shareholders with the final purchase price of $5,520 (396,700 Indian Rupees).</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July 23, 2020, Qiner purchased the 80% equity interest in CLPS Hong Kong from CLPS Shanghai for consideration of $0.64 million (HKD 5,000,000). After the equity transfer, Qiner holds 100% of equity interest of CLPS Hong Kong. This transaction did not change the holding company’s ownership of the entity.</w:t>
      </w:r>
    </w:p>
    <w:p>
      <w:pPr>
        <w:spacing w:after="0" w:line="14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On July 27, 2020, the Company and a third-party company incorporated CLPS Guangdong Zhichuang Software Technology Co., Ltd. (“CLPS Guangdong Zhichuang”) in Shenzhen. The Company holds 10% of equity interest in CLPS Guangdong Zhichuang valued at $0.14 million (RMB 1,000,000). On August 13, 2020, January 5, 2021, and February 2, 2021, the Company injected $28,571 (RMB 200,000), $46,476 (RMB 300,000) and $15,487 (RMB 100,000) to CLPS Guangdong Zhichuang, respectively.</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January 20, 2021, the Company incorporated Hainan Qincheng Software Technology Co., Ltd. (“CLPS Hainan”) in Hainan to develop business in related areas.</w:t>
      </w:r>
    </w:p>
    <w:p>
      <w:pPr>
        <w:spacing w:after="0" w:line="201"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Prior to January 2021, Qiner held 80% equity interest in Ridik Pte. The remaining 20% equity interest was recorded as a noncontrolling interest on the Company’s consolidated balance sheet. On January 29, 2021, CLPS SG acquired the remaining 20% equity interest from Srustijeet Mishra and Routray Sibashis with final purchase price of $0.62 million (or approximately SGD 828,135), in the form of cash of $0.44 million (or approximately SGD 579,695) and the Company’s common shares valued at $0.18 million (or approximately SGD 248,441). Ridik Pte. and its subsidiaries are now wholly-owned subsidiaries of the Company.</w:t>
      </w:r>
    </w:p>
    <w:p>
      <w:pPr>
        <w:spacing w:after="0" w:line="162"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On February 3, 2021, CLPS Shanghai reached a capital increase agreement with the three shareholders of Shanghai Shier Information Technology Co., Ltd. (“SSIT”). After the capital increase, the Company holds 35% of equity interest in SSIT valued at $0.08 million (RMB 538,500). The Company injected the capital of $0.08 million (RMB 538,500) on March 2, 2021.</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Prior to January 2021, JAJI China held a 70% equity interest in JAJI HR. The remaining 30% equity interest in JAJI HR was recorded as a noncontrolling interest on the Company’s consolidated balance sheet. On January 28, 2021, JAJI China acquired the remaining 30% equity interest from CareerWin Executive Search Co., Ltd. (“CareerWin”).</w:t>
      </w:r>
    </w:p>
    <w:p>
      <w:pPr>
        <w:spacing w:after="0" w:line="156"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On March 3, 2021, JAJI HR acquired 100% equity interest in CareerWin located in Shanghai from third-party selling shareholders with the purchase price in the form of cash of $0.29 million (RMB 1,877,044).</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On March 11, 2021, the equity interest in Ridik Pte. was transferred to CLPS SG from Qiner pursuant to the share purchase agreements. CLPS SG purchased the 80% equity interest in Ridik Pte. from Qiner for consideration of $2.16 million (or approximately SGD 2,906,435). After the equity transfer, CLPS SG now holds 100% equity interest in Ridik Pte. This transaction did not change the holding company’s ownership of the entity.</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April 2, 2021, as part of business strategy, the Company changed the English entity name of its majority-owned subsidiary, Judge (Shanghai) Co., Ltd. and its wholly-owned subsidiary Judge (Shanghai) Human Resource Co., Ltd., to JAJI (Shanghai) Co., Ltd. (“JAJI China”) and JAJI (Shanghai) Human Resource Co., Ltd. (“JAJI HR”), respectively.</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April 14, 2021, the Company incorporated Growth Ring Ltd. (“Growth Ring”) in British Virgin Islands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April 15, 2021, the Company incorporated CLPS Xi’an Co., Ltd. (“CLPS Xi’an”) in Shaanxi to develop business in related areas.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89" w:name="page90"/>
    <w:bookmarkEnd w:id="89"/>
    <w:p>
      <w:pPr>
        <w:ind w:firstLine="577"/>
        <w:spacing w:after="0" w:line="283" w:lineRule="auto"/>
        <w:rPr>
          <w:sz w:val="20"/>
          <w:szCs w:val="20"/>
          <w:color w:val="auto"/>
        </w:rPr>
      </w:pPr>
      <w:r>
        <w:rPr>
          <w:rFonts w:ascii="Times New Roman" w:cs="Times New Roman" w:eastAsia="Times New Roman" w:hAnsi="Times New Roman"/>
          <w:sz w:val="16"/>
          <w:szCs w:val="16"/>
          <w:color w:val="auto"/>
        </w:rPr>
        <w:t>On May 11, 2021, JAJI China acquired 60% of equity interest in Beijing Bozhuo Education Technology Co., Ltd. (“Beijing Bozhuo”) located in Beijing from a third-party selling shareholder with the purchase price in the form of cash of $0.02 million (RMB 120,000).</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May 25, 2021, the Company incorporated Arabian Jasmine Ltd. (“Arabian Jasmine”) in British Virgin Islands to develop business in related areas.</w:t>
      </w:r>
    </w:p>
    <w:p>
      <w:pPr>
        <w:spacing w:after="0" w:line="201" w:lineRule="exact"/>
        <w:rPr>
          <w:sz w:val="20"/>
          <w:szCs w:val="20"/>
          <w:color w:val="auto"/>
        </w:rPr>
      </w:pPr>
    </w:p>
    <w:p>
      <w:pPr>
        <w:ind w:firstLine="577"/>
        <w:spacing w:after="0" w:line="283" w:lineRule="auto"/>
        <w:rPr>
          <w:sz w:val="20"/>
          <w:szCs w:val="20"/>
          <w:color w:val="auto"/>
        </w:rPr>
      </w:pPr>
      <w:r>
        <w:rPr>
          <w:rFonts w:ascii="Times New Roman" w:cs="Times New Roman" w:eastAsia="Times New Roman" w:hAnsi="Times New Roman"/>
          <w:sz w:val="16"/>
          <w:szCs w:val="16"/>
          <w:color w:val="auto"/>
        </w:rPr>
        <w:t>On May 31, 2021, CLPS SG sold its 80% equity interest in Infogain to the noncontrolling interest shareholder Sharma Devendra Prasad for the sale price of $0.08 million (SGD 100,000). After the interest transfer, Infogain is no longer a subsidiary of the Company.</w:t>
      </w:r>
    </w:p>
    <w:p>
      <w:pPr>
        <w:spacing w:after="0" w:line="143" w:lineRule="exact"/>
        <w:rPr>
          <w:sz w:val="20"/>
          <w:szCs w:val="20"/>
          <w:color w:val="auto"/>
        </w:rPr>
      </w:pPr>
    </w:p>
    <w:p>
      <w:pPr>
        <w:ind w:firstLine="577"/>
        <w:spacing w:after="0" w:line="283" w:lineRule="auto"/>
        <w:rPr>
          <w:sz w:val="20"/>
          <w:szCs w:val="20"/>
          <w:color w:val="auto"/>
        </w:rPr>
      </w:pPr>
      <w:r>
        <w:rPr>
          <w:rFonts w:ascii="Times New Roman" w:cs="Times New Roman" w:eastAsia="Times New Roman" w:hAnsi="Times New Roman"/>
          <w:sz w:val="16"/>
          <w:szCs w:val="16"/>
          <w:color w:val="auto"/>
        </w:rPr>
        <w:t>On May 31, 2021, the Company incorporated Shanghai Chenqin Information Technology Services Co., Ltd. (“Shanghai Chenqin”) in Shanghai to develop business in related areas.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June 22, 2021, the Company incorporated Noni (Singapore) Pte. Ltd. (“Noni Singapore”) in Singapore to develop business in related areas.</w:t>
      </w:r>
    </w:p>
    <w:p>
      <w:pPr>
        <w:spacing w:after="0" w:line="201" w:lineRule="exact"/>
        <w:rPr>
          <w:sz w:val="20"/>
          <w:szCs w:val="20"/>
          <w:color w:val="auto"/>
        </w:rPr>
      </w:pPr>
    </w:p>
    <w:p>
      <w:pPr>
        <w:ind w:firstLine="577"/>
        <w:spacing w:after="0" w:line="283" w:lineRule="auto"/>
        <w:rPr>
          <w:sz w:val="20"/>
          <w:szCs w:val="20"/>
          <w:color w:val="auto"/>
        </w:rPr>
      </w:pPr>
      <w:r>
        <w:rPr>
          <w:rFonts w:ascii="Times New Roman" w:cs="Times New Roman" w:eastAsia="Times New Roman" w:hAnsi="Times New Roman"/>
          <w:sz w:val="16"/>
          <w:szCs w:val="16"/>
          <w:color w:val="auto"/>
        </w:rPr>
        <w:t>On June 22, 2021, the Company and a noncontrolling interest shareholder incorporated CLPS-Beefinance Holding Limited (“CLPS-Beefinance”) in British Virgin Islands to develop and upgrade blockchain-based digital asset solutions for financial institutions.</w:t>
      </w:r>
    </w:p>
    <w:p>
      <w:pPr>
        <w:spacing w:after="0" w:line="143" w:lineRule="exact"/>
        <w:rPr>
          <w:sz w:val="20"/>
          <w:szCs w:val="20"/>
          <w:color w:val="auto"/>
        </w:rPr>
      </w:pPr>
    </w:p>
    <w:p>
      <w:pPr>
        <w:ind w:firstLine="577"/>
        <w:spacing w:after="0" w:line="283" w:lineRule="auto"/>
        <w:rPr>
          <w:sz w:val="20"/>
          <w:szCs w:val="20"/>
          <w:color w:val="auto"/>
        </w:rPr>
      </w:pPr>
      <w:r>
        <w:rPr>
          <w:rFonts w:ascii="Times New Roman" w:cs="Times New Roman" w:eastAsia="Times New Roman" w:hAnsi="Times New Roman"/>
          <w:sz w:val="16"/>
          <w:szCs w:val="16"/>
          <w:color w:val="auto"/>
        </w:rPr>
        <w:t>In September, 2022, the Company sold its 60% equity interest in Beijing Bozhuo to the noncontrolling interest shareholder for the sale price of $0.01 million (RMB 96,000). After the interest transfer, Beijing Bozhuo is no longer a subsidiary of the Company.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October 19, 2022, the Company incorporated CLPS Chengdu Co., Ltd. (CLPS Chengdu) in Chengdu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December 20, 2022, the Company incorporated CLPS Investment Management Ltd. (CLPS Investment) in British Virgin Islands to develop business in related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areas.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March 15, 2023, CLPS Ruicheng Co., Ltd. (CLPS RC) was liquidated.</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April 19, 2023, the Company incorporated JAJI Global Incorporation (JAJI Global) in Cayman Islands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June 27, 2023, the Company incorporated JAJI Singapore Pte. Ltd. in Singapore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July 24, 2023, the Company incorporated Ridik Technology Canada Limited to develop business in related areas.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ind w:left="580"/>
        <w:spacing w:after="0"/>
        <w:rPr>
          <w:sz w:val="20"/>
          <w:szCs w:val="20"/>
          <w:color w:val="auto"/>
        </w:rPr>
      </w:pPr>
      <w:r>
        <w:rPr>
          <w:rFonts w:ascii="Times New Roman" w:cs="Times New Roman" w:eastAsia="Times New Roman" w:hAnsi="Times New Roman"/>
          <w:sz w:val="16"/>
          <w:szCs w:val="16"/>
          <w:color w:val="auto"/>
        </w:rPr>
        <w:t>On August 25, 2023, the Company incorporated Shanghai Yingjia Technology Limited in Shanghai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August 28, 2023, the Company incorporated Qinson Singapore Pte. Ltd. in Singapore to develop business in related areas.</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January 3, 2024, the Company, through its subsidiary CLPS SG, acquired 100% equity interest of College of Allied Educators Pte. Ltd. (“CAE”) to expand into the academic education sector.</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June 7, 2024, the Company, through its subsidiary Ridik Pte., acquired 100% equity interest of Shell Infotech Pte. Ltd. and its wholly-owned subsidiary, Shell Infotech Consulting Sdn. Bhd. to further strengthen our position in the Southeast Asia region for IT services.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May 8, 2024, the Company incorporated Ridik Technology Services Pte. Ltd in Singapore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July 31, 2024, the Company incorporated Ridik Technology Ltd. (“Ridik Dubai”) in the United Arab Emirates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November 12, 2024, Ridik AU (“Ridik Technology (Australia) Pty. Ltd.”) was liquidated.</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February 7, 2025, LinkCrypto Finance Technology Limited (“Linkcrypto”) was liquidated.</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February 28, 2025, the Company incorporated PT Ridik Fintech Services (“Ridik Indonesia”) in Indonesia to develop business in related areas.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March 25, 2025, Haikou Huaqin (“Haikou Huaqin Minshang Software Development Co., Ltd.”) was liquidated.</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On September 9, 2025, the Company, through its subsidiary CLPS SG, and a noncontrolling interest shareholder incorporated Badou Tech Pte. Ltd. (“Badou Tech”) in Singapore to develop IT consulting business.</w:t>
      </w:r>
    </w:p>
    <w:p>
      <w:pPr>
        <w:spacing w:after="0" w:line="143"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 9001, ISO 14001, ISO 27001, CMMI 5, and TMMi 3 certified, and have been granted certificates of recognition by the Shanghai government, including </w:t>
      </w:r>
      <w:r>
        <w:rPr>
          <w:rFonts w:ascii="Times New Roman" w:cs="Times New Roman" w:eastAsia="Times New Roman" w:hAnsi="Times New Roman"/>
          <w:sz w:val="16"/>
          <w:szCs w:val="16"/>
          <w:i w:val="1"/>
          <w:iCs w:val="1"/>
          <w:color w:val="auto"/>
        </w:rPr>
        <w:t>Enterprise Software Certification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High-tech Enterprise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Little Giant Company for Science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Technology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Professional Talent Development Training Camp</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Our operations are primarily based in mainland China, where we derive a substantial portion of our revenues. For the years ended June 30, 2025, 2024, and 2023, our revenues were $164.5 million, $142.8 million, and $150.4 million, respectively. Revenues generated outside of mainland China were approximately $42.5 million, $22.3 million, and $16.2 million, for fiscal 2025, 2024, and 2023, respectively. We had a net loss of $6.4 million in fiscal 2025, a net loss of $1.8 million in fiscal 2024, and net income of $0.2 million in fiscal 2023. We had a non-GAAP net loss of $3.8 million in fiscal 2025. Our total assets as of June 30, 2025 were $118.1 million of which cash and cash equivalent amounted to $28.2 million. Our total liabilities as of June 30, 2025 were $60.5 million.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color w:val="auto"/>
        </w:rPr>
        <w:t>Factors Affecting Our Results of Operations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believe the most significant factors that affect our business and results of operations include the following:</w:t>
      </w:r>
    </w:p>
    <w:p>
      <w:pPr>
        <w:spacing w:after="0" w:line="201" w:lineRule="exact"/>
        <w:rPr>
          <w:sz w:val="20"/>
          <w:szCs w:val="20"/>
          <w:color w:val="auto"/>
        </w:rPr>
      </w:pPr>
    </w:p>
    <w:p>
      <w:pPr>
        <w:jc w:val="both"/>
        <w:ind w:left="860" w:right="20" w:hanging="287"/>
        <w:spacing w:after="0" w:line="257"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2025, our revenue derived from our IT consulting services increased by 16.0% or $22.0 million from fiscal 2024, mainly due to increased demand from our existing clients. IT consulting services revenue from new clients amounted to approximately $2.6 million in fiscal 2025. IT consulting services revenue from new clients amounted to approximately $3.3 million in fiscal 2024.</w:t>
      </w:r>
    </w:p>
    <w:p>
      <w:pPr>
        <w:spacing w:after="0" w:line="164" w:lineRule="exact"/>
        <w:rPr>
          <w:rFonts w:ascii="Times New Roman" w:cs="Times New Roman" w:eastAsia="Times New Roman" w:hAnsi="Times New Roman"/>
          <w:sz w:val="16"/>
          <w:szCs w:val="16"/>
          <w:color w:val="auto"/>
        </w:rPr>
      </w:pPr>
    </w:p>
    <w:p>
      <w:pPr>
        <w:jc w:val="both"/>
        <w:ind w:left="860" w:hanging="287"/>
        <w:spacing w:after="0" w:line="267"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p>
      <w:pPr>
        <w:spacing w:after="0" w:line="155" w:lineRule="exact"/>
        <w:rPr>
          <w:rFonts w:ascii="Times New Roman" w:cs="Times New Roman" w:eastAsia="Times New Roman" w:hAnsi="Times New Roman"/>
          <w:sz w:val="16"/>
          <w:szCs w:val="16"/>
          <w:color w:val="auto"/>
        </w:rPr>
      </w:pPr>
    </w:p>
    <w:p>
      <w:pPr>
        <w:jc w:val="both"/>
        <w:ind w:left="860" w:right="20" w:hanging="287"/>
        <w:spacing w:after="0" w:line="267"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Acquisitions and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and dissolution of Huanyu</w:t>
      </w:r>
    </w:p>
    <w:p>
      <w:pPr>
        <w:spacing w:after="0" w:line="20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spacing w:after="0" w:line="1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92" w:name="page93"/>
    <w:bookmarkEnd w:id="92"/>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2"/>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79,156</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87,674</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7,707</w:t>
            </w:r>
          </w:p>
        </w:tc>
        <w:tc>
          <w:tcPr>
            <w:tcW w:w="10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(5,310)</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50,045</w:t>
            </w:r>
          </w:p>
        </w:tc>
      </w:tr>
      <w:tr>
        <w:trPr>
          <w:trHeight w:val="177"/>
        </w:trPr>
        <w:tc>
          <w:tcPr>
            <w:tcW w:w="100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Previous held equity interests</w:t>
            </w: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152,312</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66,960</w:t>
            </w:r>
          </w:p>
        </w:tc>
      </w:tr>
      <w:tr>
        <w:trPr>
          <w:trHeight w:val="181"/>
        </w:trPr>
        <w:tc>
          <w:tcPr>
            <w:tcW w:w="100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 consideration</w:t>
            </w:r>
          </w:p>
        </w:tc>
        <w:tc>
          <w:tcPr>
            <w:tcW w:w="2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219,272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For the period from July 1, 2018 to the acquisition date of May 24, 2019 and for the year ended June 30, 2018, 30% of Huanyu’s results of operations was income of $35,049 (RMB 239,073) and loss of $8,684 (RMB56,461), respectively.</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On January 31, 2023, Huanyu was liquidated.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and disposal of CLPS Shenzhen Robotics</w:t>
      </w:r>
    </w:p>
    <w:p>
      <w:pPr>
        <w:spacing w:after="0" w:line="20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On August 28, 2020, the Company, the Chairman of the Company and a third-party company incorporated CLPS Shenzhen Robotics Co. Ltd. (“CLPS Shenzhen Robotics”) in Shenzhen. The Company holds 10% of equity interest in CLPS Shenzhen Robotics valued at $0.14 million (RMB 1,000,000). On September 15, 2020, the Company injected $147,451 (RMB1,000,000) to CLPS Shenzhen Robotics. The Company recognized the equity interest in CLPS Guangdong Zhichuang as equity investment without readily determined fair value.</w:t>
      </w:r>
    </w:p>
    <w:p>
      <w:pPr>
        <w:spacing w:after="0" w:line="162"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In May 2023, the Company divested its entire 10% equity interest in CLPS Shenzhen Robotics, receiving the investment for the consideration of $110,321 in the same month.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in and dissolution of CareerWin</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In January 2021, JAJI China entered into an agreement with CareerWin to purchase CareerWin’s 30% equity interest in JAJI HR. JAJI China previously owned 70% of JAJI HR. After the transaction, JAJI China owned 100% of JAJI HR. At the same time, JAJI HR entered into a share purchase agreement with shareholders of CareerWin to purchase 100% equity interests of CareerWin to expand headhunting business, with JAJI China completing the purchase of 30% equity interest of JAJI HR as one of the pre-closing conditions. The total cash consideration of both transactions was $308,975 (RMB2 million). The total consideration was allocated to the acquisition of 100% equity interests in CareerWin and the acquisition of 30% noncontrolling interest in JAJI HR at $289,980 (RMB1.88 million) and $18,995 (RMB0.12 million), respectively.</w:t>
      </w:r>
    </w:p>
    <w:p>
      <w:pPr>
        <w:spacing w:after="0" w:line="162"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The acquisition of the 100% equity interest in CareerWin was completed on March 3, 2021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0" w:type="dxa"/>
            <w:vAlign w:val="bottom"/>
          </w:tcPr>
          <w:p>
            <w:pPr>
              <w:spacing w:after="0"/>
              <w:rPr>
                <w:sz w:val="1"/>
                <w:szCs w:val="1"/>
                <w:color w:val="auto"/>
              </w:rPr>
            </w:pPr>
          </w:p>
        </w:tc>
      </w:tr>
      <w:tr>
        <w:trPr>
          <w:trHeight w:val="192"/>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w:t>
            </w:r>
          </w:p>
        </w:tc>
        <w:tc>
          <w:tcPr>
            <w:tcW w:w="59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24,811</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2,117</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Customer contracts</w:t>
            </w: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126,680</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 and other current liabilities</w:t>
            </w:r>
          </w:p>
        </w:tc>
        <w:tc>
          <w:tcPr>
            <w:tcW w:w="5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(71,488)</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Wages payable</w:t>
            </w: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(5,099)</w:t>
            </w:r>
          </w:p>
        </w:tc>
        <w:tc>
          <w:tcPr>
            <w:tcW w:w="0" w:type="dxa"/>
            <w:vAlign w:val="bottom"/>
          </w:tcPr>
          <w:p>
            <w:pPr>
              <w:spacing w:after="0"/>
              <w:rPr>
                <w:sz w:val="1"/>
                <w:szCs w:val="1"/>
                <w:color w:val="auto"/>
              </w:rPr>
            </w:pPr>
          </w:p>
        </w:tc>
      </w:tr>
      <w:tr>
        <w:trPr>
          <w:trHeight w:val="19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payables</w:t>
            </w:r>
          </w:p>
        </w:tc>
        <w:tc>
          <w:tcPr>
            <w:tcW w:w="5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(25,336)</w:t>
            </w:r>
          </w:p>
        </w:tc>
        <w:tc>
          <w:tcPr>
            <w:tcW w:w="0" w:type="dxa"/>
            <w:vAlign w:val="bottom"/>
          </w:tcPr>
          <w:p>
            <w:pPr>
              <w:spacing w:after="0"/>
              <w:rPr>
                <w:sz w:val="1"/>
                <w:szCs w:val="1"/>
                <w:color w:val="auto"/>
              </w:rPr>
            </w:pPr>
          </w:p>
        </w:tc>
      </w:tr>
      <w:tr>
        <w:trPr>
          <w:trHeight w:val="23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5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236,834</w:t>
            </w:r>
          </w:p>
        </w:tc>
        <w:tc>
          <w:tcPr>
            <w:tcW w:w="0" w:type="dxa"/>
            <w:vAlign w:val="bottom"/>
          </w:tcPr>
          <w:p>
            <w:pPr>
              <w:spacing w:after="0"/>
              <w:rPr>
                <w:sz w:val="1"/>
                <w:szCs w:val="1"/>
                <w:color w:val="auto"/>
              </w:rPr>
            </w:pPr>
          </w:p>
        </w:tc>
      </w:tr>
      <w:tr>
        <w:trPr>
          <w:trHeight w:val="181"/>
        </w:trPr>
        <w:tc>
          <w:tcPr>
            <w:tcW w:w="410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 consideration</w:t>
            </w:r>
          </w:p>
        </w:tc>
        <w:tc>
          <w:tcPr>
            <w:tcW w:w="59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289,980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920" w:type="dxa"/>
            <w:vAlign w:val="bottom"/>
            <w:vMerge w:val="restart"/>
          </w:tcPr>
          <w:p>
            <w:pPr>
              <w:jc w:val="right"/>
              <w:ind w:right="4240"/>
              <w:spacing w:after="0"/>
              <w:rPr>
                <w:sz w:val="20"/>
                <w:szCs w:val="20"/>
                <w:color w:val="auto"/>
              </w:rPr>
            </w:pPr>
            <w:r>
              <w:rPr>
                <w:rFonts w:ascii="Times New Roman" w:cs="Times New Roman" w:eastAsia="Times New Roman" w:hAnsi="Times New Roman"/>
                <w:sz w:val="16"/>
                <w:szCs w:val="16"/>
                <w:color w:val="auto"/>
              </w:rPr>
              <w:t>87</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41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2" w:right="319" w:bottom="1440" w:gutter="0" w:footer="0" w:header="0"/>
        </w:sectPr>
      </w:pPr>
    </w:p>
    <w:bookmarkStart w:id="94" w:name="page95"/>
    <w:bookmarkEnd w:id="94"/>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Identifiable intangible assets acquired include customer relationship, which were valued using an income approach and determined to carry estimated remaining useful lives of approximately five years. The goodwill recognized represents the expected synergies and is not tax deductible.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Pro forma financial information of CareerWin is not presented as the effects of the acquisition on the Company’s consolidated financial statements were not material.</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January 2023, CareerWin was liquidated.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 Fuson</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On August 1, 2021, the Company reached an equity transfer and capital increase agreement with a third party of the target company Fuson Group Limited (“Fuson”). After the equity transfer and capital increase, the Company holds 35.02% of equity interest in Fuson for $0.16 million (HKD 1,225,000). The Company made the first payment of $0.08 million (HKD 612,500) on August 16, 2021, and the final payment of $0.08 million (HKD 612,500) was completed on October 21, 2021.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MSCT</w:t>
      </w:r>
    </w:p>
    <w:p>
      <w:pPr>
        <w:spacing w:after="0" w:line="205"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On August 16, 2021, Growth Ring reached a capital increase agreement with the prior shareholder of MSCT. After the capital increase, the Company holds 53.33% equity interest in MSCT and its wholly owned subsidiaries. The Company injected the capital of $0.2 million (HKD 1,600,000) on August 16, 2021.</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As MSCT does not possess all the elements that are necessary to conduct normal operations as a business and had not yet commenced operations, the transactions were accounted for asset combinations using a cost accumulation and allocation model under which the cost of the acquisition is allocated to the assets acquired and liabilities assumed. The carrying amounts of the net identifiable assets of MSCT as of the date of acquisition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2"/>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acquired</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205,711</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Technology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151,168</w:t>
            </w:r>
          </w:p>
        </w:tc>
        <w:tc>
          <w:tcPr>
            <w:tcW w:w="100" w:type="dxa"/>
            <w:vAlign w:val="bottom"/>
          </w:tcPr>
          <w:p>
            <w:pPr>
              <w:spacing w:after="0"/>
              <w:rPr>
                <w:sz w:val="16"/>
                <w:szCs w:val="16"/>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 and other current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(5,390)</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(23,971)</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(121,807)</w:t>
            </w:r>
          </w:p>
        </w:tc>
      </w:tr>
      <w:tr>
        <w:trPr>
          <w:trHeight w:val="181"/>
        </w:trPr>
        <w:tc>
          <w:tcPr>
            <w:tcW w:w="100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 consideration</w:t>
            </w:r>
          </w:p>
        </w:tc>
        <w:tc>
          <w:tcPr>
            <w:tcW w:w="2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205,711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Identifiable intangible assets acquired include technology, which were valued using an income approach and determined to carry estimated remaining useful lives of approximately ten years.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CAE</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On December 20, 2023, CLPS SG entered into an agreement with College of Allied Educators Pte. Ltd. (“CAE”) to purchase 100% of its equity interest, at a total cash consideration of $3,244,145 (SGD$4,280,000). CAE is a company incorporated in Singapore, mainly engaged in providing programs, short courses, and workshops to train and help individuals and professionals in counselling, psychology, and allied health and science. This acquisition created resources and business synergies by connecting highly skilled IT professionals with education platforms to collaborate, advance, and promote IT talent creation and development to support the Company’s long-term business expansion.</w:t>
      </w:r>
    </w:p>
    <w:p>
      <w:pPr>
        <w:spacing w:after="0" w:line="162"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acquisition was completed on January 3, 2024 and was accounted for as a business combination using the purchase method of accounting. The purchase price allocation to assets acquired and liabilities assumed as of the date of acquisition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1,469,832</w:t>
            </w:r>
          </w:p>
        </w:tc>
        <w:tc>
          <w:tcPr>
            <w:tcW w:w="10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15,094</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 current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146,410</w:t>
            </w:r>
          </w:p>
        </w:tc>
        <w:tc>
          <w:tcPr>
            <w:tcW w:w="10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909,573</w:t>
            </w:r>
          </w:p>
        </w:tc>
        <w:tc>
          <w:tcPr>
            <w:tcW w:w="100" w:type="dxa"/>
            <w:vAlign w:val="bottom"/>
            <w:shd w:val="clear" w:color="auto" w:fill="CCEEFF"/>
          </w:tcPr>
          <w:p>
            <w:pPr>
              <w:spacing w:after="0"/>
              <w:rPr>
                <w:sz w:val="16"/>
                <w:szCs w:val="16"/>
                <w:color w:val="auto"/>
              </w:rPr>
            </w:pPr>
          </w:p>
        </w:tc>
      </w:tr>
      <w:tr>
        <w:trPr>
          <w:trHeight w:val="192"/>
        </w:trPr>
        <w:tc>
          <w:tcPr>
            <w:tcW w:w="10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Client lists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166,755</w:t>
            </w:r>
          </w:p>
        </w:tc>
        <w:tc>
          <w:tcPr>
            <w:tcW w:w="100" w:type="dxa"/>
            <w:vAlign w:val="bottom"/>
          </w:tcPr>
          <w:p>
            <w:pPr>
              <w:spacing w:after="0"/>
              <w:rPr>
                <w:sz w:val="16"/>
                <w:szCs w:val="16"/>
                <w:color w:val="auto"/>
              </w:rPr>
            </w:pPr>
          </w:p>
        </w:tc>
      </w:tr>
      <w:tr>
        <w:trPr>
          <w:trHeight w:val="192"/>
        </w:trPr>
        <w:tc>
          <w:tcPr>
            <w:tcW w:w="10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Collaboration agreement</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98,537</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(745,579)</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(947)</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(199,727)</w:t>
            </w:r>
          </w:p>
        </w:tc>
      </w:tr>
      <w:tr>
        <w:trPr>
          <w:trHeight w:val="23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1,384,197</w:t>
            </w:r>
          </w:p>
        </w:tc>
        <w:tc>
          <w:tcPr>
            <w:tcW w:w="100" w:type="dxa"/>
            <w:vAlign w:val="bottom"/>
            <w:shd w:val="clear" w:color="auto" w:fill="CCEEFF"/>
          </w:tcPr>
          <w:p>
            <w:pPr>
              <w:spacing w:after="0"/>
              <w:rPr>
                <w:sz w:val="20"/>
                <w:szCs w:val="20"/>
                <w:color w:val="auto"/>
              </w:rPr>
            </w:pPr>
          </w:p>
        </w:tc>
      </w:tr>
      <w:tr>
        <w:trPr>
          <w:trHeight w:val="181"/>
        </w:trPr>
        <w:tc>
          <w:tcPr>
            <w:tcW w:w="100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 consideration</w:t>
            </w: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3,244,145</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Shell Infotech Singapore and Shell Infotech Malaysia</w:t>
      </w:r>
    </w:p>
    <w:p>
      <w:pPr>
        <w:spacing w:after="0" w:line="205"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On June 7, 2024, Ridik Pte. Ltd. entered into an agreement with Shell Infotech Pte. Ltd. and Shell Infotech Consulting Sdn. Bhd. (collectively, “Shell Infotech”) to purchase 100% of its equity interest, at a total cash consideration of $887,836 (SGD$1,200,000) and $29,595 (SGD$40,000), respectively. Shell Infotech is a leading IT consulting and managed services provider headquartered in Singapore and was established in 2003. It offers a wide range of IT services, including software development, SAP solutions, enterprise applications, and managed services, with a focus on the banking and insurance sectors in Singapore and Malaysia. This acquisition expanded the Company’s client base and market share in Southeast Asia, while strengthened its core IT competencies and service offerings and solidified its commitment to global expansion.</w:t>
      </w:r>
    </w:p>
    <w:p>
      <w:pPr>
        <w:spacing w:after="0" w:line="16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The acquisition of the 100% equity interest in Shell Infotech Singapore and Shell Infotech Malaysia was completed on June 7, 2024 and was accounted for as a business combination using the purchase method of accounting. The purchase price allocation to assets acquired and liabilities assumed as of the date of acquisition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57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126,410</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6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574,287</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 current</w:t>
            </w:r>
          </w:p>
        </w:tc>
        <w:tc>
          <w:tcPr>
            <w:tcW w:w="6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32,432</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9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39,964</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Customer relationships</w:t>
            </w:r>
          </w:p>
        </w:tc>
        <w:tc>
          <w:tcPr>
            <w:tcW w:w="6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569,695</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(453,961)</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(1,255)</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6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(96,848)</w:t>
            </w: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6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126,707</w:t>
            </w:r>
          </w:p>
        </w:tc>
        <w:tc>
          <w:tcPr>
            <w:tcW w:w="0" w:type="dxa"/>
            <w:vAlign w:val="bottom"/>
          </w:tcPr>
          <w:p>
            <w:pPr>
              <w:spacing w:after="0"/>
              <w:rPr>
                <w:sz w:val="1"/>
                <w:szCs w:val="1"/>
                <w:color w:val="auto"/>
              </w:rPr>
            </w:pPr>
          </w:p>
        </w:tc>
      </w:tr>
      <w:tr>
        <w:trPr>
          <w:trHeight w:val="181"/>
        </w:trPr>
        <w:tc>
          <w:tcPr>
            <w:tcW w:w="43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 consideration</w:t>
            </w:r>
          </w:p>
        </w:tc>
        <w:tc>
          <w:tcPr>
            <w:tcW w:w="570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917,431</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700" w:type="dxa"/>
            <w:vAlign w:val="bottom"/>
            <w:vMerge w:val="restart"/>
          </w:tcPr>
          <w:p>
            <w:pPr>
              <w:jc w:val="right"/>
              <w:ind w:right="4240"/>
              <w:spacing w:after="0"/>
              <w:rPr>
                <w:sz w:val="20"/>
                <w:szCs w:val="20"/>
                <w:color w:val="auto"/>
              </w:rPr>
            </w:pPr>
            <w:r>
              <w:rPr>
                <w:rFonts w:ascii="Times New Roman" w:cs="Times New Roman" w:eastAsia="Times New Roman" w:hAnsi="Times New Roman"/>
                <w:sz w:val="16"/>
                <w:szCs w:val="16"/>
                <w:color w:val="auto"/>
              </w:rPr>
              <w:t>89</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43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2"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i w:val="1"/>
          <w:iCs w:val="1"/>
          <w:color w:val="auto"/>
        </w:rPr>
        <w:t>Investment in Shanghai Qinhui</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On December 27, 2024, CLPS Shenzhen and two third parties incorporated Shanghai Qinhui in Shanghai. CLPS Shenzhen holds 46% of equity interest in Shanghai Qinhui valued at $0.13 million (RMB 920,000). On April 15, 2025, CLPS Shenzhen injected capital of $0.06 million(RMB 460,000) to Shanghai Qinhui.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for Continuing Operations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a summary of our consolidated statements of operations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from third parties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164,229,721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142,725,554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150,298,963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related parties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251,693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87,172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57,576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Cost of revenues from third parties</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(127,987,226)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(109,795,857)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(115,827,597)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Less: Cost of revenue from related parties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(188,770)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(69,738)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36,305,418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32,947,131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34,481,730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incomes (expenses):</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(5,180,682)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(4,573,344)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(3,300,555)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(5,815,555)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(7,155,949)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(8,336,999)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(31,852,179)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(25,120,010)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(21,641,317)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goodwill</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(129,270)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(2,382,538)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Subsidies and other operating income</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1,294,964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1,363,757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1,256,070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(41,682,722</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(35,485,546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(34,405,339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(Loss) income from operations</w:t>
            </w: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(5,377,304)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(2,538,415)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76,391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1,237,678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1,251,465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1,123,612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(935,988)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(556,415)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(430,357)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 and share of income in equity investees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(5,075,614)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(1,843,365)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769,646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947,529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160,725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674,344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(Loss) income before share of (loss) income in equity investees</w:t>
            </w:r>
          </w:p>
        </w:tc>
        <w:tc>
          <w:tcPr>
            <w:tcW w:w="184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(6,023,143</w:t>
            </w:r>
          </w:p>
        </w:tc>
        <w:tc>
          <w:tcPr>
            <w:tcW w:w="120" w:type="dxa"/>
            <w:vAlign w:val="bottom"/>
            <w:tcBorders>
              <w:top w:val="single" w:sz="8" w:color="CCEEFF"/>
              <w:bottom w:val="single" w:sz="8" w:color="CCEEFF"/>
            </w:tcBorders>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(2,004,090</w:t>
            </w:r>
          </w:p>
        </w:tc>
        <w:tc>
          <w:tcPr>
            <w:tcW w:w="140" w:type="dxa"/>
            <w:vAlign w:val="bottom"/>
            <w:tcBorders>
              <w:top w:val="single" w:sz="8" w:color="CCEEFF"/>
              <w:bottom w:val="single" w:sz="8" w:color="CCEEFF"/>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95,302</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(loss) income in equity investees, net of tax</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(403,421</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Net (loss) income</w:t>
            </w: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(6,426,564)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(1,847,310)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165,565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482,655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CLPS Incorporation’s shareholders</w:t>
            </w:r>
          </w:p>
        </w:tc>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480" w:type="dxa"/>
            <w:vAlign w:val="bottom"/>
            <w:vMerge w:val="continue"/>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(7,049,734</w:t>
            </w:r>
          </w:p>
        </w:tc>
        <w:tc>
          <w:tcPr>
            <w:tcW w:w="120" w:type="dxa"/>
            <w:vAlign w:val="bottom"/>
            <w:vMerge w:val="continue"/>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(2,329,965</w:t>
            </w:r>
          </w:p>
        </w:tc>
        <w:tc>
          <w:tcPr>
            <w:tcW w:w="140" w:type="dxa"/>
            <w:vAlign w:val="bottom"/>
            <w:vMerge w:val="continue"/>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192,529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Basic (losses) earnings per common share</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 basic</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27,533,182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25,213,012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23,153,976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Diluted (losses) earnings per common share</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 diluted</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27,533,182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25,213,012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23,153,976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4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Non-GAAP (loss) income before income tax and share of income of equity investees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(2,478,434)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1,324,651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5,630,480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(loss) income</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(3,829,384)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1,320,706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5,026,399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Non-GAAP net (loss) income attributable to CLPS Incorporation’s shareholders</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(4,452,554)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838,051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5,053,363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basic (losses) earnings per common share</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 basic</w:t>
            </w: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27,533,182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25,213,012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23,153,976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(losses) earnings per common share</w:t>
            </w:r>
          </w:p>
        </w:tc>
        <w:tc>
          <w:tcPr>
            <w:tcW w:w="1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 diluted</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27,533,182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25,213,012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23,153,976</w:t>
            </w: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560"/>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color w:val="auto"/>
        </w:rPr>
        <w:t>Use of Non-GAAP Financial Measures</w:t>
      </w:r>
    </w:p>
    <w:p>
      <w:pPr>
        <w:spacing w:after="0" w:line="121"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income of equity investees, non-GAAP net income, non-GAAP net income attributable to CLPS Incorporation’s shareholders, and basic and diluted non-GAAP net income per share, which are non-GAAP financial measures. Non-GAAP income before income tax and share of income (loss) of equity investees is income before income tax and share of income (loss) of equity investees excluding share-based compensation expenses and impairment of goodwill. Non-GAAP net income is net income excluding share-based compensation expenses and impairment of goodwill. Non-GAAP net income attributable to CLPS Incorporation’s shareholders is net income attributable to CLPS Incorporation’s shareholders excluding share-based compensation expenses and impairment of goodwill. Basic and diluted non-GAAP net income per share is non-GAAP net income attributable to CLPS Incorporation’s shareholders divided by weighted average number of shares used in the calculation of basic and diluted net income per share. The Company believes that separate analysis and exclusion of the non-cash impact of share-based compensation expenses and impairment of goodwill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and impairment of goodwill,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82"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16"/>
                <w:szCs w:val="16"/>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(128,175,996)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Less: share-based compensation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cost of revenues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(128,168,493)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(5,180,682)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share-based compensation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(179,938)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selling and marketing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(5,000,744)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(31,852,179)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Less: share-based compensation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(2,280,469)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general and administrative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(29,571,710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 and share of loss in equity investees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(5,075,614)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Add: share-based compensation expenses and impairment of goodwill</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2,597,180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loss before income tax and share of loss of equity investees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(2,478,434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(6,426,564)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Add: share-based compensation expenses and impairment of goodwill</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2,597,180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net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(3,829,384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CLPS Incorporation’s shareholders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(7,049,734)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Add: share-based compensation expenses and impairment of goodwill</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2,597,180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net loss attributable to CLPS Incorporation’s shareholders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(4,452,554</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used in computing GAAP and non-GAAP basic losses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27,533,182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GAAP basic losses per common share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share-based compensation expenses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Non-GAAP basic losses per common share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used in computing GAAP diluted losses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27,533,182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used in computing non-GAAP diluted earnings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27,533,182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losses per common share</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vMerge w:val="continue"/>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Add: share-based compensation expenses</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Non-GAAP diluted losses per common share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(0.16)</w:t>
            </w:r>
          </w:p>
        </w:tc>
        <w:tc>
          <w:tcPr>
            <w:tcW w:w="0" w:type="dxa"/>
            <w:vAlign w:val="bottom"/>
          </w:tcPr>
          <w:p>
            <w:pPr>
              <w:spacing w:after="0"/>
              <w:rPr>
                <w:sz w:val="1"/>
                <w:szCs w:val="1"/>
                <w:color w:val="auto"/>
              </w:rPr>
            </w:pPr>
          </w:p>
        </w:tc>
      </w:tr>
      <w:tr>
        <w:trPr>
          <w:trHeight w:val="481"/>
        </w:trPr>
        <w:tc>
          <w:tcPr>
            <w:tcW w:w="20" w:type="dxa"/>
            <w:vAlign w:val="bottom"/>
          </w:tcPr>
          <w:p>
            <w:pPr>
              <w:spacing w:after="0"/>
              <w:rPr>
                <w:sz w:val="24"/>
                <w:szCs w:val="24"/>
                <w:color w:val="auto"/>
              </w:rPr>
            </w:pPr>
          </w:p>
        </w:tc>
        <w:tc>
          <w:tcPr>
            <w:tcW w:w="10000" w:type="dxa"/>
            <w:vAlign w:val="bottom"/>
            <w:tcBorders>
              <w:top w:val="single" w:sz="8" w:color="CCEEFF"/>
              <w:bottom w:val="single" w:sz="8" w:color="auto"/>
            </w:tcBorders>
          </w:tcPr>
          <w:p>
            <w:pPr>
              <w:jc w:val="right"/>
              <w:ind w:right="4240"/>
              <w:spacing w:after="0"/>
              <w:rPr>
                <w:sz w:val="20"/>
                <w:szCs w:val="20"/>
                <w:color w:val="auto"/>
              </w:rPr>
            </w:pPr>
            <w:r>
              <w:rPr>
                <w:rFonts w:ascii="Times New Roman" w:cs="Times New Roman" w:eastAsia="Times New Roman" w:hAnsi="Times New Roman"/>
                <w:sz w:val="16"/>
                <w:szCs w:val="16"/>
                <w:color w:val="auto"/>
              </w:rPr>
              <w:t>91</w:t>
            </w: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08"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Years Ended June 30, 2025 and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(iii) other revenue from product and third-party software sales, training and headhunting, and (iv) academic education services, which are billed through fixed tuition fees for formal educational services.</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Academic education services generate revenue through fixed tuition fees for formal educational services. Tuition fees received from students are generally paid in advance prior to the beginning of each course.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our revenues by our service lines.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 consulting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158,758,229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96.5%</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136,844,784</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21,913,445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Customized IT solution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2,781,538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3,147,593</w:t>
            </w:r>
          </w:p>
        </w:tc>
        <w:tc>
          <w:tcPr>
            <w:tcW w:w="12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(366,055)</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IT services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894,598</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1,777,517</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(882,919)</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Academic education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2,047,049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1,042,832</w:t>
            </w:r>
          </w:p>
        </w:tc>
        <w:tc>
          <w:tcPr>
            <w:tcW w:w="1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1,004,217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180" w:type="dxa"/>
            <w:vAlign w:val="bottom"/>
            <w:vMerge w:val="continue"/>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164,481,414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142,812,726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21,668,688</w:t>
            </w:r>
          </w:p>
        </w:tc>
        <w:tc>
          <w:tcPr>
            <w:tcW w:w="1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total revenues increased by approximately $21.7 million, or 15.2%, to approximately $164.5 million for the fiscal year ended June 30, 2025, from approximately $142.8 million for the fiscal year ended June 30, 2024.</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99" w:name="page100"/>
    <w:bookmarkEnd w:id="99"/>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For the year ended June 30, 2025, revenue derived from our IT consulting services increased by 16.0% to $158.8 million from $136.8 million in fiscal 2024, primarily due to the increased demands for our IT consulting services from banks and other financial institutions. For fiscal 2025 and 2024, 36.8% and 33.6% of our IT consulting services revenue were from international banks, respectively.</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 from customized IT solution services decreased by $0.3 million, or 11.6%, to $2.8 million for the year ended June 30, 2025, from $3.1 million in the same period of the previous year. The decrease was primarily due to decreased demand from existing clients.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from other services decreased by $0.9 million, or 49.7%, to $0.9 million for the year ended June 30, 2025, from $1.8 million in the prior year period.</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from academic education services increased by $1.0 million, or 96.3%, to $2.0 million for the year ended June 30, 2025, from $1.0 million in the prior year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period.</w:t>
      </w:r>
    </w:p>
    <w:p>
      <w:pPr>
        <w:spacing w:after="0" w:line="184"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number of clients increased to 319 for the year ended June 30, 2025 compared to 300 in the prior year period for IT service segment. Revenues from top five clients accounted for 41.2% and 44.9% of the Company’s total revenues for fiscal 2025 and 2024, respectively.</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Revenue generated outside of mainland China for the year ended June 30, 2025 accounted for 25.9% of total revenue compared to 15.6% in the prior year period. The increase was primarily due to strong performance of our operations in Singapore, Hong Kong SAR, and the U.S., reflecting the Company’s successful and continuous implementation of its global expansion strategy.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Our cost of revenues mainly consisted of compensation benefit expenses for our IT professionals, travel expenses and material costs. Our cost of revenues increased by $18.3 million or 16.7% to approximately $128.2 million in fiscal 2025 from approximately $109.9 million in fiscal 2024 primarily due to the decrease in IT professional compensation costs. As a percentage of revenues, our cost of revenues was 77.9% and 76.9% for fiscal 2025 and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 and gross margin</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gross profit increased by $3.4 million, or 10.2%, to approximately $36.3 million in fiscal 2025 from approximately $32.9 million in fiscal 2024. Gross margin decreased to 22.1% in fiscal 2025 from 23.1% for the same period of last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 expenses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Selling and marketing expenses increased by $0.6 million, or 13.3%, to $5.2 million in fiscal 2025 from $4.6 million in fiscal 2024. The increase was primarily due to an increase in sales staff to capture business growth opportunities. Accordingly, as a percentage of sales, our selling expenses were 3.1% of revenues in fiscal 2025 compared to 3.2% in fiscal 2024.</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(“R&amp;D”) expenses</w:t>
      </w:r>
    </w:p>
    <w:p>
      <w:pPr>
        <w:spacing w:after="0" w:line="20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R&amp;D expenses primarily consisted of compensation and benefit expenses relating to our research and development personnel as well as office overhead and other expenses relating to our R&amp;D activities. Our R&amp;D expenses were $5.8 million in fiscal 2025, which decreased by $1.4 million or 18.7% compared to $7.2 million in fiscal 2024, representing 3.5% and 5.0% of our total revenues for fiscal 2025 and 2024, respectively. The decrease was primarily due to the redeployment of R&amp;D staff to deliver customized IT solutions, resulting in a reclassification of these expenses as cost of revenues.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General and administrative expenses increased by $6.8 million, or 26.8%, to $31.9 million in fiscal 2025 from $25.1 million in the prior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Subsidies and other operating income</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$1.3 million and $1.4 million for the fiscal years 2025 and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income before income taxes and share of loss in equity investees</w:t>
      </w:r>
    </w:p>
    <w:p>
      <w:pPr>
        <w:spacing w:after="0" w:line="20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(Loss) income before income taxes and share of loss in equity investees decreased by $3.3 million to a $5.1 million loss in fiscal 2025 from a loss of $1.8 million in fiscal 2024. After the deduction of non-cash share-based compensation expenses and impairment of goodwill, non-GAAP (loss) income before income taxes and share of loss in equity investees decreased by $3.8 million, or 287.1%, to $2.5 million loss in fiscal 2025 from $1.3 million income in the same period of the previous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provision for income taxes in fiscal 2025 increased by $0.7 million to $0.9 million from $0.2 million provision for income taxes in fiscal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(loss) income in equity investees, net of tax</w:t>
      </w:r>
    </w:p>
    <w:p>
      <w:pPr>
        <w:spacing w:after="0" w:line="205"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The share of loss in equity investees, net of tax in fiscal 2025 was net equity investment loss of Fuson, Lion X Investment VCC and Shanghai Qinhui. The share of income in equity investees, net of tax in fiscal 2024 was net equity investment income of Fuson.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income</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Net loss increased by $4.6 million, or 247.9%, to $6.4 million in fiscal 2025 from a net loss of $1.8 million in fiscal 2024. After the deduction of $2.6 million non-cash share-based compensation expenses and impairment of goodwill, the non-GAAP result was a net loss of $3.8 million in fiscal 2025, a decrease of $5.1 million compared to the non-GAAP net income of $1.3 million in the previous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income (loss)</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Foreign currency translation adjustments amounted to an income of $1.3 million and a loss of $0.4 million for the years ended June 30, 2025 and 2024, respectively. The balance sheet amounts with the exception of equity as of June 30, 2025 were translated at 7.1636 RMB to 1.00 USD as compared to 7.2672 RMB to 1.00 USD as of June 30, 2024. The equity accounts were stated at their historical rate. The average translation rates applied to the income statements accounts for the years ended June 30, 2025 and 2024 were 7.2143 RMB to 1.00 USD and 7.2248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Years Ended June 30, 2024 and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with acceptance requirement, which are billed either on a time-and-expense basis with enforceable right to payment or on a fixed-price basis, and (iii) other revenue from product and third-party software sales, training and headhunting, and (iv) academic education services, which are billed through fixed tuition fees for formal educational services.</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Academic education services generate revenue through fixed tuition fees for formal educational services. Tuition fees received from students are generally paid in advance prior to the beginning of each course.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presents our revenues by our service lines.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40"/>
              <w:spacing w:after="0" w:line="174"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6"/>
                <w:szCs w:val="16"/>
                <w:b w:val="1"/>
                <w:bCs w:val="1"/>
                <w:color w:val="auto"/>
                <w:w w:val="96"/>
              </w:rPr>
              <w:t>Variance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8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2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1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 consulting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136,844,784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95.8%</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144,286,502</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96.0%</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(7,441,718)</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Customized IT solution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3,147,593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4,554,200</w:t>
            </w:r>
          </w:p>
        </w:tc>
        <w:tc>
          <w:tcPr>
            <w:tcW w:w="120" w:type="dxa"/>
            <w:vAlign w:val="bottom"/>
          </w:tcPr>
          <w:p>
            <w:pPr>
              <w:spacing w:after="0"/>
              <w:rPr>
                <w:sz w:val="16"/>
                <w:szCs w:val="16"/>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(1,406,607)</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IT services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1,777,517</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1,515,837</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261,680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Academic education services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1,042,832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1,042,832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142,812,726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9"/>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150,356,539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(7,543,813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total revenues decreased by approximately $7.6 million, or 5.0%, to approximately $142.8 million for the fiscal year ended June 30, 2024, from approximately $150.4 million for the fiscal year ended June 30, 2023.</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2" w:name="page103"/>
    <w:bookmarkEnd w:id="102"/>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For the year ended June 30, 2024, revenue derived from our IT consulting services decreased by 5.2% to $136.8 million from $144.3 million in fiscal 2023, primarily due to the decreased demands for our IT consulting services from banks and other financial institutions. For fiscal 2024 and 2023, 33.6% and 38.2% of our IT consulting services revenue were from international banks, respectively.</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Revenue from customized IT solution services decreased by $1.5 million, or 30.9%, to $3.1 million for the year ended June 30, 2024, from $4.6 million in the same period of the previous year. The decrease was primarily due to decreased demand from existing clients.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from other services increased by $0.3 million, or 17.3%, to $1.8 million for the year ended June 30, 2024, from $1.5 million in the prior year period.</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Revenue from academic education services was $1.0 million, primarily due to the acquisition of College of Allied Educators Pte. Ltd.</w:t>
      </w:r>
    </w:p>
    <w:p>
      <w:pPr>
        <w:spacing w:after="0" w:line="20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number of clients increased to 300 for the year ended June 30, 2024 compared to the prior year period. Revenues from top five clients accounted for 44.9% and 49.1% of the Company’s total revenues for fiscal 2024 and 2023, respectively.</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Revenue generated outside of mainland China for the year ended June 30, 2024 accounted for 15.6% of total revenue compared to 10.8% in the prior year period. The increase was primarily due to strong performance of our operations in Singapore, Hong Kong SAR, and the U.S., reflecting the Company’s successful and continuous implementation of its global expansion strategy.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0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cost of revenues mainly consisted of compensation benefit expenses for our IT professionals, travel expenses and material costs. Our cost of revenues decreased by $6.0 million or 5.2% to approximately $109.9 million in fiscal 2024 from approximately $115.9 million in fiscal 2023 primarily due to the decrease in IT professional compensation costs. As a percentage of revenues, our cost of revenues was 76.9% and 77.1% for fiscal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 and gross margin</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gross profit decreased by $1.6 million, or 4.5%, to approximately $32.9 million in fiscal 2024 from approximately $34.5 million in fiscal 2023. Gross margin increased to 23.1% in fiscal 2024 from 22.9% for the same period of last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 expenses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4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Selling and marketing expenses increased by $1.3 million, or 38.6%, to $4.6 million in fiscal 2024 from $3.3 million in fiscal 2023. The increase was primarily due to an increase in sales staff to capture business growth opportunities. Accordingly, as a percentage of sales, our selling expenses were 3.2% of revenues in fiscal 2024 compared to 2.2% in fiscal 2023.</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 (“R&amp;D”) expenses</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R&amp;D expenses primarily consisted of compensation and benefit expenses relating to our research and development personnel as well as office overhead and other expenses relating to our R&amp;D activities. Our R&amp;D expenses were $7.2 million in fiscal 2024, which decreased by $1.1 million or 14.2% compared to $8.3 million in fiscal 2023, representing 5.0% and 5.5% of our total revenues for fiscal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56"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General and administrative expenses increased by $3.5 million, or 16.1%, to $25.1 million in fiscal 2024 from $21.6 million in the prior year. The increase was primarily due to the establishment of our CDC and GTC, which supported our efforts to capture the anticipated growth in demand for customized IT solution services. After the deduction of $3.2 million non-cash share-based compensation expenses related to the grants under the Incentive Compensation Plans, non-GAAP general and administrative expenses increased by $2.9 million, or 15.2%, to $22.2 million in fiscal 2024 from $19.3 million in the same period of the previous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Subsidies and other operating income</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Subsidies and other operating income primarily included government subsidies which represented amounts granted by local government authorities as a general incentive for us to promote development of the local technology industry. The Company records government subsidies in subsidies and other operating income upon received and when there is no further performance obligation. Total government subsidies amounted to $1.4 million and $1.3 million for the fiscal years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income before income taxes and share of loss in equity investees</w:t>
      </w:r>
    </w:p>
    <w:p>
      <w:pPr>
        <w:spacing w:after="0" w:line="20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Loss before income taxes and share of loss in equity investees decreased by $2.6 million to a $1.8 million loss in fiscal 2024 from an income of $0.8 million in fiscal 2023. After the deduction of non-cash share-based compensation expenses, non-GAAP loss before income taxes and share of loss in equity investees decreased by $4.3 million, or 76.5%, to $1.3 million in fiscal 2024 from $5.6 million in the same period of the previous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provision for income taxes in fiscal 2024 decreased by $0.5 million to $0.2 million from $0.7 million provision for income taxes in fiscal 2023, mainly due to the decrease of income before income taxes and share of loss in equity investees.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income(loss) in equity investees, net of tax</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share of income in equity investees, net of tax in fiscal 2024 was net equity investment income of Fuson. The share of loss in equity investees, net of tax in fiscal 2023 was net equity investment income of SSIT, and Fuson.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i w:val="1"/>
          <w:iCs w:val="1"/>
          <w:color w:val="auto"/>
        </w:rPr>
        <w:t>Net (loss) income</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Net (loss) income decreased by $2.0 million, or 1,215.8%, to $1.8 million loss in fiscal 2024 from a net income of $0.2 million in fiscal 2023. After the deduction of $3.2 million non-cash share-based compensation expenses, non-GAAP net income decreased by $3.7 million, or 73.7%, to $1.3 million in fiscal 2024 from $5.0 million in the previous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(loss) income</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Foreign currency translation adjustments amounted to a loss of $0.4 million and a loss of $3.5 million for the years ended June 30, 2024 and 2023, respectively. The balance sheet amounts with the exception of equity as of June 30, 2024 were translated at 7.2672 RMB to 1.00 USD as compared to 7.2513 RMB to 1.00 USD as of June 30, 2023. The equity accounts were stated at their historical rate. The average translation rates applied to the income statements accounts for the years ended June 30, 2024 and 2023 were 7.2248 RMB to 1.00 USD and 6.9536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 through Our Organization</w:t>
      </w:r>
    </w:p>
    <w:p>
      <w:pPr>
        <w:spacing w:after="0" w:line="205"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CLPS Incorporation is a holding company with no operations of its own. We conduct our operations in mainland China primarily through our subsidiaries in mainland China. As a result, although other means are available for us to obtain financing at the holding company level, CLPS Incorporation’s ability to pay dividends to the shareholders and to service any debt it may incur may depend upon dividends paid by our PRC subsidiaries. If any of our subsidiaries incurs debt on its own behalf, the instruments governing such debt may restrict its ability to pay dividends to CLPS Incorporation. In addition, our PRC subsidiaries are permitted to pay dividends to CLPS Incorporation only out of their retained earnings, if any, as determined in accordance with PRC accounting standards and regulations. Further, our PRC subsidiaries are required to make appropriations to certain statutory reserve funds. Under PRC law, CLPS Incorporation may provide funding to our PRC subsidiaries only through capital contributions or loans, subject to satisfaction of applicable government registration and approval requirements. The subsidiaries have not declared or paid any cash dividends to the holding company. CLPS Incorporation paid special cash dividends of $0.13, $0.10, and $0.05 per share of common stock on November 24, 2024, December 13, 2023, and January 10, 2023, respectively. The Company provides cash support to its subsidiaries according its business development plan. For fiscal years 2023, 2024, and 2025, the Company provided cash support to its subsidiaries in mainland China, Singapore and Hong Kong SAR. The amounts were offset when the Company’s consolidated financial statements were prepared. The balances due from subsidiaries to the Company were US$24.7 million, US$36.2 million, and US$34.8 million as of June 30 for fiscal 2023, 2024, and 2025, respectively. The subsidiaries provide cash support to the Company according to its business development plan. The balances due to subsidiaries from the Company were US$7.6 million, US$24.8 million and US$23.3 million as of June 30 for fiscal 2023, 2024, and 2025 respectively. The balances were reflected in the section “PARENT COMPANY ONLY CONDENSED FINANCIAL INFORMATION” in our financial statements for fiscal 2023, 2024, and 2025, respectively. For the years ended June 30, 2023, 2024, and 2025, cash and cash equivalents of PRC companies were RMB129.1 million (US$17.8 million), RMB102.5 million (US$14.1 million), and RMB116.7 million (US$16.3 million),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3"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On February 23, 2021, the Company entered into an agreement with Maxim Group LLC (“Maxim”) that Maxim will serves as a Placement Agent for the Company in connection with the proposed offering of registered securities of the Company, including shares of the Company’s common stock. 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6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As of June 30, 2025, we had cash and cash equivalents of approximately $28.2 million. Our current assets were approximately $85.8 million, and our current liabilities were approximately $54.4 million. Total shareholders’ equity as of June 30, 2025 was approximately $57.6 million. We believe that we will have sufficient working capital to operate our business for the next 12 months from the issuance date of this report.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5" w:name="page106"/>
    <w:bookmarkEnd w:id="105"/>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2025, cash and cash equivalents of approximately RMB116.7 million ($16.3 million), SGD4.3 million ($3.4 million), HKD71.2 million ($9.1 million), INR4.5 million ($0.05 million), MYR0.4 million ($0.08 million), JPY22.2 million ($0.2 million), USD0.6 million, PHP2.7 million ($0.05 million), CAD0.03 million ($0.02 million), and IDR630.0 million ($0.04 million) were held by the Company and its subsidiaries in mainland China, Singapore, Hong Kong, India, Malaysia, Japan, the United States of America, the Philippines, Canada, and Indonesia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68"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positive for the year ended June 30, 2025.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The following table sets forth summary of our cash flows for the periods indicated: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1"/>
        </w:trPr>
        <w:tc>
          <w:tcPr>
            <w:tcW w:w="7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8"/>
        </w:trPr>
        <w:tc>
          <w:tcPr>
            <w:tcW w:w="7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(2,544,043)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8,925,234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9,705,951</w:t>
            </w:r>
          </w:p>
        </w:tc>
        <w:tc>
          <w:tcPr>
            <w:tcW w:w="120" w:type="dxa"/>
            <w:vAlign w:val="bottom"/>
            <w:shd w:val="clear" w:color="auto" w:fill="CCEEFF"/>
          </w:tcPr>
          <w:p>
            <w:pPr>
              <w:spacing w:after="0"/>
              <w:rPr>
                <w:sz w:val="16"/>
                <w:szCs w:val="16"/>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(1,754,121)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(12,251,016)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(306,046)</w:t>
            </w: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2,900,116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10,193,143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(4,319,331)</w:t>
            </w:r>
          </w:p>
        </w:tc>
      </w:tr>
      <w:tr>
        <w:trPr>
          <w:trHeight w:val="208"/>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430,696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(28,482)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(1,175,928)</w:t>
            </w:r>
          </w:p>
        </w:tc>
      </w:tr>
      <w:tr>
        <w:trPr>
          <w:trHeight w:val="192"/>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(967,352)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6,838,879</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3,904,646</w:t>
            </w:r>
          </w:p>
        </w:tc>
        <w:tc>
          <w:tcPr>
            <w:tcW w:w="120" w:type="dxa"/>
            <w:vAlign w:val="bottom"/>
            <w:tcBorders>
              <w:top w:val="single" w:sz="8" w:color="CCEEFF"/>
            </w:tcBorders>
            <w:shd w:val="clear" w:color="auto" w:fill="CCEEFF"/>
          </w:tcPr>
          <w:p>
            <w:pPr>
              <w:spacing w:after="0"/>
              <w:rPr>
                <w:sz w:val="16"/>
                <w:szCs w:val="16"/>
                <w:color w:val="auto"/>
              </w:rPr>
            </w:pPr>
          </w:p>
        </w:tc>
      </w:tr>
      <w:tr>
        <w:trPr>
          <w:trHeight w:val="208"/>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year</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29,140,512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22,301,633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18,396,987</w:t>
            </w:r>
          </w:p>
        </w:tc>
      </w:tr>
      <w:tr>
        <w:trPr>
          <w:trHeight w:val="196"/>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year</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28,173,160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29,140,512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22,301,633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05"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Net cash used in operating activities was approximately $2.5 million in fiscal 2025, including net loss of $6.4 million, adjusted for non-cash items of $7.4 million and negative adjustments for changes in operating assets and liabilities of $3.5 million. The adjustments for changes in operating assets and liabilities mainly included the increase in accounts receivable of $5.4 million. The adjustments for changes in operating assets and liabilities also included an increase in prepayment, deposits and other assets of $2.5 million, an increase in salaries and benefits payable of $3.9 million, an increase in accounts payable and other liabilities of $0.4 million, and an increase in tax payables of $0.1 million in fiscal 2025.</w:t>
      </w:r>
    </w:p>
    <w:p>
      <w:pPr>
        <w:spacing w:after="0" w:line="162"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Net cash provided by operating activities was approximately $8.9 million in fiscal 2024, including net loss of $1.8 million, adjusted for non-cash items of $5.6 million and positive adjustments for changes in operating assets and liabilities of $5.1 million. The adjustments for changes in operating assets and liabilities mainly included the decrease in accounts receivable of $7.2 million. The adjustments for changes in operating assets and liabilities also included an increase in prepayment, deposits and other assets of $0.3 million, a decrease in salaries and benefits payable of $1.1 million, an increase in accounts payable and other liabilities of $0.2 million, and a decrease in tax payables of $0.4 million in fiscal 2024.</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Net cash provided by operating activities was approximately $9.7 million in fiscal 2023, including net income of $0.2 million, adjusted for non-cash items of $7.2 million and positive adjustments for changes in operating assets and liabilities of $3.4 million. The adjustments for changes in operating assets and liabilities mainly included the decrease in accounts receivable of $0.5 million. The adjustments for changes in operating assets and liabilities also included a decrease in prepayment, deposits and other assets of $3.5 million, a decrease in salaries and benefits payable of $0.8 million, an increase in accounts payable and other liabilities of $0.2 million, and an increase in tax payables of $0.1 million in fiscal 2023.</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0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Net cash used in investing activities was approximately $1.8 million in fiscal 2025, primarily due to our purchase of property and equipment of $1.3 million, repayments from a related party of $2.9 million, loans provided to a related party of $3.0 million, acquisition of long-term investments of $1.5 million, purchase of short-term investments of $1.5 million, maturities of short-term investments of $2.7 million, and purchase of subsidiaries of $0.2 million in fiscal 2025, to better manage opportunities and capitalize on the growth potential in the IT consulting related industry and academic education industry.</w:t>
      </w:r>
    </w:p>
    <w:p>
      <w:pPr>
        <w:spacing w:after="0" w:line="162"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Net cash used in investing activities was approximately $12.3 million in fiscal 2024, primarily due to our purchase of property and equipment of $2.1 million, repayments from a related party of $0.8 million, loans provided to a related party of $6.5 million, purchase of short-term investments of $2.1 million, and purchase of subsidiaries of $2.4 million in fiscal 2024, to better manage opportunities and capitalize on the growth potential in the IT consulting related industry and academic education industry.</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Net cash used in investing activities was approximately $0.3 million in fiscal 2023, primarily due to our purchase of property and equipment of $0.5 million, disposition of long term investment of $0.1 million, repayments from a related party of $0.2 million in fiscal 2023, to better manage opportunities and capitalize on the growth potential in the human resource related industry.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Net cash provided by financing activities was approximately $2.9 million in fiscal 2025. During the fiscal 2025, we had bank loans of approximately $42.9 million, repaid loans of approximately $36.2 million, and paid dividend of $3.6 million.</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Net cash provided by financing activities was approximately $10.2 million in fiscal 2024. During the fiscal 2024, we had bank loans of approximately $44.5 million, repaid loans of approximately $31.8 million, and paid dividend of $2.6 million.</w:t>
      </w:r>
    </w:p>
    <w:p>
      <w:pPr>
        <w:spacing w:after="0" w:line="14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Net cash used in financing activities was approximately $4.3 million in fiscal 2023. During the fiscal 2023, we had bank loans of approximately $23.4 million, repaid loans of approximately $26.3 million, and paid dividend of $1.4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spacing w:after="0" w:line="205"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The Company made capital expenditures of $1.3 million, $2.1 million, and $0.5 million for the years ended June 30, 2025, 2024, and 2023, respectively. In these periods, our capital expenditures were mainly used for purchases of office building and office equipment. The Company will continue to make capital expenditures to meet the expected growth of its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Impact of Inflation</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We do not believe the impact of inflation on our company is material. Our operations are in China and China’s inflation rates have been relatively stable over the last two years: 0.2% in 2024 and 0.2% in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 Company’s subsidiaries lease office spaces under various operating leases. Operating lease expenses amounted to $2,166,911, $1,514,162, and $1,086,622, for the years ended June 30, 2025, 2024, and 2023, respectively. The following table sets forth our contractual obligations and commercial commitments as of June 30,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auto"/>
              </w:rPr>
              <w:t>More than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3 Years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arrangements</w:t>
            </w:r>
          </w:p>
        </w:tc>
        <w:tc>
          <w:tcPr>
            <w:tcW w:w="2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4,782,628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2,999,196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1,783,432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Bank loans</w:t>
            </w: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30,217,329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30,217,329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34,999,957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33,216,525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2"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There were no off-balance sheet arrangements and undisclosed material cash requirement for the years ended June 30, 2025 that have or that in the opinion of management are likely to have, a current or future material effect on our financial condition or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Subsequent Event</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Critical Accounting Policies and Estimates</w:t>
      </w:r>
    </w:p>
    <w:p>
      <w:pPr>
        <w:spacing w:after="0" w:line="203"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We prepare our consolidated financial statements in conformity with U.S. GAAP, which requires us to make judgments, estimates and assumptions that affect our reported amount of assets, liabilities, revenue, costs and expenses, and any related disclosures.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believe that the following accounting policies are the most critical to understanding and evaluating our consolidated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1" w:lineRule="exact"/>
        <w:rPr>
          <w:sz w:val="20"/>
          <w:szCs w:val="20"/>
          <w:color w:val="auto"/>
        </w:rPr>
      </w:pPr>
    </w:p>
    <w:p>
      <w:pPr>
        <w:jc w:val="both"/>
        <w:ind w:right="20" w:firstLine="577"/>
        <w:spacing w:after="0" w:line="268" w:lineRule="auto"/>
        <w:rPr>
          <w:sz w:val="20"/>
          <w:szCs w:val="20"/>
          <w:color w:val="auto"/>
        </w:rPr>
      </w:pPr>
      <w:r>
        <w:rPr>
          <w:rFonts w:ascii="Times New Roman" w:cs="Times New Roman" w:eastAsia="Times New Roman" w:hAnsi="Times New Roman"/>
          <w:sz w:val="16"/>
          <w:szCs w:val="16"/>
          <w:color w:val="auto"/>
        </w:rPr>
        <w:t xml:space="preserve">We account for revenue recognition in accordance with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We provide a comprehensive range of IT consulting services, customized IT solution services and other service, which primarily are on a time-and-expense basis, or fixed-price basis. Revenue is recognized when control of promised goods or services is transferred to our customers in an amount of consideration to which an entity expects to be entitled to in exchange for those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IT consulting services</w:t>
      </w:r>
    </w:p>
    <w:p>
      <w:pPr>
        <w:spacing w:after="0" w:line="203"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we satisfy its obligation to perform IT service daily with enforceable right to payment for performance completed to date. Thus, revenue is recognized as service is performed and the customer simultaneously receives and consumes the benefits from the service daily. Payment terms and conditions vary by customer and are based on the billing schedule established in our contracts with customers. but we generally provide credit terms to customers ranging from one to three months. Therefore. we have determined that our contracts do not include a significant financing component.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Customized IT solution services</w:t>
      </w:r>
    </w:p>
    <w:p>
      <w:pPr>
        <w:spacing w:after="0" w:line="201" w:lineRule="exact"/>
        <w:rPr>
          <w:sz w:val="20"/>
          <w:szCs w:val="20"/>
          <w:color w:val="auto"/>
        </w:rPr>
      </w:pPr>
    </w:p>
    <w:p>
      <w:pPr>
        <w:jc w:val="both"/>
        <w:ind w:firstLine="577"/>
        <w:spacing w:after="0" w:line="262" w:lineRule="auto"/>
        <w:rPr>
          <w:sz w:val="20"/>
          <w:szCs w:val="20"/>
          <w:color w:val="auto"/>
        </w:rPr>
      </w:pPr>
      <w:r>
        <w:rPr>
          <w:rFonts w:ascii="Times New Roman" w:cs="Times New Roman" w:eastAsia="Times New Roman" w:hAnsi="Times New Roman"/>
          <w:sz w:val="16"/>
          <w:szCs w:val="16"/>
          <w:color w:val="auto"/>
        </w:rPr>
        <w:t>Revenues from customized IT solution contracts require we to perform service</w:t>
      </w:r>
      <w:r>
        <w:rPr>
          <w:rFonts w:ascii="Times New Roman" w:cs="Times New Roman" w:eastAsia="Times New Roman" w:hAnsi="Times New Roman"/>
          <w:sz w:val="16"/>
          <w:szCs w:val="16"/>
          <w:i w:val="1"/>
          <w:iCs w:val="1"/>
          <w:u w:val="single" w:color="auto"/>
          <w:color w:val="auto"/>
        </w:rPr>
        <w:t>s</w:t>
      </w:r>
      <w:r>
        <w:rPr>
          <w:rFonts w:ascii="Times New Roman" w:cs="Times New Roman" w:eastAsia="Times New Roman" w:hAnsi="Times New Roman"/>
          <w:sz w:val="16"/>
          <w:szCs w:val="16"/>
          <w:color w:val="auto"/>
        </w:rPr>
        <w:t xml:space="preserve">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we are generally required to provide post-contract customer support (“PCS’) for a period from three months to one year (“PCS period”) after the customized application is delivered. The type of service for PCS is stand-ready service on when-and-if-available basis.</w:t>
      </w:r>
    </w:p>
    <w:p>
      <w:pPr>
        <w:spacing w:after="0" w:line="161"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There are two performance obligations identified in the customized IT solution contract: the delivery of customized IT solution services and the completion of the PCS. The transaction price is allocated between the two performance obligations based on the relative standalone selling price, estimated using the cost plus method.</w:t>
      </w:r>
    </w:p>
    <w:p>
      <w:pPr>
        <w:spacing w:after="0" w:line="14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We recognize revenue for the delivery of customized IT solution services at a point in time when the system is implemented and accepted by the customer. Where we have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There is no significant financing component.</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Academic education services</w:t>
      </w:r>
    </w:p>
    <w:p>
      <w:pPr>
        <w:spacing w:after="0" w:line="20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We are mainly engaged in providing programs, short courses, and workshops to train and help individuals and professionals in counselling, psychology, and allied health and science. The Company’s academic education service revenue from the provision of formal educational services is in consideration of fixed amounts of tuition. The typical service period for academic education revenue ranges from 6 to 15 months.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2" w:right="319" w:bottom="1440" w:gutter="0" w:footer="0" w:header="0"/>
        </w:sectPr>
      </w:pPr>
    </w:p>
    <w:bookmarkStart w:id="108" w:name="page109"/>
    <w:bookmarkEnd w:id="108"/>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Tuition fees from the provision of formal education services received from students are generally paid in advance prior to the beginning of each course, and are initially recorded as contract liabilities, which is reflected as a current liability as such amounts represent revenue that we expect to recognize within one year. Tuition fees from the provision of formal education services are recognized proportionately over the relevant period of the respective applicable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contracts</w:t>
      </w:r>
    </w:p>
    <w:p>
      <w:pPr>
        <w:spacing w:after="0" w:line="20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Other contracts primarily comprise of the sales of headhunting services, consulting and administrative services. Revenue of headhunting services is recognized at a point in time when control is transferred to the customers, which generally occurs when the service is accepted by customers. Revenue of consulting and administrative services for other contracts is recognized over time as the customer simultaneously receives and consumes the benefits from the service we perform.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03"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We account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60" w:lineRule="exact"/>
        <w:rPr>
          <w:sz w:val="20"/>
          <w:szCs w:val="20"/>
          <w:color w:val="auto"/>
        </w:rPr>
      </w:pPr>
    </w:p>
    <w:p>
      <w:pPr>
        <w:jc w:val="both"/>
        <w:ind w:firstLine="577"/>
        <w:spacing w:after="0" w:line="262" w:lineRule="auto"/>
        <w:rPr>
          <w:sz w:val="20"/>
          <w:szCs w:val="20"/>
          <w:color w:val="auto"/>
        </w:rPr>
      </w:pPr>
      <w:r>
        <w:rPr>
          <w:rFonts w:ascii="Times New Roman" w:cs="Times New Roman" w:eastAsia="Times New Roman" w:hAnsi="Times New Roman"/>
          <w:sz w:val="16"/>
          <w:szCs w:val="16"/>
          <w:color w:val="auto"/>
        </w:rPr>
        <w:t xml:space="preserve">We account for uncertainties in income taxes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201"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 xml:space="preserve">We account for all business combinations under the purchase method of accounting in accordance with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The purchase method of accounting requires that the consideration transferred to be allocated to net assets including separately identifiable assets and liabilities we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We recognize and measures the acquired contract assets and contract liabilities consistent with how they were recognized and measured in the acquiree’s financial statements.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(loss)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203"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 xml:space="preserve">Goodwill represents the excess of the consideration over the fair value of the net assets acquired at the date of acquisition. Goodwill is allocated to applicable reporting units. Upon disposition of a business entity, goodwill is allocated to the disposed entity based on the relative fair value of that entity compared to the fair value of the reporting unit in which it was included.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we believe impairment indicators are present. We have the option to assess qualitative factors first to determine whether it is necessary to perform the two-step test in accordance with ASC 350-20,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In the qualitative assessment, we consider primary factors such as industry and market considerations, overall financial performance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reporting unit, and other specific information related to the operations. If we believe, as a result of the qualitative assessment, that it is more likely than not that the fair value of the reporting unit is less than its carrying amount, the quantitative impairment test is required. Otherwise, no further testing is required.</w:t>
      </w:r>
    </w:p>
    <w:p>
      <w:pPr>
        <w:spacing w:after="0" w:line="168"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In performing quantitative impairment test, we compare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If the carrying value of the reporting unit exceeds the fair value of the reporting unit, an impairment loss shall be recognized in an amount equal to that excess.</w:t>
      </w:r>
    </w:p>
    <w:p>
      <w:pPr>
        <w:spacing w:after="0" w:line="156"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For the year ended June 30, 2025, we bypassed the qualitative assessment and performed quantitative assessment for the goodwill allocated to IT services reporting unit using the market approach. We assessed and determined that the fair value of the IT services reporting unit was less than their carrying amount and therefore, impairment loss of $129,270 was recognized for the year ended June 30, 2025.</w:t>
      </w:r>
    </w:p>
    <w:p>
      <w:pPr>
        <w:spacing w:after="0" w:line="156"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For the year ended June 30, 2025, we bypassed the qualitative assessment and performed quantitative assessment for the goodwill allocated to Academic education services reporting unit. The fair value of this reporting unit has been determined using the discounted cash flow approach. Significant assumptions used included projected revenue growth rates and discount rate. As of June 30, 2025, the fair value of the Academic education services reporting unit exceeded its carrying amount. Therefore, no impairment loss was recognized for the year ended June 30, 2025. Future changes to our estimates and assumptions based upon changes in operating results, macro-economic factors or management’s intentions may result in future changes to the fair value of the Academic education services reporting unit.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201"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b w:val="1"/>
          <w:bCs w:val="1"/>
          <w:color w:val="auto"/>
        </w:rPr>
        <w:t>A. Directors and senior management</w:t>
      </w:r>
    </w:p>
    <w:p>
      <w:pPr>
        <w:spacing w:after="0" w:line="20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following table sets forth our executive officers and directors, their ages and the positions held by them, as of the date of this Annual Report:</w:t>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2"/>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 Feng Yang</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tcBorders>
              <w:top w:val="single" w:sz="8" w:color="CCEEFF"/>
            </w:tcBorders>
            <w:shd w:val="clear" w:color="auto" w:fill="CCEEFF"/>
          </w:tcPr>
          <w:p>
            <w:pPr>
              <w:spacing w:after="0"/>
              <w:rPr>
                <w:sz w:val="16"/>
                <w:szCs w:val="16"/>
                <w:color w:val="auto"/>
              </w:rPr>
            </w:pPr>
          </w:p>
        </w:tc>
        <w:tc>
          <w:tcPr>
            <w:tcW w:w="6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Chairman of the Board</w:t>
            </w:r>
          </w:p>
        </w:tc>
      </w:tr>
      <w:tr>
        <w:trPr>
          <w:trHeight w:val="192"/>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Raymond Ming Hui Lin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tcPr>
          <w:p>
            <w:pPr>
              <w:spacing w:after="0"/>
              <w:rPr>
                <w:sz w:val="16"/>
                <w:szCs w:val="16"/>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192"/>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Rui Yang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shd w:val="clear" w:color="auto" w:fill="CCEEFF"/>
          </w:tcPr>
          <w:p>
            <w:pPr>
              <w:spacing w:after="0"/>
              <w:rPr>
                <w:sz w:val="16"/>
                <w:szCs w:val="16"/>
                <w:color w:val="auto"/>
              </w:rPr>
            </w:pPr>
          </w:p>
        </w:tc>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Chief Financial Officer</w:t>
            </w:r>
          </w:p>
        </w:tc>
      </w:tr>
      <w:tr>
        <w:trPr>
          <w:trHeight w:val="192"/>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 Li</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Pr>
          <w:p>
            <w:pPr>
              <w:spacing w:after="0"/>
              <w:rPr>
                <w:sz w:val="16"/>
                <w:szCs w:val="16"/>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President</w:t>
            </w:r>
          </w:p>
        </w:tc>
      </w:tr>
      <w:tr>
        <w:trPr>
          <w:trHeight w:val="228"/>
        </w:trPr>
        <w:tc>
          <w:tcPr>
            <w:tcW w:w="35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Jin He Shao</w:t>
            </w:r>
            <w:r>
              <w:rPr>
                <w:rFonts w:ascii="Times New Roman" w:cs="Times New Roman" w:eastAsia="Times New Roman" w:hAnsi="Times New Roman"/>
                <w:sz w:val="26"/>
                <w:szCs w:val="26"/>
                <w:color w:val="auto"/>
                <w:vertAlign w:val="superscript"/>
              </w:rPr>
              <w:t>(1)(4)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shd w:val="clear" w:color="auto" w:fill="CCEEFF"/>
          </w:tcPr>
          <w:p>
            <w:pPr>
              <w:spacing w:after="0"/>
              <w:rPr>
                <w:sz w:val="19"/>
                <w:szCs w:val="19"/>
                <w:color w:val="auto"/>
              </w:rPr>
            </w:pPr>
          </w:p>
        </w:tc>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Independent Director</w:t>
            </w:r>
          </w:p>
        </w:tc>
      </w:tr>
      <w:tr>
        <w:trPr>
          <w:trHeight w:val="228"/>
        </w:trPr>
        <w:tc>
          <w:tcPr>
            <w:tcW w:w="3500" w:type="dxa"/>
            <w:vAlign w:val="bottom"/>
            <w:gridSpan w:val="2"/>
          </w:tcPr>
          <w:p>
            <w:pPr>
              <w:spacing w:after="0" w:line="228" w:lineRule="exact"/>
              <w:rPr>
                <w:sz w:val="20"/>
                <w:szCs w:val="20"/>
                <w:color w:val="auto"/>
              </w:rPr>
            </w:pPr>
            <w:r>
              <w:rPr>
                <w:rFonts w:ascii="Times New Roman" w:cs="Times New Roman" w:eastAsia="Times New Roman" w:hAnsi="Times New Roman"/>
                <w:sz w:val="16"/>
                <w:szCs w:val="16"/>
                <w:color w:val="auto"/>
              </w:rPr>
              <w:t>Jiajia Lu</w:t>
            </w:r>
            <w:r>
              <w:rPr>
                <w:rFonts w:ascii="Times New Roman" w:cs="Times New Roman" w:eastAsia="Times New Roman" w:hAnsi="Times New Roman"/>
                <w:sz w:val="26"/>
                <w:szCs w:val="26"/>
                <w:color w:val="auto"/>
                <w:vertAlign w:val="superscript"/>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tcPr>
          <w:p>
            <w:pPr>
              <w:spacing w:after="0"/>
              <w:rPr>
                <w:sz w:val="19"/>
                <w:szCs w:val="19"/>
                <w:color w:val="auto"/>
              </w:rPr>
            </w:pPr>
          </w:p>
        </w:tc>
        <w:tc>
          <w:tcPr>
            <w:tcW w:w="6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Independent Director</w:t>
            </w:r>
          </w:p>
        </w:tc>
      </w:tr>
      <w:tr>
        <w:trPr>
          <w:trHeight w:val="228"/>
        </w:trPr>
        <w:tc>
          <w:tcPr>
            <w:tcW w:w="3500" w:type="dxa"/>
            <w:vAlign w:val="bottom"/>
            <w:gridSpan w:val="2"/>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Kee Chong Seng</w:t>
            </w:r>
            <w:r>
              <w:rPr>
                <w:rFonts w:ascii="Times New Roman" w:cs="Times New Roman" w:eastAsia="Times New Roman" w:hAnsi="Times New Roman"/>
                <w:sz w:val="26"/>
                <w:szCs w:val="26"/>
                <w:color w:val="auto"/>
                <w:vertAlign w:val="superscript"/>
              </w:rPr>
              <w:t>(2)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100" w:type="dxa"/>
            <w:vAlign w:val="bottom"/>
            <w:shd w:val="clear" w:color="auto" w:fill="CCEEFF"/>
          </w:tcPr>
          <w:p>
            <w:pPr>
              <w:spacing w:after="0"/>
              <w:rPr>
                <w:sz w:val="19"/>
                <w:szCs w:val="19"/>
                <w:color w:val="auto"/>
              </w:rPr>
            </w:pPr>
          </w:p>
        </w:tc>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Independent Director</w:t>
            </w:r>
          </w:p>
        </w:tc>
      </w:tr>
    </w:tbl>
    <w:p>
      <w:pPr>
        <w:spacing w:after="0" w:line="176" w:lineRule="exact"/>
        <w:rPr>
          <w:sz w:val="20"/>
          <w:szCs w:val="20"/>
          <w:color w:val="auto"/>
        </w:rPr>
      </w:pPr>
    </w:p>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Audit Committee.</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Compensation Committee.</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 of the Nominating Committee.</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Financial Expert.</w:t>
      </w:r>
    </w:p>
    <w:p>
      <w:pPr>
        <w:spacing w:after="0" w:line="199" w:lineRule="exact"/>
        <w:rPr>
          <w:sz w:val="20"/>
          <w:szCs w:val="20"/>
          <w:color w:val="auto"/>
        </w:rPr>
      </w:pPr>
    </w:p>
    <w:p>
      <w:pPr>
        <w:jc w:val="both"/>
        <w:ind w:left="4" w:right="20"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Xiao Feng Yang </w:t>
      </w:r>
      <w:r>
        <w:rPr>
          <w:rFonts w:ascii="Times New Roman" w:cs="Times New Roman" w:eastAsia="Times New Roman" w:hAnsi="Times New Roman"/>
          <w:sz w:val="16"/>
          <w:szCs w:val="16"/>
          <w:color w:val="auto"/>
        </w:rPr>
        <w:t>is the chairman of the board of the Company. Mr. Yang has over 20 years of executive management and operational experience in the IT services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From October 2012 to August 2020, Mr. Yang served as chairman and president of CLPS.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62" w:lineRule="exact"/>
        <w:rPr>
          <w:sz w:val="20"/>
          <w:szCs w:val="20"/>
          <w:color w:val="auto"/>
        </w:rPr>
      </w:pPr>
    </w:p>
    <w:p>
      <w:pPr>
        <w:jc w:val="both"/>
        <w:ind w:left="4" w:right="20" w:firstLine="577"/>
        <w:spacing w:after="0" w:line="257" w:lineRule="auto"/>
        <w:rPr>
          <w:sz w:val="20"/>
          <w:szCs w:val="20"/>
          <w:color w:val="auto"/>
        </w:rPr>
      </w:pPr>
      <w:r>
        <w:rPr>
          <w:rFonts w:ascii="Times New Roman" w:cs="Times New Roman" w:eastAsia="Times New Roman" w:hAnsi="Times New Roman"/>
          <w:sz w:val="16"/>
          <w:szCs w:val="16"/>
          <w:b w:val="1"/>
          <w:bCs w:val="1"/>
          <w:color w:val="auto"/>
        </w:rPr>
        <w:t>Raymond Ming Hui Lin</w:t>
      </w:r>
      <w:r>
        <w:rPr>
          <w:rFonts w:ascii="Times New Roman" w:cs="Times New Roman" w:eastAsia="Times New Roman" w:hAnsi="Times New Roman"/>
          <w:sz w:val="16"/>
          <w:szCs w:val="16"/>
          <w:color w:val="auto"/>
        </w:rPr>
        <w:t>, is the chief executive officer and director of the Company. Mr. Lin joined CLPS in February 2009 as chief executive officer. From January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65" w:lineRule="exact"/>
        <w:rPr>
          <w:sz w:val="20"/>
          <w:szCs w:val="20"/>
          <w:color w:val="auto"/>
        </w:rPr>
      </w:pPr>
    </w:p>
    <w:p>
      <w:pPr>
        <w:jc w:val="both"/>
        <w:ind w:left="4" w:firstLine="577"/>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Rui Yang </w:t>
      </w:r>
      <w:r>
        <w:rPr>
          <w:rFonts w:ascii="Times New Roman" w:cs="Times New Roman" w:eastAsia="Times New Roman" w:hAnsi="Times New Roman"/>
          <w:sz w:val="16"/>
          <w:szCs w:val="16"/>
          <w:color w:val="auto"/>
        </w:rPr>
        <w:t>has been the chief financial officer of the Company since December 17, 2020. From November 1, 2019 to December 16, 2020, Ms. Yang served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Acting Chief Financial Officer of the Company. Ms. Yang has over 10 years of financial experiences in the financial and IT industry. Ms. Yang joined the Company in August 2015 as Vice President for finance controller. From December 2014 to August 2015, Ms. Yang served as financial analyst supervisor at Shanghai Origin International Logistics Co., Ltd. From February 2010 to July 2014, Ms. Yang served as senior financial analyst at Pactera Technology International Ltd. Ms. Yang holds a Bachelor’s Degree in Management from Northwest Agriculture and Forestry University and a Master’s Degree in Economics from Shanghai University of Finance and Economics. Ms. Yang holds the PRC Certified Public Accountant certificate.</w:t>
      </w:r>
    </w:p>
    <w:p>
      <w:pPr>
        <w:spacing w:after="0" w:line="165" w:lineRule="exact"/>
        <w:rPr>
          <w:sz w:val="20"/>
          <w:szCs w:val="20"/>
          <w:color w:val="auto"/>
        </w:rPr>
      </w:pPr>
    </w:p>
    <w:p>
      <w:pPr>
        <w:jc w:val="both"/>
        <w:ind w:left="4" w:right="20"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Li Li </w:t>
      </w:r>
      <w:r>
        <w:rPr>
          <w:rFonts w:ascii="Times New Roman" w:cs="Times New Roman" w:eastAsia="Times New Roman" w:hAnsi="Times New Roman"/>
          <w:sz w:val="16"/>
          <w:szCs w:val="16"/>
          <w:color w:val="auto"/>
        </w:rPr>
        <w:t>is the president of the Company effective July 1, 2024. From June 2019 to June 2024, Mr. Li served as the chief operating officer of the Company. Li has 20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years of professional and IT experience in the financial and IT industry. From June 2017 to June 2019, Mr. Li served as Vice President of Technology and Operations in Mastercard China. From July 2013 to June 2017, Mr. Li served as Executive Manager, Head of Business Solution and Quality Assurance at Commonwealth Bank of Australia China. Mr. Li graduated from Tianjin University, Tianjin, China, with a bachelor’s degree in Computer Science. Mr. Li holds an MSE degree from Fudan University, Shanghai, China.</w:t>
      </w:r>
    </w:p>
    <w:p>
      <w:pPr>
        <w:spacing w:after="0" w:line="162" w:lineRule="exact"/>
        <w:rPr>
          <w:sz w:val="20"/>
          <w:szCs w:val="20"/>
          <w:color w:val="auto"/>
        </w:rPr>
      </w:pPr>
    </w:p>
    <w:p>
      <w:pPr>
        <w:jc w:val="both"/>
        <w:ind w:left="4" w:firstLine="577"/>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Jin He Shao </w:t>
      </w:r>
      <w:r>
        <w:rPr>
          <w:rFonts w:ascii="Times New Roman" w:cs="Times New Roman" w:eastAsia="Times New Roman" w:hAnsi="Times New Roman"/>
          <w:sz w:val="16"/>
          <w:szCs w:val="16"/>
          <w:color w:val="auto"/>
        </w:rPr>
        <w:t>has served as our independent director since January 2018. From January 2002 to present, Mr. Shao has been a partner at Shanghai Huajin Accounting&amp;</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59" w:lineRule="exact"/>
        <w:rPr>
          <w:sz w:val="20"/>
          <w:szCs w:val="20"/>
          <w:color w:val="auto"/>
        </w:rPr>
      </w:pPr>
    </w:p>
    <w:p>
      <w:pPr>
        <w:jc w:val="both"/>
        <w:ind w:left="4" w:firstLine="577"/>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Jiajia Lu </w:t>
      </w:r>
      <w:r>
        <w:rPr>
          <w:rFonts w:ascii="Times New Roman" w:cs="Times New Roman" w:eastAsia="Times New Roman" w:hAnsi="Times New Roman"/>
          <w:sz w:val="16"/>
          <w:szCs w:val="16"/>
          <w:color w:val="auto"/>
        </w:rPr>
        <w:t>has served as our independent director since June 1, 2024. Ms. Lu has held the position of Vice President of Human Resources at The Coca-Cola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Atlanta, Georgia, USA, bringing with her over 15 years of global experience within the Coca-Cola system. Prior to Coca-Cola, Ms. Lu held several HR, talent, organizational development, and management roles at Unilever China, AstraZeneca China, and Philips Electronic Groups China. Ms. Lu holds a bachelor’s degree in Management of Information System from the Beijing Institute of Technology and an Executive MBA from Olin Business School of Washington University in St. Louis, where she received the C. William Emory Executive MBA Award.</w:t>
      </w:r>
    </w:p>
    <w:p>
      <w:pPr>
        <w:spacing w:after="0" w:line="3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4" w:right="319" w:bottom="1440" w:gutter="0" w:footer="0" w:header="0"/>
        </w:sectPr>
      </w:pPr>
    </w:p>
    <w:bookmarkStart w:id="110" w:name="page111"/>
    <w:bookmarkEnd w:id="110"/>
    <w:p>
      <w:pPr>
        <w:jc w:val="both"/>
        <w:ind w:left="4" w:right="20" w:firstLine="577"/>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Kee Chong Seng </w:t>
      </w:r>
      <w:r>
        <w:rPr>
          <w:rFonts w:ascii="Times New Roman" w:cs="Times New Roman" w:eastAsia="Times New Roman" w:hAnsi="Times New Roman"/>
          <w:sz w:val="16"/>
          <w:szCs w:val="16"/>
          <w:color w:val="auto"/>
        </w:rPr>
        <w:t>has served as our independent director since September 2019. Mr. Kee spent a career in the information technology industry, most recently as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 manager at Citibank from 2003 until his full retirement in 2015.</w:t>
      </w:r>
    </w:p>
    <w:p>
      <w:pPr>
        <w:spacing w:after="0" w:line="142" w:lineRule="exact"/>
        <w:rPr>
          <w:sz w:val="20"/>
          <w:szCs w:val="20"/>
          <w:color w:val="auto"/>
        </w:rPr>
      </w:pPr>
    </w:p>
    <w:p>
      <w:pPr>
        <w:jc w:val="both"/>
        <w:ind w:left="4" w:right="20" w:firstLine="577"/>
        <w:spacing w:after="0" w:line="283" w:lineRule="auto"/>
        <w:rPr>
          <w:sz w:val="20"/>
          <w:szCs w:val="20"/>
          <w:color w:val="auto"/>
        </w:rPr>
      </w:pPr>
      <w:r>
        <w:rPr>
          <w:rFonts w:ascii="Times New Roman" w:cs="Times New Roman" w:eastAsia="Times New Roman" w:hAnsi="Times New Roman"/>
          <w:sz w:val="16"/>
          <w:szCs w:val="16"/>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Limitation on Liability and Other Indemnification Matters</w:t>
      </w:r>
    </w:p>
    <w:p>
      <w:pPr>
        <w:spacing w:after="0" w:line="203" w:lineRule="exact"/>
        <w:rPr>
          <w:sz w:val="20"/>
          <w:szCs w:val="20"/>
          <w:color w:val="auto"/>
        </w:rPr>
      </w:pPr>
    </w:p>
    <w:p>
      <w:pPr>
        <w:jc w:val="both"/>
        <w:ind w:left="4" w:right="20" w:firstLine="577"/>
        <w:spacing w:after="0" w:line="259" w:lineRule="auto"/>
        <w:rPr>
          <w:sz w:val="20"/>
          <w:szCs w:val="20"/>
          <w:color w:val="auto"/>
        </w:rPr>
      </w:pPr>
      <w:r>
        <w:rPr>
          <w:rFonts w:ascii="Times New Roman" w:cs="Times New Roman" w:eastAsia="Times New Roman" w:hAnsi="Times New Roman"/>
          <w:sz w:val="16"/>
          <w:szCs w:val="16"/>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62" w:lineRule="exact"/>
        <w:rPr>
          <w:sz w:val="20"/>
          <w:szCs w:val="20"/>
          <w:color w:val="auto"/>
        </w:rPr>
      </w:pPr>
    </w:p>
    <w:p>
      <w:pPr>
        <w:jc w:val="both"/>
        <w:ind w:left="4" w:right="20" w:firstLine="577"/>
        <w:spacing w:after="0" w:line="26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B. Compensation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Executive Compensation</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220" w:type="dxa"/>
            <w:vAlign w:val="bottom"/>
            <w:gridSpan w:val="9"/>
          </w:tcPr>
          <w:p>
            <w:pPr>
              <w:ind w:left="560"/>
              <w:spacing w:after="0"/>
              <w:rPr>
                <w:sz w:val="20"/>
                <w:szCs w:val="20"/>
                <w:color w:val="auto"/>
              </w:rPr>
            </w:pPr>
            <w:r>
              <w:rPr>
                <w:rFonts w:ascii="Times New Roman" w:cs="Times New Roman" w:eastAsia="Times New Roman" w:hAnsi="Times New Roman"/>
                <w:sz w:val="16"/>
                <w:szCs w:val="16"/>
                <w:color w:val="auto"/>
              </w:rPr>
              <w:t>The following table shows the annual compensation paid by us for the years ended June 30, 2025, 2024, and 2023.</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Name/principal position</w:t>
            </w:r>
          </w:p>
        </w:tc>
        <w:tc>
          <w:tcPr>
            <w:tcW w:w="120" w:type="dxa"/>
            <w:vAlign w:val="bottom"/>
          </w:tcPr>
          <w:p>
            <w:pPr>
              <w:spacing w:after="0"/>
              <w:rPr>
                <w:sz w:val="18"/>
                <w:szCs w:val="18"/>
                <w:color w:val="auto"/>
              </w:rPr>
            </w:pPr>
          </w:p>
        </w:tc>
        <w:tc>
          <w:tcPr>
            <w:tcW w:w="11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 Paid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Xiao Feng Yang, Chairman of the Board</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106,011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104,002</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104,002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104,651</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104,651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Raymond Ming Hui Lin, CEO and Director</w:t>
            </w:r>
            <w:r>
              <w:rPr>
                <w:rFonts w:ascii="Times New Roman" w:cs="Times New Roman" w:eastAsia="Times New Roman" w:hAnsi="Times New Roman"/>
                <w:sz w:val="26"/>
                <w:szCs w:val="26"/>
                <w:color w:val="auto"/>
                <w:vertAlign w:val="superscript"/>
              </w:rPr>
              <w:t>(2)</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279,486</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279,486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202,072</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202,072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258,614</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258,614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Rui Yang, CFO</w:t>
            </w:r>
            <w:r>
              <w:rPr>
                <w:rFonts w:ascii="Times New Roman" w:cs="Times New Roman" w:eastAsia="Times New Roman" w:hAnsi="Times New Roman"/>
                <w:sz w:val="26"/>
                <w:szCs w:val="26"/>
                <w:color w:val="auto"/>
                <w:vertAlign w:val="superscript"/>
              </w:rPr>
              <w:t>(3)</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193,214</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193,214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154,908</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154,908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152,031</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152,031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Li Li, President</w:t>
            </w:r>
            <w:r>
              <w:rPr>
                <w:rFonts w:ascii="Times New Roman" w:cs="Times New Roman" w:eastAsia="Times New Roman" w:hAnsi="Times New Roman"/>
                <w:sz w:val="26"/>
                <w:szCs w:val="26"/>
                <w:color w:val="auto"/>
                <w:vertAlign w:val="superscript"/>
              </w:rPr>
              <w:t>(4)</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224,061</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224,061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189,907</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189,907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205,359</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205,359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Jin He Shao, Independent Director</w:t>
            </w:r>
            <w:r>
              <w:rPr>
                <w:rFonts w:ascii="Times New Roman" w:cs="Times New Roman" w:eastAsia="Times New Roman" w:hAnsi="Times New Roman"/>
                <w:sz w:val="26"/>
                <w:szCs w:val="26"/>
                <w:color w:val="auto"/>
                <w:vertAlign w:val="superscript"/>
              </w:rPr>
              <w:t>(5)</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Kee Chong Seng, Independent Director</w:t>
            </w:r>
            <w:r>
              <w:rPr>
                <w:rFonts w:ascii="Times New Roman" w:cs="Times New Roman" w:eastAsia="Times New Roman" w:hAnsi="Times New Roman"/>
                <w:sz w:val="26"/>
                <w:szCs w:val="26"/>
                <w:color w:val="auto"/>
                <w:vertAlign w:val="superscript"/>
              </w:rPr>
              <w:t>(6)</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4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6"/>
                <w:szCs w:val="16"/>
                <w:color w:val="auto"/>
              </w:rPr>
              <w:t>Jiajia Lu, Independent Director</w:t>
            </w:r>
            <w:r>
              <w:rPr>
                <w:rFonts w:ascii="Times New Roman" w:cs="Times New Roman" w:eastAsia="Times New Roman" w:hAnsi="Times New Roman"/>
                <w:sz w:val="26"/>
                <w:szCs w:val="26"/>
                <w:color w:val="auto"/>
                <w:vertAlign w:val="superscript"/>
              </w:rPr>
              <w:t>(7)</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2024</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4" w:hanging="284"/>
        <w:spacing w:after="0"/>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Chairman effective as of December 9, 2017 and President effective from December 9, 2017 to August 19, 2020.</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Chief Executive Officer effective as of December 9, 2017.</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Chief Financial Officer effective as of December 17, 2020 and Acting Chief Financial Officer effective from November 1, 2019 to December 16, 2020.</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President effective as of July 1, 2024 and Chief Operating Officer from June 2019 to June 2024.</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4" w:right="319" w:bottom="1440" w:gutter="0" w:footer="0" w:header="0"/>
        </w:sectPr>
      </w:pPr>
    </w:p>
    <w:bookmarkStart w:id="111" w:name="page112"/>
    <w:bookmarkEnd w:id="111"/>
    <w:p>
      <w:pPr>
        <w:ind w:left="284" w:hanging="284"/>
        <w:spacing w:after="0"/>
        <w:tabs>
          <w:tab w:leader="none" w:pos="28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Independent Director effective as of January 2018.</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Independent Director effective as of September 2019.</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Appointed Independent Director effective as of June 2024.</w:t>
      </w:r>
    </w:p>
    <w:p>
      <w:pPr>
        <w:spacing w:after="0" w:line="201" w:lineRule="exact"/>
        <w:rPr>
          <w:sz w:val="20"/>
          <w:szCs w:val="20"/>
          <w:color w:val="auto"/>
        </w:rPr>
      </w:pPr>
    </w:p>
    <w:p>
      <w:pPr>
        <w:jc w:val="both"/>
        <w:ind w:left="4" w:firstLine="577"/>
        <w:spacing w:after="0" w:line="261" w:lineRule="auto"/>
        <w:rPr>
          <w:sz w:val="20"/>
          <w:szCs w:val="20"/>
          <w:color w:val="auto"/>
        </w:rPr>
      </w:pPr>
      <w:r>
        <w:rPr>
          <w:rFonts w:ascii="Times New Roman" w:cs="Times New Roman" w:eastAsia="Times New Roman" w:hAnsi="Times New Roman"/>
          <w:sz w:val="16"/>
          <w:szCs w:val="16"/>
          <w:color w:val="auto"/>
        </w:rPr>
        <w:t>Under Chinese labor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Compensation Committee Interlocks and Insider Participation</w:t>
      </w:r>
    </w:p>
    <w:p>
      <w:pPr>
        <w:spacing w:after="0" w:line="203" w:lineRule="exact"/>
        <w:rPr>
          <w:sz w:val="20"/>
          <w:szCs w:val="20"/>
          <w:color w:val="auto"/>
        </w:rPr>
      </w:pPr>
    </w:p>
    <w:p>
      <w:pPr>
        <w:jc w:val="both"/>
        <w:ind w:left="4" w:firstLine="577"/>
        <w:spacing w:after="0" w:line="283" w:lineRule="auto"/>
        <w:rPr>
          <w:sz w:val="20"/>
          <w:szCs w:val="20"/>
          <w:color w:val="auto"/>
        </w:rPr>
      </w:pPr>
      <w:r>
        <w:rPr>
          <w:rFonts w:ascii="Times New Roman" w:cs="Times New Roman" w:eastAsia="Times New Roman" w:hAnsi="Times New Roman"/>
          <w:sz w:val="16"/>
          <w:szCs w:val="16"/>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Outstanding Equity Incentive Awards at Fiscal Year-End</w:t>
      </w:r>
    </w:p>
    <w:p>
      <w:pPr>
        <w:spacing w:after="0" w:line="203" w:lineRule="exact"/>
        <w:rPr>
          <w:sz w:val="20"/>
          <w:szCs w:val="20"/>
          <w:color w:val="auto"/>
        </w:rPr>
      </w:pPr>
    </w:p>
    <w:p>
      <w:pPr>
        <w:jc w:val="both"/>
        <w:ind w:left="4" w:firstLine="577"/>
        <w:spacing w:after="0" w:line="259" w:lineRule="auto"/>
        <w:rPr>
          <w:sz w:val="20"/>
          <w:szCs w:val="20"/>
          <w:color w:val="auto"/>
        </w:rPr>
      </w:pPr>
      <w:r>
        <w:rPr>
          <w:rFonts w:ascii="Times New Roman" w:cs="Times New Roman" w:eastAsia="Times New Roman" w:hAnsi="Times New Roman"/>
          <w:sz w:val="16"/>
          <w:szCs w:val="16"/>
          <w:color w:val="auto"/>
        </w:rPr>
        <w:t>On April 24, 2023, our annual meeting of shareholders approved the 2023 Equity Incentive Plan (the “2023 Plan”). All of our employees, officers, and directors, and consultants are eligible to be granted options, restricted stock awards, stock unit awards, or stock appreciate rights (each, an “Award”) under the 2023 Plan. The 2023 Plan is currently administered by the Board, which has all the power to administer the 2023 Plan according to its terms, including the power to grant Awards, determine who may be granted Awards and the types and amounts of Awards to be granted, prescribe Award agreements, and establish programs for granting Awards. Awards may be made under the 2023 Plan for up to 20,000,000 of our common shares. 5,945,0960 restricted shares have been vested under the 2023 Plan as of today.</w:t>
      </w:r>
    </w:p>
    <w:p>
      <w:pPr>
        <w:spacing w:after="0" w:line="162" w:lineRule="exact"/>
        <w:rPr>
          <w:sz w:val="20"/>
          <w:szCs w:val="20"/>
          <w:color w:val="auto"/>
        </w:rPr>
      </w:pPr>
    </w:p>
    <w:p>
      <w:pPr>
        <w:jc w:val="both"/>
        <w:ind w:left="4" w:firstLine="577"/>
        <w:spacing w:after="0" w:line="257" w:lineRule="auto"/>
        <w:rPr>
          <w:sz w:val="20"/>
          <w:szCs w:val="20"/>
          <w:color w:val="auto"/>
        </w:rPr>
      </w:pPr>
      <w:r>
        <w:rPr>
          <w:rFonts w:ascii="Times New Roman" w:cs="Times New Roman" w:eastAsia="Times New Roman" w:hAnsi="Times New Roman"/>
          <w:sz w:val="16"/>
          <w:szCs w:val="16"/>
          <w:color w:val="auto"/>
        </w:rPr>
        <w:t>The 2023 Plan is a stock-based compensation plan that provides for discretionary grants of, among others, stock options, stock awards and stock unit awards to employees, directors and consultants of the Company and its subsidiaries. The purpose of the 2023 Plan is to attract and retain outstanding individuals as employees, directors and consultants of the Company and its subsidiaries, to recognize the contributions made to the Company and its subsidiaries by employees, directors and consultants, and to provide such employees, directors and consultants with additional incentive to expand and improve the profits and achieve the objectives of the Company and its subsidiaries, by providing such employees, directors and consultants with the opportunity to acquire or increase their proprietary interest in the Company through receipt of awards. The following is a summary of the 2023 Plan and is qualified by the full text of the 2023 Plan.</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796" w:right="339" w:bottom="1440" w:gutter="0" w:footer="0" w:header="0"/>
        </w:sectPr>
      </w:pPr>
    </w:p>
    <w:bookmarkStart w:id="112" w:name="page113"/>
    <w:bookmarkEnd w:id="112"/>
    <w:p>
      <w:pPr>
        <w:jc w:val="both"/>
        <w:ind w:firstLine="577"/>
        <w:spacing w:after="0" w:line="285"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The 2023 Plan is administered by our board of directors, or, once constituted, the Compensation Committee of the board of directors (we refer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body administering the 2023 Plan as the “Committee”).</w:t>
      </w:r>
    </w:p>
    <w:p>
      <w:pPr>
        <w:spacing w:after="0" w:line="140"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Number of Shares of Common Shares. </w:t>
      </w:r>
      <w:r>
        <w:rPr>
          <w:rFonts w:ascii="Times New Roman" w:cs="Times New Roman" w:eastAsia="Times New Roman" w:hAnsi="Times New Roman"/>
          <w:sz w:val="16"/>
          <w:szCs w:val="16"/>
          <w:color w:val="auto"/>
        </w:rPr>
        <w:t>The number of common shares that may be issued under the 2023 Plan is 20,000,000. Shares issuable under the 2023 Plan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authorized but unissued shares or treasury shares. The number of shares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that may be issued under the 2023 Plan. Any shares purchased by the Company with proceeds from a stock option exercise shall not again be available for issuance pursuant to subsequent awards, shall count against the aggregate number of shares that may be issued under the 2023 Plan and shall not increase the number of shares available under the 2023 Plan. If there is a lapse, forfeiture, expiration, termination or cancellation of any award for any reason, or if shares are issued under such award and thereafter are reacquired by the Company pursuant to rights reserved by the Company upon issuance thereof, the shares subject to such award or reacquired by the Company shall again be available for issuance pursuant to subsequent awards, and shall not count towards the aggregate number of shares that may be issued under the 2023 Plan.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All employees, directors, and consultants of the Company are eligible to receive awards under the 2023 Plan.</w:t>
      </w:r>
    </w:p>
    <w:p>
      <w:pPr>
        <w:spacing w:after="0" w:line="201" w:lineRule="exact"/>
        <w:rPr>
          <w:sz w:val="20"/>
          <w:szCs w:val="20"/>
          <w:color w:val="auto"/>
        </w:rPr>
      </w:pPr>
    </w:p>
    <w:p>
      <w:pPr>
        <w:jc w:val="both"/>
        <w:ind w:right="20" w:firstLine="577"/>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Awards to Participants. </w:t>
      </w:r>
      <w:r>
        <w:rPr>
          <w:rFonts w:ascii="Times New Roman" w:cs="Times New Roman" w:eastAsia="Times New Roman" w:hAnsi="Times New Roman"/>
          <w:sz w:val="16"/>
          <w:szCs w:val="16"/>
          <w:color w:val="auto"/>
        </w:rPr>
        <w:t>The Plan provides for discretionary awards of, among others, stock options, stock awards, stock unit awards and stock appreciation rights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Each award made under the 2023 Plan will be evidenced by a written award agreement specifying the terms and conditions of the award as determined by the Committee in its sole discretion, consistent with the terms of the 2023 Plan.</w:t>
      </w:r>
    </w:p>
    <w:p>
      <w:pPr>
        <w:spacing w:after="0" w:line="153"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Stock Options. </w:t>
      </w:r>
      <w:r>
        <w:rPr>
          <w:rFonts w:ascii="Times New Roman" w:cs="Times New Roman" w:eastAsia="Times New Roman" w:hAnsi="Times New Roman"/>
          <w:sz w:val="16"/>
          <w:szCs w:val="16"/>
          <w:color w:val="auto"/>
        </w:rPr>
        <w:t>Subject to the terms of the 2023 Plan, the Committee may from time to time grant stock options to participants. Stock Options granted under the 2023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Plan to employees shall be non-qualified stock options (NSOs) unless the award agreement expressly provides that the stock option is an incentive stock options (ISO). Stock options granted under the 2023 Plan to consultants and directors who are not employees shall be NSOs The grant of each stock option shall be evidenced by a written stock option agreement specifying the type of stock option granted, the exercise period, the exercise price, the terms for payment of the exercise price, the expiration date of the stock option, the number of shares to be subject to each stock option and such other terms and conditions established by the Committee, in its sole discretion, not inconsistent with the 2023 Plan.</w:t>
      </w:r>
    </w:p>
    <w:p>
      <w:pPr>
        <w:spacing w:after="0" w:line="165" w:lineRule="exact"/>
        <w:rPr>
          <w:sz w:val="20"/>
          <w:szCs w:val="20"/>
          <w:color w:val="auto"/>
        </w:rPr>
      </w:pPr>
    </w:p>
    <w:p>
      <w:pPr>
        <w:jc w:val="both"/>
        <w:ind w:right="20" w:firstLine="577"/>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Stock Awards. </w:t>
      </w:r>
      <w:r>
        <w:rPr>
          <w:rFonts w:ascii="Times New Roman" w:cs="Times New Roman" w:eastAsia="Times New Roman" w:hAnsi="Times New Roman"/>
          <w:sz w:val="16"/>
          <w:szCs w:val="16"/>
          <w:color w:val="auto"/>
        </w:rPr>
        <w:t>The Committee may, in its discretion, (a) grant shares under the 2023 Plan to any participant without consideration from such participant or (b) sell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under the 2023 Plan to any participant for such amount of cash, shares or other consideration as the Committee deems appropriate. Each shares granted or sold hereunder shall be subject to such restrictions, conditions and other terms as the Committee may determine at the time of grant or sale, the general provisions of the Plan, the restrictions, terms and conditions of the related Stock Award Agreement</w:t>
      </w:r>
    </w:p>
    <w:p>
      <w:pPr>
        <w:spacing w:after="0" w:line="159" w:lineRule="exact"/>
        <w:rPr>
          <w:sz w:val="20"/>
          <w:szCs w:val="20"/>
          <w:color w:val="auto"/>
        </w:rPr>
      </w:pPr>
    </w:p>
    <w:p>
      <w:pPr>
        <w:jc w:val="both"/>
        <w:ind w:right="20" w:firstLine="577"/>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Stock Unit Awards. </w:t>
      </w:r>
      <w:r>
        <w:rPr>
          <w:rFonts w:ascii="Times New Roman" w:cs="Times New Roman" w:eastAsia="Times New Roman" w:hAnsi="Times New Roman"/>
          <w:sz w:val="16"/>
          <w:szCs w:val="16"/>
          <w:color w:val="auto"/>
        </w:rPr>
        <w:t>The Committee may, in its discretion, grant stock unit awards to any participant. Each stock unit subject to the award shall entitle the participant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receive, on the date or the occurrence of an event (including the attainment of performance goals) as described in the stock unit award agreement, a share or cash equal to the fair market value of a share on the date of such event as provided in the stock unit award agreement.</w:t>
      </w:r>
    </w:p>
    <w:p>
      <w:pPr>
        <w:spacing w:after="0" w:line="153"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i w:val="1"/>
          <w:iCs w:val="1"/>
          <w:color w:val="auto"/>
        </w:rPr>
        <w:t xml:space="preserve">Stock Appreciation Rights or SAR. </w:t>
      </w:r>
      <w:r>
        <w:rPr>
          <w:rFonts w:ascii="Times New Roman" w:cs="Times New Roman" w:eastAsia="Times New Roman" w:hAnsi="Times New Roman"/>
          <w:sz w:val="16"/>
          <w:szCs w:val="16"/>
          <w:color w:val="auto"/>
        </w:rPr>
        <w:t>The Committee may grant SARs to participants. Upon exercise, a SAR entitles the participant to receive from the Company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number of 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13" w:name="page114"/>
    <w:bookmarkEnd w:id="113"/>
    <w:p>
      <w:pPr>
        <w:jc w:val="both"/>
        <w:ind w:firstLine="577"/>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Payment for Stock Options and Withholding Taxes. </w:t>
      </w:r>
      <w:r>
        <w:rPr>
          <w:rFonts w:ascii="Times New Roman" w:cs="Times New Roman" w:eastAsia="Times New Roman" w:hAnsi="Times New Roman"/>
          <w:sz w:val="16"/>
          <w:szCs w:val="16"/>
          <w:color w:val="auto"/>
        </w:rPr>
        <w:t>In connection with any award, and as a condition to the issuance or delivery of any Shares to the participant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 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otherwise issuable in connection with the award having an aggregate fair market value equal to the minimum amount of tax required to be withheld; (iv) by delivering previously acquired shares of the Company that are acceptable to the Board that have an aggregate fair market value equal to the amount required to be withheld; or (v) by certifying to ownership by attestation of such previously acquired shares. The Committee shall have the sole discretion to establish the terms and conditions applicable to any alternative made available for payment of the required withholding taxes.</w:t>
      </w:r>
    </w:p>
    <w:p>
      <w:pPr>
        <w:spacing w:after="0" w:line="169"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Amendment of Award Agreements; Amendment and Termination of the 2023 Plan; Term of the 2023 Plan. </w:t>
      </w:r>
      <w:r>
        <w:rPr>
          <w:rFonts w:ascii="Times New Roman" w:cs="Times New Roman" w:eastAsia="Times New Roman" w:hAnsi="Times New Roman"/>
          <w:sz w:val="16"/>
          <w:szCs w:val="16"/>
          <w:color w:val="auto"/>
        </w:rPr>
        <w:t>The Committee shall have the authority to amend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are listed. The Board may terminate, suspend, or amend the 2023 Plan, in whole or in part, from time to time, without the approval of the shareholders of the Company, unless such approval is required by applicable law, regulation or rule of any stock exchange on which the shares are listed. No amendment or termination of the 2023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are listed. Subject to the foregoing, the Committee may correct any defect or supply an omission or reconcile any inconsistency in the 2023 Plan or in any award granted hereunder in the manner and to the extent it shall deem desirable, in its sole discretion, to effectuate the 2023 Plan. The Board shall have the authority to amend the 2023 Plan to the extent necessary or appropriate to comply with applicable law, regulation or accounting rules in order to permit participants who are located outside of the United States to participate in the 2023 Plan. Notwithstanding anything to the contrary contained herein, no awards shall be granted on or after the tenth anniversary of the adoption of this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0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 Policy</w:t>
      </w:r>
    </w:p>
    <w:p>
      <w:pPr>
        <w:spacing w:after="0" w:line="203" w:lineRule="exact"/>
        <w:rPr>
          <w:sz w:val="20"/>
          <w:szCs w:val="20"/>
          <w:color w:val="auto"/>
        </w:rPr>
      </w:pPr>
    </w:p>
    <w:p>
      <w:pPr>
        <w:jc w:val="both"/>
        <w:ind w:right="20" w:firstLine="577"/>
        <w:spacing w:after="0" w:line="256" w:lineRule="auto"/>
        <w:rPr>
          <w:sz w:val="20"/>
          <w:szCs w:val="20"/>
          <w:color w:val="auto"/>
        </w:rPr>
      </w:pPr>
      <w:r>
        <w:rPr>
          <w:rFonts w:ascii="Times New Roman" w:cs="Times New Roman" w:eastAsia="Times New Roman" w:hAnsi="Times New Roman"/>
          <w:sz w:val="16"/>
          <w:szCs w:val="16"/>
          <w:color w:val="auto"/>
        </w:rPr>
        <w:t>On December 1, 2023, our board of directors adopted a clawback policy (the “Clawback Policy”) permitting the Company to seek the recoupment of incentive compensation received by any of the Company’s current and former executive officers (as determined by the board in accordance with Section 10D of the Exchange Act and the Nasdaq rules) and such other senior executives/employees who may from time to time be deemed subject to the Clawback Policy by the board (collectively, the “Covered Executives”).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If the board cannot determine the amount of excess incentive compensation received by the Covered Executive directly from the information in the accounting restatement, then it will make its determination based on a reasonable estimate of the effect of the accounting restatement. Refer to Exhibit 97.1 of this Annual Report for the Company’s Clawback Policy.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Xiao Feng Yang Employment Agreement</w:t>
      </w:r>
    </w:p>
    <w:p>
      <w:pPr>
        <w:spacing w:after="0" w:line="203"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This employment agreement was automatically terminated upon Mr. Yang’s resignation in August 2020. The Company has paid Mr. Yang any unpaid portion of his salary through the date of his termination, and any unpaid bonus through the date of termination, as well as any unpaid or unused portions of his benefits under the employment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14" w:name="page115"/>
    <w:bookmarkEnd w:id="114"/>
    <w:p>
      <w:pPr>
        <w:ind w:left="580"/>
        <w:spacing w:after="0"/>
        <w:rPr>
          <w:sz w:val="20"/>
          <w:szCs w:val="20"/>
          <w:color w:val="auto"/>
        </w:rPr>
      </w:pPr>
      <w:r>
        <w:rPr>
          <w:rFonts w:ascii="Times New Roman" w:cs="Times New Roman" w:eastAsia="Times New Roman" w:hAnsi="Times New Roman"/>
          <w:sz w:val="16"/>
          <w:szCs w:val="16"/>
          <w:i w:val="1"/>
          <w:iCs w:val="1"/>
          <w:color w:val="auto"/>
        </w:rPr>
        <w:t>Raymond Ming Hui Lin Employment Agreement</w:t>
      </w:r>
    </w:p>
    <w:p>
      <w:pPr>
        <w:spacing w:after="0" w:line="203"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Rui Yang Employment Agreement</w:t>
      </w:r>
    </w:p>
    <w:p>
      <w:pPr>
        <w:spacing w:after="0" w:line="203" w:lineRule="exact"/>
        <w:rPr>
          <w:sz w:val="20"/>
          <w:szCs w:val="20"/>
          <w:color w:val="auto"/>
        </w:rPr>
      </w:pPr>
    </w:p>
    <w:p>
      <w:pPr>
        <w:jc w:val="both"/>
        <w:ind w:firstLine="577"/>
        <w:spacing w:after="0" w:line="253" w:lineRule="auto"/>
        <w:rPr>
          <w:sz w:val="20"/>
          <w:szCs w:val="20"/>
          <w:color w:val="auto"/>
        </w:rPr>
      </w:pPr>
      <w:r>
        <w:rPr>
          <w:rFonts w:ascii="Times New Roman" w:cs="Times New Roman" w:eastAsia="Times New Roman" w:hAnsi="Times New Roman"/>
          <w:sz w:val="16"/>
          <w:szCs w:val="16"/>
          <w:color w:val="auto"/>
        </w:rPr>
        <w:t>On November 1, 2019, we entered into an employment agreement with Rui Yang pursuant to which she agreed to serve as our Acting Chief Financial Officer. Ms. Yang was appointed as Chief Financial Officer effective as of December 17, 2020.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Li Li Employment Agreement</w:t>
      </w:r>
    </w:p>
    <w:p>
      <w:pPr>
        <w:spacing w:after="0" w:line="203"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On June 2019, we entered into an employment agreement with Li Li pursuant to which he agreed to serve as our Chief Operating Officer. Mr. Li was appointed as President effective as of July 1, 2024. The agreement provides an annual salary of RMB 360,000 and HK$273,600 (approximately US$85,200) and 12,000 shares of common stock to be granted in June 2020.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165" w:lineRule="exact"/>
        <w:rPr>
          <w:sz w:val="20"/>
          <w:szCs w:val="20"/>
          <w:color w:val="auto"/>
        </w:rPr>
      </w:pPr>
    </w:p>
    <w:p>
      <w:pPr>
        <w:ind w:left="1160" w:hanging="587"/>
        <w:spacing w:after="0"/>
        <w:tabs>
          <w:tab w:leader="none" w:pos="116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Board Practices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Composition of Board; Risk Oversight</w:t>
      </w:r>
    </w:p>
    <w:p>
      <w:pPr>
        <w:spacing w:after="0" w:line="203"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15" w:name="page116"/>
    <w:bookmarkEnd w:id="115"/>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spacing w:after="0" w:line="156"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Director Independence</w:t>
      </w:r>
    </w:p>
    <w:p>
      <w:pPr>
        <w:spacing w:after="0" w:line="203"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Our board has reviewed the independence of our directors, applying the NASDAQ independence standards. Based on this review, the board determined that each of Jin He Shao, Kee Chong Seng, and Jiajia Lu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Board Committees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Currently, three committees have been established under the board: the Audit Committee, the Compensation Committee and the Nominating Committee.</w:t>
      </w:r>
    </w:p>
    <w:p>
      <w:pPr>
        <w:spacing w:after="0" w:line="201" w:lineRule="exact"/>
        <w:rPr>
          <w:sz w:val="20"/>
          <w:szCs w:val="20"/>
          <w:color w:val="auto"/>
        </w:rPr>
      </w:pPr>
    </w:p>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overseeing cybersecurity risk management, and other governance issues. The nominating committee considers diversity of opinion and experience when nominating directors.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Audit Committee will be responsible for, among other matters:</w:t>
      </w:r>
    </w:p>
    <w:p>
      <w:pPr>
        <w:spacing w:after="0" w:line="201" w:lineRule="exact"/>
        <w:rPr>
          <w:sz w:val="20"/>
          <w:szCs w:val="20"/>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compensating, retaining, evaluating, terminating, and overseeing our independent registered public accounting firm;</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our independent registered public accounting firm the independence of its members from its management;</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our independent registered public accounting firm the scope and results of their audit;</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all audit and permissible non-audit services to be performed by our independent registered public accounting firm;</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monitoring our accounting principles, accounting policies, financial and accounting controls, and compliance with legal and regulatory requirements;</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by our board of directors of our code of business conduct and our disclosure controls and procedures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and or anonymous submission of concerns regarding accounting, internal controls or auditing matters;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related-party transactions.</w:t>
      </w:r>
    </w:p>
    <w:p>
      <w:pPr>
        <w:spacing w:after="0" w:line="201"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Our Audit Committee consists of Jin He Shao, Kee Chong Seng, and Jiajia Lu,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Compensation Committee will be responsible for, among other matters:</w:t>
      </w:r>
    </w:p>
    <w:p>
      <w:pPr>
        <w:spacing w:after="0" w:line="201" w:lineRule="exact"/>
        <w:rPr>
          <w:sz w:val="20"/>
          <w:szCs w:val="20"/>
          <w:color w:val="auto"/>
        </w:rPr>
      </w:pPr>
    </w:p>
    <w:p>
      <w:pPr>
        <w:ind w:left="860" w:hanging="287"/>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to the board of directors to approve the compensation of our CEO and other executive officers and directors;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key employee compensation goals, policies, plans and programs;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administering incentive and equity-based compensation;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employment agreements and other similar arrangements between us and our executive officers;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and overseeing any compensation consultants or advisors.</w:t>
      </w:r>
    </w:p>
    <w:p>
      <w:pPr>
        <w:spacing w:after="0" w:line="201"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Our Compensation Committee consists of Jin He Shao, Kee Chong Seng, and Jiajia Lu,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Nominating Committee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Nominating Committee will be responsible for, among other matters:</w:t>
      </w:r>
    </w:p>
    <w:p>
      <w:pPr>
        <w:spacing w:after="0" w:line="201" w:lineRule="exact"/>
        <w:rPr>
          <w:sz w:val="20"/>
          <w:szCs w:val="20"/>
          <w:color w:val="auto"/>
        </w:rPr>
      </w:pPr>
    </w:p>
    <w:p>
      <w:pPr>
        <w:ind w:left="860" w:hanging="287"/>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or recommending for selection candidates for directorships;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independence of directors and director nominees;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regarding the structure and composition of our board and the board committees;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17" w:name="page118"/>
    <w:bookmarkEnd w:id="117"/>
    <w:p>
      <w:pPr>
        <w:ind w:left="860" w:hanging="287"/>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the board corporate governance principles and practices;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monitoring the Company’s Code of Business Conduct and Ethics;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Company’s management;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cybersecurity risk management.</w:t>
      </w:r>
    </w:p>
    <w:p>
      <w:pPr>
        <w:spacing w:after="0" w:line="201"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Our Nominating Committee consists of consists of Jin He Shao, Kee Chong Seng, and Jiajia Lu, with Ms. Lu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Duties of Directors</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62" w:lineRule="exact"/>
        <w:rPr>
          <w:sz w:val="20"/>
          <w:szCs w:val="20"/>
          <w:color w:val="auto"/>
        </w:rPr>
      </w:pPr>
    </w:p>
    <w:p>
      <w:pPr>
        <w:ind w:left="860" w:hanging="287"/>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the officers;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the payment of donations to religious, charitable, public or other bodies, clubs, funds or associations as deemed advisable;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the company and mortgaging the property of the company;</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executing checks, promissory notes and other negotiable instruments on behalf of the company; and</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or registering a register of mortgages, charges or other encumbrances of the company.</w:t>
      </w:r>
    </w:p>
    <w:p>
      <w:pPr>
        <w:spacing w:after="0" w:line="201"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62"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director is not required to hold shares as a qualification to office.</w:t>
      </w:r>
    </w:p>
    <w:p>
      <w:pPr>
        <w:spacing w:after="0" w:line="199" w:lineRule="exact"/>
        <w:rPr>
          <w:sz w:val="20"/>
          <w:szCs w:val="20"/>
          <w:color w:val="auto"/>
        </w:rPr>
      </w:pPr>
    </w:p>
    <w:p>
      <w:pPr>
        <w:ind w:left="1160" w:hanging="587"/>
        <w:spacing w:after="0"/>
        <w:tabs>
          <w:tab w:leader="none" w:pos="116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Employees</w:t>
      </w:r>
    </w:p>
    <w:p>
      <w:pPr>
        <w:spacing w:after="0" w:line="203" w:lineRule="exact"/>
        <w:rPr>
          <w:sz w:val="20"/>
          <w:szCs w:val="20"/>
          <w:color w:val="auto"/>
        </w:rPr>
      </w:pPr>
    </w:p>
    <w:p>
      <w:pPr>
        <w:ind w:firstLine="577"/>
        <w:spacing w:after="0" w:line="283" w:lineRule="auto"/>
        <w:rPr>
          <w:sz w:val="20"/>
          <w:szCs w:val="20"/>
          <w:color w:val="auto"/>
        </w:rPr>
      </w:pPr>
      <w:r>
        <w:rPr>
          <w:rFonts w:ascii="Times New Roman" w:cs="Times New Roman" w:eastAsia="Times New Roman" w:hAnsi="Times New Roman"/>
          <w:sz w:val="16"/>
          <w:szCs w:val="16"/>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0" w:type="dxa"/>
            <w:vAlign w:val="bottom"/>
          </w:tcPr>
          <w:p>
            <w:pPr>
              <w:spacing w:after="0"/>
              <w:rPr>
                <w:sz w:val="18"/>
                <w:szCs w:val="18"/>
                <w:color w:val="auto"/>
              </w:rPr>
            </w:pPr>
          </w:p>
        </w:tc>
        <w:tc>
          <w:tcPr>
            <w:tcW w:w="7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92"/>
        </w:trPr>
        <w:tc>
          <w:tcPr>
            <w:tcW w:w="7340" w:type="dxa"/>
            <w:vAlign w:val="bottom"/>
            <w:tcBorders>
              <w:top w:val="single" w:sz="8" w:color="CCEEFF"/>
            </w:tcBorders>
            <w:gridSpan w:val="2"/>
            <w:shd w:val="clear" w:color="auto" w:fill="CCEEFF"/>
          </w:tcPr>
          <w:p>
            <w:pPr>
              <w:jc w:val="right"/>
              <w:ind w:right="5820"/>
              <w:spacing w:after="0"/>
              <w:rPr>
                <w:sz w:val="20"/>
                <w:szCs w:val="20"/>
                <w:color w:val="auto"/>
              </w:rPr>
            </w:pPr>
            <w:r>
              <w:rPr>
                <w:rFonts w:ascii="Times New Roman" w:cs="Times New Roman" w:eastAsia="Times New Roman" w:hAnsi="Times New Roman"/>
                <w:sz w:val="16"/>
                <w:szCs w:val="16"/>
                <w:color w:val="auto"/>
                <w:w w:val="97"/>
              </w:rPr>
              <w:t>Number of Employees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20" w:type="dxa"/>
            <w:vAlign w:val="bottom"/>
            <w:tcBorders>
              <w:top w:val="single" w:sz="8" w:color="CCEEFF"/>
            </w:tcBorders>
            <w:shd w:val="clear" w:color="auto" w:fill="CCEEFF"/>
          </w:tcPr>
          <w:p>
            <w:pPr>
              <w:spacing w:after="0"/>
              <w:rPr>
                <w:sz w:val="16"/>
                <w:szCs w:val="16"/>
                <w:color w:val="auto"/>
              </w:rPr>
            </w:pPr>
          </w:p>
        </w:tc>
      </w:tr>
      <w:tr>
        <w:trPr>
          <w:trHeight w:val="385"/>
        </w:trPr>
        <w:tc>
          <w:tcPr>
            <w:tcW w:w="94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E.</w:t>
            </w:r>
          </w:p>
        </w:tc>
        <w:tc>
          <w:tcPr>
            <w:tcW w:w="7140" w:type="dxa"/>
            <w:vAlign w:val="bottom"/>
            <w:gridSpan w:val="2"/>
          </w:tcPr>
          <w:p>
            <w:pPr>
              <w:jc w:val="right"/>
              <w:ind w:right="5740"/>
              <w:spacing w:after="0"/>
              <w:rPr>
                <w:sz w:val="20"/>
                <w:szCs w:val="20"/>
                <w:color w:val="auto"/>
              </w:rPr>
            </w:pPr>
            <w:r>
              <w:rPr>
                <w:rFonts w:ascii="Times New Roman" w:cs="Times New Roman" w:eastAsia="Times New Roman" w:hAnsi="Times New Roman"/>
                <w:sz w:val="16"/>
                <w:szCs w:val="16"/>
                <w:b w:val="1"/>
                <w:bCs w:val="1"/>
                <w:color w:val="auto"/>
              </w:rPr>
              <w:t>Share Ownership</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7 below.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18" w:name="page119"/>
    <w:bookmarkEnd w:id="118"/>
    <w:p>
      <w:pPr>
        <w:ind w:left="4"/>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201" w:lineRule="exact"/>
        <w:rPr>
          <w:sz w:val="20"/>
          <w:szCs w:val="20"/>
          <w:color w:val="auto"/>
        </w:rPr>
      </w:pPr>
    </w:p>
    <w:p>
      <w:pPr>
        <w:ind w:left="1164" w:hanging="587"/>
        <w:spacing w:after="0"/>
        <w:tabs>
          <w:tab w:leader="none" w:pos="1164"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Major shareholders</w:t>
      </w:r>
    </w:p>
    <w:p>
      <w:pPr>
        <w:spacing w:after="0" w:line="203" w:lineRule="exact"/>
        <w:rPr>
          <w:sz w:val="20"/>
          <w:szCs w:val="20"/>
          <w:color w:val="auto"/>
        </w:rPr>
      </w:pPr>
    </w:p>
    <w:p>
      <w:pPr>
        <w:jc w:val="both"/>
        <w:ind w:left="4" w:right="20" w:firstLine="577"/>
        <w:spacing w:after="0" w:line="261"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62" w:lineRule="exact"/>
        <w:rPr>
          <w:sz w:val="20"/>
          <w:szCs w:val="20"/>
          <w:color w:val="auto"/>
        </w:rPr>
      </w:pPr>
    </w:p>
    <w:p>
      <w:pPr>
        <w:jc w:val="both"/>
        <w:ind w:left="4" w:right="20" w:firstLine="577"/>
        <w:spacing w:after="0" w:line="255" w:lineRule="auto"/>
        <w:rPr>
          <w:sz w:val="20"/>
          <w:szCs w:val="20"/>
          <w:color w:val="auto"/>
        </w:rPr>
      </w:pPr>
      <w:r>
        <w:rPr>
          <w:rFonts w:ascii="Times New Roman" w:cs="Times New Roman" w:eastAsia="Times New Roman" w:hAnsi="Times New Roman"/>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29,743,452 common shares outstanding as of October 6, 2025. Unless otherwise indicated, the address of each beneficial owner listed in the table below is c/o CLPS Incorporation, c/o Unit 1000, 10th Floor, Millennium City III, 370 Kwun Tong Road, Kwun Tong, Kowloon, Hong Kong SAR.</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215"/>
        </w:trPr>
        <w:tc>
          <w:tcPr>
            <w:tcW w:w="8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 Feng Yang (2)(7)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5,792,950</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Raymond Ming Hui Lin (3)(6)(7)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8,632,873</w:t>
            </w:r>
          </w:p>
        </w:tc>
        <w:tc>
          <w:tcPr>
            <w:tcW w:w="22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Rui Yang (4)(6)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1,116,688</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 Li (6)(8)</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1,163,863</w:t>
            </w:r>
          </w:p>
        </w:tc>
        <w:tc>
          <w:tcPr>
            <w:tcW w:w="22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Jin He Shao (5)(7)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Kee Chong Seng (7)(10)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38,500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Jiajia Lu (7)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8,000</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All directors and executive officers as a group (7 persons)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16,777,874</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56.41%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Qinrui Ltd. (2)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4,976,000</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Qinhui Ltd. (3)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6,999,996</w:t>
            </w:r>
          </w:p>
        </w:tc>
        <w:tc>
          <w:tcPr>
            <w:tcW w:w="220" w:type="dxa"/>
            <w:vAlign w:val="bottom"/>
          </w:tcPr>
          <w:p>
            <w:pPr>
              <w:spacing w:after="0"/>
              <w:rPr>
                <w:sz w:val="16"/>
                <w:szCs w:val="16"/>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23.53%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5% or greater beneficial owners as a group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11,975,996</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40.26%</w:t>
            </w:r>
          </w:p>
        </w:tc>
        <w:tc>
          <w:tcPr>
            <w:tcW w:w="0" w:type="dxa"/>
            <w:vAlign w:val="bottom"/>
          </w:tcPr>
          <w:p>
            <w:pPr>
              <w:spacing w:after="0"/>
              <w:rPr>
                <w:sz w:val="1"/>
                <w:szCs w:val="1"/>
                <w:color w:val="auto"/>
              </w:rPr>
            </w:pPr>
          </w:p>
        </w:tc>
      </w:tr>
      <w:tr>
        <w:trPr>
          <w:trHeight w:val="366"/>
        </w:trPr>
        <w:tc>
          <w:tcPr>
            <w:tcW w:w="8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Less than 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84" w:right="20" w:hanging="284"/>
        <w:spacing w:after="0" w:line="283" w:lineRule="auto"/>
        <w:tabs>
          <w:tab w:leader="none" w:pos="28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is determined in accordance with the rules of the SEC and includes voting or investment power with respect to the common shares or the power to receive the economic benefit of the common shares.</w:t>
      </w:r>
    </w:p>
    <w:p>
      <w:pPr>
        <w:spacing w:after="0" w:line="143" w:lineRule="exact"/>
        <w:rPr>
          <w:rFonts w:ascii="Times New Roman" w:cs="Times New Roman" w:eastAsia="Times New Roman" w:hAnsi="Times New Roman"/>
          <w:sz w:val="16"/>
          <w:szCs w:val="16"/>
          <w:color w:val="auto"/>
        </w:rPr>
      </w:pPr>
    </w:p>
    <w:p>
      <w:pPr>
        <w:jc w:val="both"/>
        <w:ind w:left="284" w:hanging="284"/>
        <w:spacing w:after="0" w:line="255" w:lineRule="auto"/>
        <w:tabs>
          <w:tab w:leader="none" w:pos="28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From September 24, 2021 to September 24, 2022, a total of 220,823 shares were disposed of in various occasions, resulting in the net increased holding of 49,177 shares. Represents vested portion of the restricted stock granted dated as of November 14, 2022. The total grant of 50,000 common shares vests in whole immediately on the grant date of award. Represents vested portion of the restricted stock granted dated as of August 16, 2023. The total grant of 75,000 common shares vests in whole immediately on the grant date of award. Represents vested portion of the restricted stock granted dated as of July 11, 2024. The total grant of 75,000 common shares vests in whole immediately on the grant date of award. Represents vested portion of the restricted stock granted dated as of August 18, 2025. The total grant of 50,000 common shares vests in whole immediately on the grant date of award.</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4" w:right="319" w:bottom="1440" w:gutter="0" w:footer="0" w:header="0"/>
        </w:sectPr>
      </w:pPr>
    </w:p>
    <w:bookmarkStart w:id="119" w:name="page120"/>
    <w:bookmarkEnd w:id="119"/>
    <w:p>
      <w:pPr>
        <w:jc w:val="both"/>
        <w:ind w:left="284" w:hanging="284"/>
        <w:spacing w:after="0" w:line="255" w:lineRule="auto"/>
        <w:tabs>
          <w:tab w:leader="none" w:pos="28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From September 24, 2021 to September 24, 2022, a total of 100,211 shares were disposed of in various occasions, resulting in the net increased holding of 716,789 shares. Represents vested portion of the restricted stock granted dated as of November 14, 2022. The total grant of 325,000 common shares vests in whole immediately on the grant date of award. Represents vested portion of the restricted stock granted dated as of August 16, 2023. The total grant of 530,000 common shares vests in whole immediately on the grant date of award. Represents vested portion of the restricted stock granted dated as of July 11, 2024. The total grant of 536,000 common shares vests in whole immediately on the grant date of award. Represents vested portion of the restricted stock granted dated as of July 11, 2024. The total grant of 536,000 common shares vests in whole immediately on the grant date of award. Represents vested portion of the restricted stock granted dated as of August 18, 2025. The total grant of 491,000 common shares vests in whole immediately on the grant date of award.</w:t>
      </w:r>
    </w:p>
    <w:p>
      <w:pPr>
        <w:spacing w:after="0" w:line="164" w:lineRule="exact"/>
        <w:rPr>
          <w:rFonts w:ascii="Times New Roman" w:cs="Times New Roman" w:eastAsia="Times New Roman" w:hAnsi="Times New Roman"/>
          <w:sz w:val="16"/>
          <w:szCs w:val="16"/>
          <w:color w:val="auto"/>
        </w:rPr>
      </w:pPr>
    </w:p>
    <w:p>
      <w:pPr>
        <w:jc w:val="both"/>
        <w:ind w:left="284" w:hanging="284"/>
        <w:spacing w:after="0" w:line="261" w:lineRule="auto"/>
        <w:tabs>
          <w:tab w:leader="none" w:pos="28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September 24, 2021 to September 24, 2022, a total of 31,120 shares were disposed of in various occasions, resulting in the net increased holding of 180,880 shares. Represents vested portion of the restricted stock granted dated as of August 23, 2021. The total grant of 48,000 common shares and 12,000 vest on November 1, 2022.</w:t>
      </w:r>
    </w:p>
    <w:p>
      <w:pPr>
        <w:spacing w:after="0" w:line="1" w:lineRule="exact"/>
        <w:rPr>
          <w:rFonts w:ascii="Times New Roman" w:cs="Times New Roman" w:eastAsia="Times New Roman" w:hAnsi="Times New Roman"/>
          <w:sz w:val="16"/>
          <w:szCs w:val="16"/>
          <w:color w:val="auto"/>
        </w:rPr>
      </w:pPr>
    </w:p>
    <w:p>
      <w:pPr>
        <w:jc w:val="both"/>
        <w:ind w:left="284" w:right="20" w:firstLine="94"/>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November 14, 2022. The total grant of 150,000 common shares vests in whole immediately on the grant date of award. Represents vested portion of the restricted stock granted dated as of August 16, 2023. The total grant of 250,000 common shares vests in whole immediately on the grant date of award. From September 24, 2022 to September 24, 2023, a total of 28,738 shares were disposed of in various occasions, resulting in the net increased holding of 383,262 shares. Represents vested portion of the restricted stock granted dated as of July 11, 2024. The total grant of 300,000 common shares vests in whole immediately on the grant date of award. Represents vested portion of the restricted stock granted dated as of August 18, 2025. The total grant of 150,000 common shares vests in whole immediately on the grant date of award.</w:t>
      </w:r>
    </w:p>
    <w:p>
      <w:pPr>
        <w:spacing w:after="0" w:line="166" w:lineRule="exact"/>
        <w:rPr>
          <w:rFonts w:ascii="Times New Roman" w:cs="Times New Roman" w:eastAsia="Times New Roman" w:hAnsi="Times New Roman"/>
          <w:sz w:val="16"/>
          <w:szCs w:val="16"/>
          <w:color w:val="auto"/>
        </w:rPr>
      </w:pPr>
    </w:p>
    <w:p>
      <w:pPr>
        <w:jc w:val="both"/>
        <w:ind w:left="284" w:hanging="284"/>
        <w:spacing w:after="0" w:line="259" w:lineRule="auto"/>
        <w:tabs>
          <w:tab w:leader="none" w:pos="28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 Represents vested portion of the restricted stock granted dated as of August 18, 2025. The total grant of 5,000 common shares vests in whole immediately on the grant date of award.</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20" w:name="page121"/>
    <w:bookmarkEnd w:id="120"/>
    <w:p>
      <w:pPr>
        <w:ind w:left="284" w:hanging="284"/>
        <w:spacing w:after="0"/>
        <w:tabs>
          <w:tab w:leader="none" w:pos="2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officer.</w:t>
      </w:r>
    </w:p>
    <w:p>
      <w:pPr>
        <w:spacing w:after="0" w:line="200"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w:t>
      </w:r>
    </w:p>
    <w:p>
      <w:pPr>
        <w:spacing w:after="0" w:line="200" w:lineRule="exact"/>
        <w:rPr>
          <w:rFonts w:ascii="Times New Roman" w:cs="Times New Roman" w:eastAsia="Times New Roman" w:hAnsi="Times New Roman"/>
          <w:sz w:val="16"/>
          <w:szCs w:val="16"/>
          <w:color w:val="auto"/>
        </w:rPr>
      </w:pPr>
    </w:p>
    <w:p>
      <w:pPr>
        <w:jc w:val="both"/>
        <w:ind w:left="284" w:hanging="284"/>
        <w:spacing w:after="0" w:line="255" w:lineRule="auto"/>
        <w:tabs>
          <w:tab w:leader="none" w:pos="2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September 24, 2021 to September 24, 2022, a total of 22,671 shares were disposed of in various occasions, resulting in the net increased holding of 299,329 shares. Represents vested portion of the restricted stock granted dated as of August 23, 2021. The total grant of 76,000 common shares and 22,000 vest on June 11, 2022. Represents vested portion of the restricted stock granted dated as of November 14, 2022. The total grant of 100,000 common shares vests in whole immediately on the grant date of award. Represents vested portion of the restricted stock granted dated as of August 16, 2023. The total grant of 150,000 common shares vests in whole immediately on the grant date of award. From September 24, 2022 to September 24, 2023, a total of 12,725 shares were acquired from the market. Represents vested portion of the restricted stock granted dated as of July 11, 2024. The total grant of 150,000 common shares vests in whole immediately on the grant date of award. Represents vested portion of the restricted stock granted dated as of August 18, 2025. The total grant of 150,000 common shares vests in whole immediately on the grant date of award.</w:t>
      </w:r>
    </w:p>
    <w:p>
      <w:pPr>
        <w:spacing w:after="0" w:line="167" w:lineRule="exact"/>
        <w:rPr>
          <w:rFonts w:ascii="Times New Roman" w:cs="Times New Roman" w:eastAsia="Times New Roman" w:hAnsi="Times New Roman"/>
          <w:sz w:val="16"/>
          <w:szCs w:val="16"/>
          <w:color w:val="auto"/>
        </w:rPr>
      </w:pPr>
    </w:p>
    <w:p>
      <w:pPr>
        <w:jc w:val="both"/>
        <w:ind w:left="284" w:hanging="284"/>
        <w:spacing w:after="0" w:line="259" w:lineRule="auto"/>
        <w:tabs>
          <w:tab w:leader="none" w:pos="2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 Represents vested portion of the restricted stock granted dated as of August 18, 2025. The total grant of 5,000 common shares vests in whole immediately on the grant date of award.</w:t>
      </w:r>
    </w:p>
    <w:p>
      <w:pPr>
        <w:spacing w:after="0" w:line="161" w:lineRule="exact"/>
        <w:rPr>
          <w:rFonts w:ascii="Times New Roman" w:cs="Times New Roman" w:eastAsia="Times New Roman" w:hAnsi="Times New Roman"/>
          <w:sz w:val="16"/>
          <w:szCs w:val="16"/>
          <w:color w:val="auto"/>
        </w:rPr>
      </w:pPr>
    </w:p>
    <w:p>
      <w:pPr>
        <w:jc w:val="both"/>
        <w:ind w:left="284" w:hanging="284"/>
        <w:spacing w:after="0" w:line="259" w:lineRule="auto"/>
        <w:tabs>
          <w:tab w:leader="none" w:pos="28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vested portion of the restricted stock granted dated as of November 14, 2022. The total grant of 2,000 common shares vests in whole immediately on the grant date of award. Represents vested portion of the restricted stock granted dated as of August 16, 2023. The total grant of 3,000 common shares vests in whole immediately on the grant date of award. Represents vested portion of the restricted stock granted dated as of July 11, 2024. The total grant of 3,000 common shares vests in whole immediately on the grant date of award. Represents vested portion of the restricted stock granted dated as of August 18, 2025. The total grant of 5,000 common shares vests in whole immediately on the grant date of award.</w:t>
      </w:r>
    </w:p>
    <w:p>
      <w:pPr>
        <w:spacing w:after="0" w:line="162" w:lineRule="exact"/>
        <w:rPr>
          <w:sz w:val="20"/>
          <w:szCs w:val="20"/>
          <w:color w:val="auto"/>
        </w:rPr>
      </w:pPr>
    </w:p>
    <w:p>
      <w:pPr>
        <w:jc w:val="both"/>
        <w:ind w:left="4" w:right="20" w:firstLine="577"/>
        <w:spacing w:after="0" w:line="259" w:lineRule="auto"/>
        <w:rPr>
          <w:sz w:val="20"/>
          <w:szCs w:val="20"/>
          <w:color w:val="auto"/>
        </w:rPr>
      </w:pPr>
      <w:r>
        <w:rPr>
          <w:rFonts w:ascii="Times New Roman" w:cs="Times New Roman" w:eastAsia="Times New Roman" w:hAnsi="Times New Roman"/>
          <w:sz w:val="16"/>
          <w:szCs w:val="16"/>
          <w:color w:val="auto"/>
        </w:rPr>
        <w:t>As of October 6, 2025, there were 21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21" w:name="page122"/>
    <w:bookmarkEnd w:id="121"/>
    <w:p>
      <w:pPr>
        <w:ind w:left="1164" w:hanging="587"/>
        <w:spacing w:after="0"/>
        <w:tabs>
          <w:tab w:leader="none" w:pos="1164"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03" w:lineRule="exact"/>
        <w:rPr>
          <w:sz w:val="20"/>
          <w:szCs w:val="20"/>
          <w:color w:val="auto"/>
        </w:rPr>
      </w:pPr>
    </w:p>
    <w:p>
      <w:pPr>
        <w:ind w:left="4" w:right="20" w:firstLine="577"/>
        <w:spacing w:after="0" w:line="283" w:lineRule="auto"/>
        <w:rPr>
          <w:sz w:val="20"/>
          <w:szCs w:val="20"/>
          <w:color w:val="auto"/>
        </w:rPr>
      </w:pPr>
      <w:r>
        <w:rPr>
          <w:rFonts w:ascii="Times New Roman" w:cs="Times New Roman" w:eastAsia="Times New Roman" w:hAnsi="Times New Roman"/>
          <w:sz w:val="16"/>
          <w:szCs w:val="16"/>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in 2025 and 2024 consisted of:</w:t>
      </w:r>
    </w:p>
    <w:p>
      <w:pPr>
        <w:spacing w:after="0" w:line="14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Related Party</w:t>
            </w: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Relationship with the Company</w:t>
            </w:r>
          </w:p>
        </w:tc>
      </w:tr>
      <w:tr>
        <w:trPr>
          <w:trHeight w:val="192"/>
        </w:trPr>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 Feng Yang</w:t>
            </w:r>
          </w:p>
        </w:tc>
        <w:tc>
          <w:tcPr>
            <w:tcW w:w="220" w:type="dxa"/>
            <w:vAlign w:val="bottom"/>
            <w:tcBorders>
              <w:top w:val="single" w:sz="8" w:color="CCEEFF"/>
            </w:tcBorders>
            <w:shd w:val="clear" w:color="auto" w:fill="CCEEFF"/>
          </w:tcPr>
          <w:p>
            <w:pPr>
              <w:spacing w:after="0"/>
              <w:rPr>
                <w:sz w:val="16"/>
                <w:szCs w:val="16"/>
                <w:color w:val="auto"/>
              </w:rPr>
            </w:pPr>
          </w:p>
        </w:tc>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Chairman of the Board</w:t>
            </w:r>
          </w:p>
        </w:tc>
      </w:tr>
      <w:tr>
        <w:trPr>
          <w:trHeight w:val="192"/>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Raymond Ming Hui Lin</w:t>
            </w: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CEO of the Company</w:t>
            </w:r>
          </w:p>
        </w:tc>
      </w:tr>
      <w:tr>
        <w:trPr>
          <w:trHeight w:val="192"/>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EMIT</w:t>
            </w:r>
          </w:p>
        </w:tc>
        <w:tc>
          <w:tcPr>
            <w:tcW w:w="4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Equity investee of the Company</w:t>
            </w:r>
          </w:p>
        </w:tc>
      </w:tr>
      <w:tr>
        <w:trPr>
          <w:trHeight w:val="192"/>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Beijing Bright Technology Co., Ltd (“Beijing Bright”)</w:t>
            </w: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Noncontrolling interest shareholder of JAJI China</w:t>
            </w:r>
          </w:p>
        </w:tc>
      </w:tr>
      <w:tr>
        <w:trPr>
          <w:trHeight w:val="192"/>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UniDev</w:t>
            </w:r>
          </w:p>
        </w:tc>
        <w:tc>
          <w:tcPr>
            <w:tcW w:w="4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Equity investee of the Company</w:t>
            </w:r>
          </w:p>
        </w:tc>
      </w:tr>
      <w:tr>
        <w:trPr>
          <w:trHeight w:val="192"/>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Fuson Group Limited (“Fuson”)</w:t>
            </w: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Equity investee of the Company</w:t>
            </w:r>
          </w:p>
        </w:tc>
      </w:tr>
      <w:tr>
        <w:trPr>
          <w:trHeight w:val="192"/>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MCT</w:t>
            </w:r>
          </w:p>
        </w:tc>
        <w:tc>
          <w:tcPr>
            <w:tcW w:w="4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Noncontrolling interest shareholder of MSCT</w:t>
            </w:r>
          </w:p>
        </w:tc>
      </w:tr>
      <w:tr>
        <w:trPr>
          <w:trHeight w:val="385"/>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(a)</w:t>
            </w:r>
          </w:p>
        </w:tc>
        <w:tc>
          <w:tcPr>
            <w:tcW w:w="5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Related party balances</w:t>
            </w:r>
          </w:p>
        </w:tc>
        <w:tc>
          <w:tcPr>
            <w:tcW w:w="5520" w:type="dxa"/>
            <w:vAlign w:val="bottom"/>
          </w:tcPr>
          <w:p>
            <w:pPr>
              <w:spacing w:after="0"/>
              <w:rPr>
                <w:sz w:val="24"/>
                <w:szCs w:val="24"/>
                <w:color w:val="auto"/>
              </w:rPr>
            </w:pPr>
          </w:p>
        </w:tc>
      </w:tr>
    </w:tbl>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from related parties, current:</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Fuson Group (a)</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4,752,065</w:t>
            </w: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3,653,356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provision of credit losses</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(253,700)</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(94,247)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4,374,595</w:t>
            </w:r>
          </w:p>
        </w:tc>
        <w:tc>
          <w:tcPr>
            <w:tcW w:w="3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3,559,109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related parties, non-current: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Fuson Group (b)</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2,069,730</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(123,770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vMerge w:val="continue"/>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1,945,960</w:t>
            </w:r>
          </w:p>
        </w:tc>
        <w:tc>
          <w:tcPr>
            <w:tcW w:w="2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2,374,298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Due from related parties mainly represents loan unreceived IT service fee from Fuson Group.</w:t>
      </w:r>
    </w:p>
    <w:p>
      <w:pPr>
        <w:spacing w:after="0" w:line="201" w:lineRule="exact"/>
        <w:rPr>
          <w:sz w:val="20"/>
          <w:szCs w:val="20"/>
          <w:color w:val="auto"/>
        </w:rPr>
      </w:pPr>
    </w:p>
    <w:p>
      <w:pPr>
        <w:ind w:left="284" w:right="20" w:hanging="284"/>
        <w:spacing w:after="0" w:line="283" w:lineRule="auto"/>
        <w:tabs>
          <w:tab w:leader="none" w:pos="2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as of June 30, 2025 represents loans due from Fuson Group with interest rates ranging from 4.00% to 4.10%, which should be paid within one year. The balance as of June 30, 2024 represents loans due from Fuson Group with interest rates ranging from 2.90% to 5.35%, which should be paid within one year.</w:t>
      </w:r>
    </w:p>
    <w:p>
      <w:pPr>
        <w:spacing w:after="0" w:line="14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loans due from Fuson Group with 6.50% interest rate, which should be paid within 42 months.</w:t>
      </w:r>
    </w:p>
    <w:p>
      <w:pPr>
        <w:spacing w:after="0" w:line="201"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6"/>
          <w:szCs w:val="16"/>
          <w:color w:val="auto"/>
        </w:rPr>
        <w:t>Loans due from Fuson Group are carried at the original loan principal balances less allowance for credit loss. The accrued interests are insignificant for all the periods presented. The estimated credit losses charged to the allowance is classified as “General and administrative expenses” in the consolidated statements of comprehensive (loss) income. In determining the amount of the allowance for credit losses, the Company considered the financial conditions of Fuson Group and adjusted for various qualitative factors that reflect current conditions and reasonable and supportable forecasts of future economic conditions.</w:t>
      </w:r>
    </w:p>
    <w:p>
      <w:pPr>
        <w:sectPr>
          <w:pgSz w:w="11900" w:h="16838" w:orient="portrait"/>
          <w:cols w:equalWidth="0" w:num="1">
            <w:col w:w="11264"/>
          </w:cols>
          <w:pgMar w:left="316" w:top="79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Balance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1475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7560" cy="137160"/>
                    </a:xfrm>
                    <a:prstGeom prst="rect">
                      <a:avLst/>
                    </a:prstGeom>
                    <a:noFill/>
                  </pic:spPr>
                </pic:pic>
              </a:graphicData>
            </a:graphic>
          </wp:anchor>
        </w:drawing>
      </w:r>
    </w:p>
    <w:p>
      <w:pPr>
        <w:spacing w:after="0" w:line="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Provision for credit losses</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Recovery of 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7560" cy="1219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Balance at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7147560" cy="168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75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17145</wp:posOffset>
            </wp:positionV>
            <wp:extent cx="156527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65275" cy="15240"/>
                    </a:xfrm>
                    <a:prstGeom prst="rect">
                      <a:avLst/>
                    </a:prstGeom>
                    <a:noFill/>
                  </pic:spPr>
                </pic:pic>
              </a:graphicData>
            </a:graphic>
          </wp:anchor>
        </w:drawing>
      </w:r>
    </w:p>
    <w:p>
      <w:pPr>
        <w:spacing w:after="0" w:line="2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34" w:lineRule="exact"/>
        <w:rPr>
          <w:sz w:val="20"/>
          <w:szCs w:val="20"/>
          <w:color w:val="auto"/>
        </w:rPr>
      </w:pPr>
    </w:p>
    <w:p>
      <w:pPr>
        <w:ind w:left="200"/>
        <w:spacing w:after="0"/>
        <w:tabs>
          <w:tab w:leader="none" w:pos="1880" w:val="left"/>
        </w:tabs>
        <w:rPr>
          <w:sz w:val="20"/>
          <w:szCs w:val="20"/>
          <w:color w:val="auto"/>
        </w:rPr>
      </w:pPr>
      <w:r>
        <w:rPr>
          <w:rFonts w:ascii="Times New Roman" w:cs="Times New Roman" w:eastAsia="Times New Roman" w:hAnsi="Times New Roman"/>
          <w:sz w:val="16"/>
          <w:szCs w:val="16"/>
          <w:color w:val="auto"/>
        </w:rPr>
        <w:t>225,788</w:t>
      </w:r>
      <w:r>
        <w:rPr>
          <w:sz w:val="20"/>
          <w:szCs w:val="20"/>
          <w:color w:val="auto"/>
        </w:rPr>
        <w:tab/>
      </w:r>
      <w:r>
        <w:rPr>
          <w:rFonts w:ascii="Times New Roman" w:cs="Times New Roman" w:eastAsia="Times New Roman" w:hAnsi="Times New Roman"/>
          <w:sz w:val="16"/>
          <w:szCs w:val="16"/>
          <w:color w:val="auto"/>
        </w:rPr>
        <w:t>—</w:t>
      </w:r>
    </w:p>
    <w:p>
      <w:pPr>
        <w:spacing w:after="0" w:line="25" w:lineRule="exact"/>
        <w:rPr>
          <w:sz w:val="20"/>
          <w:szCs w:val="20"/>
          <w:color w:val="auto"/>
        </w:rPr>
      </w:pPr>
    </w:p>
    <w:p>
      <w:pPr>
        <w:ind w:left="200"/>
        <w:spacing w:after="0"/>
        <w:tabs>
          <w:tab w:leader="none" w:pos="1520" w:val="left"/>
        </w:tabs>
        <w:rPr>
          <w:sz w:val="20"/>
          <w:szCs w:val="20"/>
          <w:color w:val="auto"/>
        </w:rPr>
      </w:pPr>
      <w:r>
        <w:rPr>
          <w:rFonts w:ascii="Times New Roman" w:cs="Times New Roman" w:eastAsia="Times New Roman" w:hAnsi="Times New Roman"/>
          <w:sz w:val="16"/>
          <w:szCs w:val="16"/>
          <w:color w:val="auto"/>
        </w:rPr>
        <w:t>237,747</w:t>
      </w:r>
      <w:r>
        <w:rPr>
          <w:sz w:val="20"/>
          <w:szCs w:val="20"/>
          <w:color w:val="auto"/>
        </w:rPr>
        <w:tab/>
      </w:r>
      <w:r>
        <w:rPr>
          <w:rFonts w:ascii="Times New Roman" w:cs="Times New Roman" w:eastAsia="Times New Roman" w:hAnsi="Times New Roman"/>
          <w:sz w:val="16"/>
          <w:szCs w:val="16"/>
          <w:color w:val="auto"/>
        </w:rPr>
        <w:t>225,788</w:t>
      </w:r>
    </w:p>
    <w:p>
      <w:pPr>
        <w:spacing w:after="0" w:line="8" w:lineRule="exact"/>
        <w:rPr>
          <w:sz w:val="20"/>
          <w:szCs w:val="20"/>
          <w:color w:val="auto"/>
        </w:rPr>
      </w:pPr>
    </w:p>
    <w:p>
      <w:pPr>
        <w:jc w:val="both"/>
        <w:ind w:left="240"/>
        <w:spacing w:after="0"/>
        <w:tabs>
          <w:tab w:leader="none" w:pos="1880" w:val="left"/>
        </w:tabs>
        <w:rPr>
          <w:sz w:val="20"/>
          <w:szCs w:val="20"/>
          <w:color w:val="auto"/>
        </w:rPr>
      </w:pPr>
      <w:r>
        <w:rPr>
          <w:rFonts w:ascii="Times New Roman" w:cs="Times New Roman" w:eastAsia="Times New Roman" w:hAnsi="Times New Roman"/>
          <w:sz w:val="16"/>
          <w:szCs w:val="16"/>
          <w:color w:val="auto"/>
        </w:rPr>
        <w:t>(86,235)</w:t>
      </w:r>
      <w:r>
        <w:rPr>
          <w:sz w:val="20"/>
          <w:szCs w:val="20"/>
          <w:color w:val="auto"/>
        </w:rPr>
        <w:tab/>
      </w:r>
      <w:r>
        <w:rPr>
          <w:rFonts w:ascii="Times New Roman" w:cs="Times New Roman" w:eastAsia="Times New Roman" w:hAnsi="Times New Roman"/>
          <w:sz w:val="16"/>
          <w:szCs w:val="16"/>
          <w:color w:val="auto"/>
        </w:rPr>
        <w:t>—</w:t>
      </w:r>
    </w:p>
    <w:p>
      <w:pPr>
        <w:spacing w:after="0" w:line="8" w:lineRule="exact"/>
        <w:rPr>
          <w:sz w:val="20"/>
          <w:szCs w:val="20"/>
          <w:color w:val="auto"/>
        </w:rPr>
      </w:pPr>
    </w:p>
    <w:p>
      <w:pPr>
        <w:ind w:left="1900" w:hanging="1412"/>
        <w:spacing w:after="0"/>
        <w:tabs>
          <w:tab w:leader="none" w:pos="19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2" w:lineRule="exact"/>
        <w:rPr>
          <w:rFonts w:ascii="Times New Roman" w:cs="Times New Roman" w:eastAsia="Times New Roman" w:hAnsi="Times New Roman"/>
          <w:sz w:val="16"/>
          <w:szCs w:val="16"/>
          <w:color w:val="auto"/>
        </w:rPr>
      </w:pPr>
    </w:p>
    <w:p>
      <w:pPr>
        <w:ind w:left="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377,470225,788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38735</wp:posOffset>
            </wp:positionV>
            <wp:extent cx="156527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65275" cy="15240"/>
                    </a:xfrm>
                    <a:prstGeom prst="rect">
                      <a:avLst/>
                    </a:prstGeom>
                    <a:noFill/>
                  </pic:spPr>
                </pic:pic>
              </a:graphicData>
            </a:graphic>
          </wp:anchor>
        </w:drawing>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7" w:lineRule="exact"/>
        <w:rPr>
          <w:sz w:val="20"/>
          <w:szCs w:val="20"/>
          <w:color w:val="auto"/>
        </w:rPr>
      </w:pPr>
    </w:p>
    <w:p>
      <w:pPr>
        <w:sectPr>
          <w:pgSz w:w="11900" w:h="16838" w:orient="portrait"/>
          <w:cols w:equalWidth="0" w:num="2">
            <w:col w:w="8364" w:space="720"/>
            <w:col w:w="2180"/>
          </w:cols>
          <w:pgMar w:left="316" w:top="794" w:right="319" w:bottom="1440" w:gutter="0" w:footer="0" w:header="0"/>
          <w:type w:val="continuous"/>
        </w:sectPr>
      </w:pPr>
    </w:p>
    <w:tbl>
      <w:tblPr>
        <w:tblLayout w:type="fixed"/>
        <w:tblInd w:w="4" w:type="dxa"/>
        <w:tblCellMar>
          <w:top w:w="0" w:type="dxa"/>
          <w:left w:w="0" w:type="dxa"/>
          <w:bottom w:w="0" w:type="dxa"/>
          <w:right w:w="0" w:type="dxa"/>
        </w:tblCellMar>
      </w:tblPr>
      <w:tr>
        <w:trPr>
          <w:trHeight w:val="213"/>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Fuson Group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14,917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14,774</w:t>
            </w:r>
          </w:p>
        </w:tc>
        <w:tc>
          <w:tcPr>
            <w:tcW w:w="120" w:type="dxa"/>
            <w:vAlign w:val="bottom"/>
            <w:shd w:val="clear" w:color="auto" w:fill="CCEEFF"/>
          </w:tcPr>
          <w:p>
            <w:pPr>
              <w:spacing w:after="0"/>
              <w:rPr>
                <w:sz w:val="16"/>
                <w:szCs w:val="16"/>
                <w:color w:val="auto"/>
              </w:rPr>
            </w:pPr>
          </w:p>
        </w:tc>
      </w:tr>
      <w:tr>
        <w:trPr>
          <w:trHeight w:val="192"/>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MCT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4,188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120" w:type="dxa"/>
            <w:vAlign w:val="bottom"/>
          </w:tcPr>
          <w:p>
            <w:pPr>
              <w:spacing w:after="0"/>
              <w:rPr>
                <w:sz w:val="16"/>
                <w:szCs w:val="16"/>
                <w:color w:val="auto"/>
              </w:rPr>
            </w:pPr>
          </w:p>
        </w:tc>
      </w:tr>
      <w:tr>
        <w:trPr>
          <w:trHeight w:val="19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UniDev</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21,884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20,230</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Due to related parties mainly represents the deposit to Fuson Group and unpaid administrative fee to MCT and UniDev.</w:t>
      </w:r>
    </w:p>
    <w:p>
      <w:pPr>
        <w:spacing w:after="0" w:line="39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4" w:right="319" w:bottom="1440" w:gutter="0" w:footer="0" w:header="0"/>
          <w:type w:val="continuous"/>
        </w:sectPr>
      </w:pPr>
    </w:p>
    <w:bookmarkStart w:id="122" w:name="page123"/>
    <w:bookmarkEnd w:id="122"/>
    <w:p>
      <w:pPr>
        <w:ind w:left="584" w:hanging="584"/>
        <w:spacing w:after="0"/>
        <w:tabs>
          <w:tab w:leader="none" w:pos="58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party transactions</w:t>
      </w:r>
    </w:p>
    <w:p>
      <w:pPr>
        <w:spacing w:after="0" w:line="21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481580"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81580" cy="15240"/>
                    </a:xfrm>
                    <a:prstGeom prst="rect">
                      <a:avLst/>
                    </a:prstGeom>
                    <a:noFill/>
                  </pic:spPr>
                </pic:pic>
              </a:graphicData>
            </a:graphic>
          </wp:anchor>
        </w:drawing>
      </w:r>
    </w:p>
    <w:p>
      <w:pPr>
        <w:spacing w:after="0" w:line="24" w:lineRule="exact"/>
        <w:rPr>
          <w:sz w:val="20"/>
          <w:szCs w:val="20"/>
          <w:color w:val="auto"/>
        </w:rPr>
      </w:pPr>
    </w:p>
    <w:p>
      <w:pPr>
        <w:ind w:left="7584"/>
        <w:spacing w:after="0"/>
        <w:tabs>
          <w:tab w:leader="none" w:pos="8943" w:val="left"/>
          <w:tab w:leader="none" w:pos="10343"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17145</wp:posOffset>
            </wp:positionV>
            <wp:extent cx="2481580"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81580" cy="15240"/>
                    </a:xfrm>
                    <a:prstGeom prst="rect">
                      <a:avLst/>
                    </a:prstGeom>
                    <a:noFill/>
                  </pic:spPr>
                </pic:pic>
              </a:graphicData>
            </a:graphic>
          </wp:anchor>
        </w:drawing>
      </w:r>
    </w:p>
    <w:p>
      <w:pPr>
        <w:spacing w:after="0" w:line="12" w:lineRule="exact"/>
        <w:rPr>
          <w:sz w:val="20"/>
          <w:szCs w:val="20"/>
          <w:color w:val="auto"/>
        </w:rPr>
      </w:pPr>
    </w:p>
    <w:p>
      <w:pPr>
        <w:ind w:left="464" w:hanging="464"/>
        <w:spacing w:after="0"/>
        <w:tabs>
          <w:tab w:leader="none" w:pos="464"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Consulting services provided to related parties</w:t>
      </w:r>
    </w:p>
    <w:p>
      <w:pPr>
        <w:spacing w:after="0" w:line="35"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140" w:type="dxa"/>
            <w:vAlign w:val="bottom"/>
            <w:shd w:val="clear" w:color="auto" w:fill="CCEEFF"/>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Fuson Group</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116,760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87,172</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57,418</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EMIT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4"/>
        </w:trPr>
        <w:tc>
          <w:tcPr>
            <w:tcW w:w="140" w:type="dxa"/>
            <w:vAlign w:val="bottom"/>
            <w:shd w:val="clear" w:color="auto" w:fill="CCEEFF"/>
          </w:tcPr>
          <w:p>
            <w:pPr>
              <w:spacing w:after="0"/>
              <w:rPr>
                <w:sz w:val="2"/>
                <w:szCs w:val="2"/>
                <w:color w:val="auto"/>
              </w:rPr>
            </w:pPr>
          </w:p>
        </w:tc>
        <w:tc>
          <w:tcPr>
            <w:tcW w:w="70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4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116,760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87,172</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57,576</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w w:val="84"/>
              </w:rPr>
              <w:t>b)</w:t>
            </w:r>
          </w:p>
        </w:tc>
        <w:tc>
          <w:tcPr>
            <w:tcW w:w="70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Services provided by related parties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vMerge w:val="continue"/>
          </w:tcPr>
          <w:p>
            <w:pPr>
              <w:spacing w:after="0"/>
              <w:rPr>
                <w:sz w:val="16"/>
                <w:szCs w:val="16"/>
                <w:color w:val="auto"/>
              </w:rPr>
            </w:pPr>
          </w:p>
        </w:tc>
        <w:tc>
          <w:tcPr>
            <w:tcW w:w="70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shd w:val="clear" w:color="auto" w:fill="CCEEFF"/>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UniDev</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35,396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165,676</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269,966</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Fuson Group</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13,758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18,894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0" w:type="dxa"/>
            <w:vAlign w:val="bottom"/>
            <w:shd w:val="clear" w:color="auto" w:fill="CCEEFF"/>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EMIT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221,584</w:t>
            </w:r>
          </w:p>
        </w:tc>
        <w:tc>
          <w:tcPr>
            <w:tcW w:w="0" w:type="dxa"/>
            <w:vAlign w:val="bottom"/>
          </w:tcPr>
          <w:p>
            <w:pPr>
              <w:spacing w:after="0"/>
              <w:rPr>
                <w:sz w:val="1"/>
                <w:szCs w:val="1"/>
                <w:color w:val="auto"/>
              </w:rPr>
            </w:pPr>
          </w:p>
        </w:tc>
      </w:tr>
      <w:tr>
        <w:trPr>
          <w:trHeight w:val="221"/>
        </w:trPr>
        <w:tc>
          <w:tcPr>
            <w:tcW w:w="14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6"/>
                <w:szCs w:val="16"/>
                <w:color w:val="auto"/>
              </w:rPr>
              <w:t>Beijing Bright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4,830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99,208</w:t>
            </w: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0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184,570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590,758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4" w:hanging="464"/>
        <w:spacing w:after="0"/>
        <w:tabs>
          <w:tab w:leader="none" w:pos="464"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Loans provided to related parties</w:t>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Fuson Group</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2,984,351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6,043,329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130,402</w:t>
            </w:r>
          </w:p>
        </w:tc>
        <w:tc>
          <w:tcPr>
            <w:tcW w:w="160" w:type="dxa"/>
            <w:vAlign w:val="bottom"/>
            <w:shd w:val="clear" w:color="auto" w:fill="CCEEFF"/>
          </w:tcPr>
          <w:p>
            <w:pPr>
              <w:spacing w:after="0"/>
              <w:rPr>
                <w:sz w:val="16"/>
                <w:szCs w:val="16"/>
                <w:color w:val="auto"/>
              </w:rPr>
            </w:pPr>
          </w:p>
        </w:tc>
      </w:tr>
      <w:tr>
        <w:trPr>
          <w:trHeight w:val="192"/>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Beijing Bright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415,236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6"/>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UniDev</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55,365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143,810</w:t>
            </w:r>
          </w:p>
        </w:tc>
        <w:tc>
          <w:tcPr>
            <w:tcW w:w="160" w:type="dxa"/>
            <w:vAlign w:val="bottom"/>
            <w:shd w:val="clear" w:color="auto" w:fill="CCEEFF"/>
          </w:tcPr>
          <w:p>
            <w:pPr>
              <w:spacing w:after="0"/>
              <w:rPr>
                <w:sz w:val="20"/>
                <w:szCs w:val="20"/>
                <w:color w:val="auto"/>
              </w:rPr>
            </w:pPr>
          </w:p>
        </w:tc>
      </w:tr>
      <w:tr>
        <w:trPr>
          <w:trHeight w:val="181"/>
        </w:trPr>
        <w:tc>
          <w:tcPr>
            <w:tcW w:w="71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2,984,351</w:t>
            </w:r>
          </w:p>
        </w:tc>
        <w:tc>
          <w:tcPr>
            <w:tcW w:w="28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6,513,930</w:t>
            </w:r>
          </w:p>
        </w:tc>
        <w:tc>
          <w:tcPr>
            <w:tcW w:w="2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274,212</w:t>
            </w:r>
          </w:p>
        </w:tc>
        <w:tc>
          <w:tcPr>
            <w:tcW w:w="20" w:type="dxa"/>
            <w:vAlign w:val="bottom"/>
            <w:tcBorders>
              <w:top w:val="single" w:sz="8" w:color="CCEEFF"/>
              <w:bottom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7560" cy="1447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7560" cy="144780"/>
                    </a:xfrm>
                    <a:prstGeom prst="rect">
                      <a:avLst/>
                    </a:prstGeom>
                    <a:noFill/>
                  </pic:spPr>
                </pic:pic>
              </a:graphicData>
            </a:graphic>
          </wp:anchor>
        </w:drawing>
      </w:r>
    </w:p>
    <w:p>
      <w:pPr>
        <w:ind w:left="464" w:hanging="464"/>
        <w:spacing w:after="0"/>
        <w:tabs>
          <w:tab w:leader="none" w:pos="464"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Repayment of loans from related parties</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Beijing Bright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2,936,754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415,236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Fuson Group</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194,897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UniDev</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193,777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6"/>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EMIT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204,211</w:t>
            </w:r>
          </w:p>
        </w:tc>
        <w:tc>
          <w:tcPr>
            <w:tcW w:w="160" w:type="dxa"/>
            <w:vAlign w:val="bottom"/>
            <w:shd w:val="clear" w:color="auto" w:fill="CCEEFF"/>
          </w:tcPr>
          <w:p>
            <w:pPr>
              <w:spacing w:after="0"/>
              <w:rPr>
                <w:sz w:val="20"/>
                <w:szCs w:val="20"/>
                <w:color w:val="auto"/>
              </w:rPr>
            </w:pPr>
          </w:p>
        </w:tc>
      </w:tr>
      <w:tr>
        <w:trPr>
          <w:trHeight w:val="181"/>
        </w:trPr>
        <w:tc>
          <w:tcPr>
            <w:tcW w:w="71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2,936,754</w:t>
            </w:r>
          </w:p>
        </w:tc>
        <w:tc>
          <w:tcPr>
            <w:tcW w:w="28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803,910</w:t>
            </w:r>
          </w:p>
        </w:tc>
        <w:tc>
          <w:tcPr>
            <w:tcW w:w="2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204,211</w:t>
            </w:r>
          </w:p>
        </w:tc>
        <w:tc>
          <w:tcPr>
            <w:tcW w:w="20" w:type="dxa"/>
            <w:vAlign w:val="bottom"/>
            <w:tcBorders>
              <w:top w:val="single" w:sz="8" w:color="CCEEFF"/>
              <w:bottom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7560" cy="1447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7560" cy="144780"/>
                    </a:xfrm>
                    <a:prstGeom prst="rect">
                      <a:avLst/>
                    </a:prstGeom>
                    <a:noFill/>
                  </pic:spPr>
                </pic:pic>
              </a:graphicData>
            </a:graphic>
          </wp:anchor>
        </w:drawing>
      </w:r>
    </w:p>
    <w:p>
      <w:pPr>
        <w:ind w:left="464" w:hanging="464"/>
        <w:spacing w:after="0"/>
        <w:tabs>
          <w:tab w:leader="none" w:pos="464" w:val="left"/>
        </w:tabs>
        <w:numPr>
          <w:ilvl w:val="0"/>
          <w:numId w:val="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 income received from related parties</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Fuson Group</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293,103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14,481</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1,518</w:t>
            </w:r>
          </w:p>
        </w:tc>
      </w:tr>
      <w:tr>
        <w:trPr>
          <w:trHeight w:val="19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UniDev</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8,549</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6,342</w:t>
            </w:r>
          </w:p>
        </w:tc>
      </w:tr>
      <w:tr>
        <w:trPr>
          <w:trHeight w:val="192"/>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Beijing Bright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2,907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r>
      <w:tr>
        <w:trPr>
          <w:trHeight w:val="236"/>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EMIT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3,704</w:t>
            </w:r>
          </w:p>
        </w:tc>
      </w:tr>
      <w:tr>
        <w:trPr>
          <w:trHeight w:val="181"/>
        </w:trPr>
        <w:tc>
          <w:tcPr>
            <w:tcW w:w="71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293,103</w:t>
            </w:r>
          </w:p>
        </w:tc>
        <w:tc>
          <w:tcPr>
            <w:tcW w:w="280" w:type="dxa"/>
            <w:vAlign w:val="bottom"/>
            <w:tcBorders>
              <w:top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25,937</w:t>
            </w:r>
          </w:p>
        </w:tc>
        <w:tc>
          <w:tcPr>
            <w:tcW w:w="28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11,564</w:t>
            </w:r>
          </w:p>
        </w:tc>
        <w:tc>
          <w:tcPr>
            <w:tcW w:w="180" w:type="dxa"/>
            <w:vAlign w:val="bottom"/>
            <w:tcBorders>
              <w:top w:val="single" w:sz="8" w:color="CCEEFF"/>
            </w:tcBorders>
          </w:tcPr>
          <w:p>
            <w:pPr>
              <w:spacing w:after="0"/>
              <w:rPr>
                <w:sz w:val="15"/>
                <w:szCs w:val="15"/>
                <w:color w:val="auto"/>
              </w:rPr>
            </w:pPr>
          </w:p>
        </w:tc>
      </w:tr>
      <w:tr>
        <w:trPr>
          <w:trHeight w:val="20"/>
        </w:trPr>
        <w:tc>
          <w:tcPr>
            <w:tcW w:w="7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7560" cy="1447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7560" cy="144780"/>
                    </a:xfrm>
                    <a:prstGeom prst="rect">
                      <a:avLst/>
                    </a:prstGeom>
                    <a:noFill/>
                  </pic:spPr>
                </pic:pic>
              </a:graphicData>
            </a:graphic>
          </wp:anchor>
        </w:drawing>
      </w:r>
    </w:p>
    <w:p>
      <w:pPr>
        <w:ind w:left="464" w:hanging="464"/>
        <w:spacing w:after="0"/>
        <w:tabs>
          <w:tab w:leader="none" w:pos="464"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Rental income from related party</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249"/>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Fuson Group</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59,241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59,016</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10,718</w:t>
            </w:r>
          </w:p>
        </w:tc>
      </w:tr>
      <w:tr>
        <w:trPr>
          <w:trHeight w:val="188"/>
        </w:trPr>
        <w:tc>
          <w:tcPr>
            <w:tcW w:w="71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bl>
    <w:p>
      <w:pPr>
        <w:ind w:left="464" w:hanging="464"/>
        <w:spacing w:after="0"/>
        <w:tabs>
          <w:tab w:leader="none" w:pos="464" w:val="left"/>
        </w:tabs>
        <w:numPr>
          <w:ilvl w:val="0"/>
          <w:numId w:val="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revenue from related party</w:t>
      </w:r>
    </w:p>
    <w:p>
      <w:pPr>
        <w:spacing w:after="0" w:line="8" w:lineRule="exact"/>
        <w:rPr>
          <w:sz w:val="20"/>
          <w:szCs w:val="20"/>
          <w:color w:val="auto"/>
        </w:rPr>
      </w:pPr>
    </w:p>
    <w:p>
      <w:pPr>
        <w:ind w:left="144"/>
        <w:spacing w:after="0"/>
        <w:tabs>
          <w:tab w:leader="none" w:pos="7763" w:val="left"/>
          <w:tab w:leader="none" w:pos="9223" w:val="left"/>
          <w:tab w:leader="none" w:pos="11023" w:val="left"/>
        </w:tabs>
        <w:rPr>
          <w:sz w:val="20"/>
          <w:szCs w:val="20"/>
          <w:color w:val="auto"/>
        </w:rPr>
      </w:pPr>
      <w:r>
        <w:rPr>
          <w:rFonts w:ascii="Times New Roman" w:cs="Times New Roman" w:eastAsia="Times New Roman" w:hAnsi="Times New Roman"/>
          <w:sz w:val="16"/>
          <w:szCs w:val="16"/>
          <w:color w:val="auto"/>
        </w:rPr>
        <w:t>Fuson Group</w:t>
      </w:r>
      <w:r>
        <w:rPr>
          <w:sz w:val="20"/>
          <w:szCs w:val="20"/>
          <w:color w:val="auto"/>
        </w:rPr>
        <w:tab/>
      </w:r>
      <w:r>
        <w:rPr>
          <w:rFonts w:ascii="Times New Roman" w:cs="Times New Roman" w:eastAsia="Times New Roman" w:hAnsi="Times New Roman"/>
          <w:sz w:val="16"/>
          <w:szCs w:val="16"/>
          <w:color w:val="auto"/>
        </w:rPr>
        <w:t>134,934</w:t>
      </w:r>
      <w:r>
        <w:rPr>
          <w:sz w:val="20"/>
          <w:szCs w:val="20"/>
          <w:color w:val="auto"/>
        </w:rPr>
        <w:tab/>
      </w:r>
      <w:r>
        <w:rPr>
          <w:rFonts w:ascii="Times New Roman" w:cs="Times New Roman" w:eastAsia="Times New Roman" w:hAnsi="Times New Roman"/>
          <w:sz w:val="16"/>
          <w:szCs w:val="16"/>
          <w:color w:val="auto"/>
        </w:rPr>
        <w:t>61,244</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7560" cy="168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7560" cy="168275"/>
                    </a:xfrm>
                    <a:prstGeom prst="rect">
                      <a:avLst/>
                    </a:prstGeom>
                    <a:noFill/>
                  </pic:spPr>
                </pic:pic>
              </a:graphicData>
            </a:graphic>
          </wp:anchor>
        </w:drawing>
      </w:r>
    </w:p>
    <w:p>
      <w:pPr>
        <w:spacing w:after="0" w:line="235" w:lineRule="exact"/>
        <w:rPr>
          <w:sz w:val="20"/>
          <w:szCs w:val="20"/>
          <w:color w:val="auto"/>
        </w:rPr>
      </w:pPr>
    </w:p>
    <w:p>
      <w:pPr>
        <w:ind w:left="1164" w:hanging="587"/>
        <w:spacing w:after="0"/>
        <w:tabs>
          <w:tab w:leader="none" w:pos="1164"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Interests of Experts and Counsel</w:t>
      </w:r>
    </w:p>
    <w:p>
      <w:pPr>
        <w:spacing w:after="0" w:line="20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201" w:lineRule="exact"/>
        <w:rPr>
          <w:sz w:val="20"/>
          <w:szCs w:val="20"/>
          <w:color w:val="auto"/>
        </w:rPr>
      </w:pPr>
    </w:p>
    <w:p>
      <w:pPr>
        <w:ind w:left="1164" w:hanging="587"/>
        <w:spacing w:after="0"/>
        <w:tabs>
          <w:tab w:leader="none" w:pos="1164"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and Other Financial Information.</w:t>
      </w:r>
    </w:p>
    <w:p>
      <w:pPr>
        <w:spacing w:after="0" w:line="20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See Item 18 for our audited consolidated financial statements.</w:t>
      </w:r>
    </w:p>
    <w:p>
      <w:pPr>
        <w:spacing w:after="0" w:line="199"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03" w:lineRule="exact"/>
        <w:rPr>
          <w:sz w:val="20"/>
          <w:szCs w:val="20"/>
          <w:color w:val="auto"/>
        </w:rPr>
      </w:pPr>
    </w:p>
    <w:p>
      <w:pPr>
        <w:ind w:left="4" w:right="20" w:firstLine="577"/>
        <w:spacing w:after="0" w:line="283" w:lineRule="auto"/>
        <w:rPr>
          <w:sz w:val="20"/>
          <w:szCs w:val="20"/>
          <w:color w:val="auto"/>
        </w:rPr>
      </w:pPr>
      <w:r>
        <w:rPr>
          <w:rFonts w:ascii="Times New Roman" w:cs="Times New Roman" w:eastAsia="Times New Roman" w:hAnsi="Times New Roman"/>
          <w:sz w:val="16"/>
          <w:szCs w:val="16"/>
          <w:color w:val="auto"/>
        </w:rPr>
        <w:t>We are currently not involved in any legal proceedings; nor are we aware of any claims that could have a material adverse effect on our business, financial condition, results of operations or cash flows.</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6" w:right="319" w:bottom="1440" w:gutter="0" w:footer="0" w:header="0"/>
        </w:sectPr>
      </w:pPr>
    </w:p>
    <w:bookmarkStart w:id="123" w:name="page124"/>
    <w:bookmarkEnd w:id="123"/>
    <w:p>
      <w:pPr>
        <w:ind w:left="58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03"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The holders of shares of our common shares are entitled to dividends out of funds legally available when and as declared by our board of directors. We paid special cash dividends of $0.13, $0.10, and $0.05 per share of common stock on November 24, 2024, December 13, 2023, and January 10, 2023, respectively.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63" w:lineRule="exact"/>
        <w:rPr>
          <w:sz w:val="20"/>
          <w:szCs w:val="20"/>
          <w:color w:val="auto"/>
        </w:rPr>
      </w:pPr>
    </w:p>
    <w:p>
      <w:pPr>
        <w:ind w:left="1160" w:hanging="587"/>
        <w:spacing w:after="0"/>
        <w:tabs>
          <w:tab w:leader="none" w:pos="11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Significant Changes</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201" w:lineRule="exact"/>
        <w:rPr>
          <w:sz w:val="20"/>
          <w:szCs w:val="20"/>
          <w:color w:val="auto"/>
        </w:rPr>
      </w:pPr>
    </w:p>
    <w:p>
      <w:pPr>
        <w:ind w:left="1160" w:hanging="587"/>
        <w:spacing w:after="0"/>
        <w:tabs>
          <w:tab w:leader="none" w:pos="1160"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 and Listing Details</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The following table sets forth, for the calendar months indicated and through June 30, 2025, the monthly high and low sale prices for our shares, as reported on NASDAQ Stock Market. The closing price for the Company’s securities on October 15, 2025 was $1.195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52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20" w:type="dxa"/>
            <w:vAlign w:val="bottom"/>
          </w:tcPr>
          <w:p>
            <w:pPr>
              <w:spacing w:after="0"/>
              <w:rPr>
                <w:sz w:val="18"/>
                <w:szCs w:val="18"/>
                <w:color w:val="auto"/>
              </w:rPr>
            </w:pPr>
          </w:p>
        </w:tc>
      </w:tr>
      <w:tr>
        <w:trPr>
          <w:trHeight w:val="385"/>
        </w:trPr>
        <w:tc>
          <w:tcPr>
            <w:tcW w:w="5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Monthly Highs and Lows</w:t>
            </w:r>
          </w:p>
        </w:tc>
        <w:tc>
          <w:tcPr>
            <w:tcW w:w="34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2025</w:t>
            </w:r>
          </w:p>
        </w:tc>
        <w:tc>
          <w:tcPr>
            <w:tcW w:w="3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0.86</w:t>
            </w:r>
          </w:p>
        </w:tc>
      </w:tr>
      <w:tr>
        <w:trPr>
          <w:trHeight w:val="192"/>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July 2025</w:t>
            </w:r>
          </w:p>
        </w:tc>
        <w:tc>
          <w:tcPr>
            <w:tcW w:w="3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0.68</w:t>
            </w:r>
          </w:p>
        </w:tc>
      </w:tr>
      <w:tr>
        <w:trPr>
          <w:trHeight w:val="19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2025</w:t>
            </w:r>
          </w:p>
        </w:tc>
        <w:tc>
          <w:tcPr>
            <w:tcW w:w="3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0.90</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September 2025</w:t>
            </w:r>
          </w:p>
        </w:tc>
        <w:tc>
          <w:tcPr>
            <w:tcW w:w="3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0.96</w:t>
            </w:r>
          </w:p>
        </w:tc>
      </w:tr>
    </w:tbl>
    <w:p>
      <w:pPr>
        <w:spacing w:after="0" w:line="157" w:lineRule="exact"/>
        <w:rPr>
          <w:sz w:val="20"/>
          <w:szCs w:val="20"/>
          <w:color w:val="auto"/>
        </w:rPr>
      </w:pPr>
    </w:p>
    <w:p>
      <w:pPr>
        <w:ind w:left="1160" w:hanging="587"/>
        <w:spacing w:after="0"/>
        <w:tabs>
          <w:tab w:leader="none" w:pos="11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Plan of Distribution</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ind w:left="1160" w:hanging="587"/>
        <w:spacing w:after="0"/>
        <w:tabs>
          <w:tab w:leader="none" w:pos="116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shares have been listed on the NASDAQ Stock Market under the symbol CLPS since May 24, 2018 following the completion of our initial public offering.</w:t>
      </w:r>
    </w:p>
    <w:p>
      <w:pPr>
        <w:spacing w:after="0" w:line="199" w:lineRule="exact"/>
        <w:rPr>
          <w:sz w:val="20"/>
          <w:szCs w:val="20"/>
          <w:color w:val="auto"/>
        </w:rPr>
      </w:pPr>
    </w:p>
    <w:p>
      <w:pPr>
        <w:ind w:left="1160" w:hanging="587"/>
        <w:spacing w:after="0"/>
        <w:tabs>
          <w:tab w:leader="none" w:pos="1160"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Selling Shareholders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ind w:left="1160" w:hanging="587"/>
        <w:spacing w:after="0"/>
        <w:tabs>
          <w:tab w:leader="none" w:pos="1160" w:val="left"/>
        </w:tabs>
        <w:numPr>
          <w:ilvl w:val="0"/>
          <w:numId w:val="7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Dilution</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ind w:left="1160" w:hanging="587"/>
        <w:spacing w:after="0"/>
        <w:tabs>
          <w:tab w:leader="none" w:pos="1160"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Expenses of the Issue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201" w:lineRule="exact"/>
        <w:rPr>
          <w:sz w:val="20"/>
          <w:szCs w:val="20"/>
          <w:color w:val="auto"/>
        </w:rPr>
      </w:pPr>
    </w:p>
    <w:p>
      <w:pPr>
        <w:ind w:left="1160" w:hanging="587"/>
        <w:spacing w:after="0"/>
        <w:tabs>
          <w:tab w:leader="none" w:pos="1160" w:val="left"/>
        </w:tabs>
        <w:numPr>
          <w:ilvl w:val="0"/>
          <w:numId w:val="7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Capital</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24" w:name="page125"/>
    <w:bookmarkEnd w:id="124"/>
    <w:p>
      <w:pPr>
        <w:ind w:left="1160" w:hanging="587"/>
        <w:spacing w:after="0"/>
        <w:tabs>
          <w:tab w:leader="none" w:pos="1160"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41" w:lineRule="exact"/>
        <w:rPr>
          <w:sz w:val="20"/>
          <w:szCs w:val="20"/>
          <w:color w:val="auto"/>
        </w:rPr>
      </w:pPr>
    </w:p>
    <w:p>
      <w:pPr>
        <w:ind w:left="1160" w:hanging="587"/>
        <w:spacing w:after="0"/>
        <w:tabs>
          <w:tab w:leader="none" w:pos="1160" w:val="left"/>
        </w:tabs>
        <w:numPr>
          <w:ilvl w:val="0"/>
          <w:numId w:val="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Material Contracts</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 Company” and in “Item 7. Major shareholders and Related Party Transactions” or elsewhere in this annual report.</w:t>
      </w:r>
    </w:p>
    <w:p>
      <w:pPr>
        <w:spacing w:after="0" w:line="141" w:lineRule="exact"/>
        <w:rPr>
          <w:sz w:val="20"/>
          <w:szCs w:val="20"/>
          <w:color w:val="auto"/>
        </w:rPr>
      </w:pPr>
    </w:p>
    <w:p>
      <w:pPr>
        <w:ind w:left="1160" w:hanging="587"/>
        <w:spacing w:after="0"/>
        <w:tabs>
          <w:tab w:leader="none" w:pos="1160"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Exchange controls</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pacing w:after="0" w:line="141" w:lineRule="exact"/>
        <w:rPr>
          <w:sz w:val="20"/>
          <w:szCs w:val="20"/>
          <w:color w:val="auto"/>
        </w:rPr>
      </w:pPr>
    </w:p>
    <w:p>
      <w:pPr>
        <w:ind w:left="1160" w:hanging="587"/>
        <w:spacing w:after="0"/>
        <w:tabs>
          <w:tab w:leader="none" w:pos="1160" w:val="left"/>
        </w:tabs>
        <w:numPr>
          <w:ilvl w:val="0"/>
          <w:numId w:val="7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w:t>
      </w:r>
    </w:p>
    <w:p>
      <w:pPr>
        <w:spacing w:after="0" w:line="201" w:lineRule="exact"/>
        <w:rPr>
          <w:sz w:val="20"/>
          <w:szCs w:val="20"/>
          <w:color w:val="auto"/>
        </w:rPr>
      </w:pPr>
    </w:p>
    <w:p>
      <w:pPr>
        <w:jc w:val="both"/>
        <w:ind w:firstLine="577"/>
        <w:spacing w:after="0" w:line="268" w:lineRule="auto"/>
        <w:rPr>
          <w:sz w:val="20"/>
          <w:szCs w:val="20"/>
          <w:color w:val="auto"/>
        </w:rPr>
      </w:pPr>
      <w:r>
        <w:rPr>
          <w:rFonts w:ascii="Times New Roman" w:cs="Times New Roman" w:eastAsia="Times New Roman" w:hAnsi="Times New Roman"/>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PRC Income Tax Considerations</w:t>
      </w:r>
    </w:p>
    <w:p>
      <w:pPr>
        <w:spacing w:after="0" w:line="203" w:lineRule="exact"/>
        <w:rPr>
          <w:sz w:val="20"/>
          <w:szCs w:val="20"/>
          <w:color w:val="auto"/>
        </w:rPr>
      </w:pPr>
    </w:p>
    <w:p>
      <w:pPr>
        <w:jc w:val="both"/>
        <w:ind w:right="20" w:firstLine="577"/>
        <w:spacing w:after="0" w:line="254" w:lineRule="auto"/>
        <w:rPr>
          <w:sz w:val="20"/>
          <w:szCs w:val="20"/>
          <w:color w:val="auto"/>
        </w:rPr>
      </w:pPr>
      <w:r>
        <w:rPr>
          <w:rFonts w:ascii="Times New Roman" w:cs="Times New Roman" w:eastAsia="Times New Roman" w:hAnsi="Times New Roman"/>
          <w:sz w:val="16"/>
          <w:szCs w:val="16"/>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67"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62" w:lineRule="exact"/>
        <w:rPr>
          <w:sz w:val="20"/>
          <w:szCs w:val="20"/>
          <w:color w:val="auto"/>
        </w:rPr>
      </w:pPr>
    </w:p>
    <w:p>
      <w:pPr>
        <w:jc w:val="both"/>
        <w:ind w:right="20" w:firstLine="577"/>
        <w:spacing w:after="0" w:line="257" w:lineRule="auto"/>
        <w:rPr>
          <w:sz w:val="20"/>
          <w:szCs w:val="20"/>
          <w:color w:val="auto"/>
        </w:rPr>
      </w:pPr>
      <w:r>
        <w:rPr>
          <w:rFonts w:ascii="Times New Roman" w:cs="Times New Roman" w:eastAsia="Times New Roman" w:hAnsi="Times New Roman"/>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25" w:name="page126"/>
    <w:bookmarkEnd w:id="125"/>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of owning and disposing of our ordinary shares. The discussion below of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income tax consequences to “U.S. Holders” will apply to a beneficial owner of our shares that is for U.S. federal income tax purposes:</w:t>
      </w:r>
    </w:p>
    <w:p>
      <w:pPr>
        <w:spacing w:after="0" w:line="184" w:lineRule="exact"/>
        <w:rPr>
          <w:sz w:val="20"/>
          <w:szCs w:val="20"/>
          <w:color w:val="auto"/>
        </w:rPr>
      </w:pPr>
    </w:p>
    <w:p>
      <w:pPr>
        <w:ind w:left="860" w:hanging="287"/>
        <w:spacing w:after="0"/>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citizen or resident of the United States;</w:t>
      </w:r>
    </w:p>
    <w:p>
      <w:pPr>
        <w:spacing w:after="0" w:line="200"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treated as a corporation) that is created or organized (or treated as created or organized) in or under the laws of the United States, any state thereof or the District of Columbia;</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whose income is includible in gross income for U.S. federal income tax purposes regardless of its source; or</w:t>
      </w:r>
    </w:p>
    <w:p>
      <w:pPr>
        <w:spacing w:after="0" w:line="200"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43"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43" w:lineRule="exact"/>
        <w:rPr>
          <w:sz w:val="20"/>
          <w:szCs w:val="20"/>
          <w:color w:val="auto"/>
        </w:rPr>
      </w:pPr>
    </w:p>
    <w:p>
      <w:pPr>
        <w:jc w:val="both"/>
        <w:ind w:firstLine="577"/>
        <w:spacing w:after="0" w:line="283" w:lineRule="auto"/>
        <w:rPr>
          <w:sz w:val="20"/>
          <w:szCs w:val="20"/>
          <w:color w:val="auto"/>
        </w:rPr>
      </w:pPr>
      <w:r>
        <w:rPr>
          <w:rFonts w:ascii="Times New Roman" w:cs="Times New Roman" w:eastAsia="Times New Roman" w:hAnsi="Times New Roman"/>
          <w:sz w:val="16"/>
          <w:szCs w:val="16"/>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43"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62" w:lineRule="exact"/>
        <w:rPr>
          <w:sz w:val="20"/>
          <w:szCs w:val="20"/>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institutions or financial services entities;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broker-dealers;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taxpayers who have elected mark-to-market accounting;</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governments or agencies or instrumentalities thereof;</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regulated investment companies;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expatriates or former long-term residents of the United States;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6" w:name="page127"/>
    <w:bookmarkEnd w:id="126"/>
    <w:p>
      <w:pPr>
        <w:ind w:left="860" w:hanging="287"/>
        <w:spacing w:after="0"/>
        <w:tabs>
          <w:tab w:leader="none" w:pos="8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actually or constructively own 5% or more of our voting shares;</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acquired our shares pursuant to the exercise of employee stock options, in connection with employee stock incentive plans or otherwise as compensation;</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hold our shares as part of a straddle, constructive sale, hedging, conversion or other integrated transaction; or</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whose functional currency is not the U.S. dollar.</w:t>
      </w:r>
    </w:p>
    <w:p>
      <w:pPr>
        <w:spacing w:after="0" w:line="201"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62"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56"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Consequences to U.S. Holders of Common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 Paid on Common Shares</w:t>
      </w:r>
    </w:p>
    <w:p>
      <w:pPr>
        <w:spacing w:after="0" w:line="205"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62"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27" w:name="page128"/>
    <w:bookmarkEnd w:id="127"/>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on the Disposition of Common Shares</w:t>
      </w:r>
    </w:p>
    <w:p>
      <w:pPr>
        <w:spacing w:after="0" w:line="205" w:lineRule="exact"/>
        <w:rPr>
          <w:sz w:val="20"/>
          <w:szCs w:val="20"/>
          <w:color w:val="auto"/>
        </w:rPr>
      </w:pPr>
    </w:p>
    <w:p>
      <w:pPr>
        <w:jc w:val="both"/>
        <w:ind w:right="20" w:firstLine="577"/>
        <w:spacing w:after="0" w:line="255" w:lineRule="auto"/>
        <w:rPr>
          <w:sz w:val="20"/>
          <w:szCs w:val="20"/>
          <w:color w:val="auto"/>
        </w:rPr>
      </w:pPr>
      <w:r>
        <w:rPr>
          <w:rFonts w:ascii="Times New Roman" w:cs="Times New Roman" w:eastAsia="Times New Roman" w:hAnsi="Times New Roman"/>
          <w:sz w:val="16"/>
          <w:szCs w:val="16"/>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Passive Foreign Investment Company Rules</w:t>
      </w:r>
    </w:p>
    <w:p>
      <w:pPr>
        <w:spacing w:after="0" w:line="203" w:lineRule="exact"/>
        <w:rPr>
          <w:sz w:val="20"/>
          <w:szCs w:val="20"/>
          <w:color w:val="auto"/>
        </w:rPr>
      </w:pPr>
    </w:p>
    <w:p>
      <w:pPr>
        <w:jc w:val="both"/>
        <w:ind w:firstLine="577"/>
        <w:spacing w:after="0" w:line="254" w:lineRule="auto"/>
        <w:rPr>
          <w:sz w:val="20"/>
          <w:szCs w:val="20"/>
          <w:color w:val="auto"/>
        </w:rPr>
      </w:pPr>
      <w:r>
        <w:rPr>
          <w:rFonts w:ascii="Times New Roman" w:cs="Times New Roman" w:eastAsia="Times New Roman" w:hAnsi="Times New Roman"/>
          <w:sz w:val="16"/>
          <w:szCs w:val="16"/>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69" w:lineRule="exact"/>
        <w:rPr>
          <w:sz w:val="20"/>
          <w:szCs w:val="20"/>
          <w:color w:val="auto"/>
        </w:rPr>
      </w:pPr>
    </w:p>
    <w:p>
      <w:pPr>
        <w:ind w:left="860" w:hanging="287"/>
        <w:spacing w:after="0"/>
        <w:tabs>
          <w:tab w:leader="none" w:pos="8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recognized by the U.S. Holder on the sale or other disposition of its common shares; and</w:t>
      </w:r>
    </w:p>
    <w:p>
      <w:pPr>
        <w:spacing w:after="0" w:line="200" w:lineRule="exact"/>
        <w:rPr>
          <w:rFonts w:ascii="Times New Roman" w:cs="Times New Roman" w:eastAsia="Times New Roman" w:hAnsi="Times New Roman"/>
          <w:sz w:val="16"/>
          <w:szCs w:val="16"/>
          <w:color w:val="auto"/>
        </w:rPr>
      </w:pPr>
    </w:p>
    <w:p>
      <w:pPr>
        <w:jc w:val="both"/>
        <w:ind w:left="860" w:right="20" w:hanging="287"/>
        <w:spacing w:after="0" w:line="267" w:lineRule="auto"/>
        <w:tabs>
          <w:tab w:leader="none" w:pos="8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Under these rules,</w:t>
      </w:r>
    </w:p>
    <w:p>
      <w:pPr>
        <w:spacing w:after="0" w:line="201" w:lineRule="exact"/>
        <w:rPr>
          <w:sz w:val="20"/>
          <w:szCs w:val="20"/>
          <w:color w:val="auto"/>
        </w:rPr>
      </w:pPr>
    </w:p>
    <w:p>
      <w:pPr>
        <w:ind w:left="860" w:hanging="287"/>
        <w:spacing w:after="0"/>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 Holder’s gain or excess distribution will be allocated ratably over the U.S. Holder’s holding period for the common shares;</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43"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allocated to other taxable years (or portions thereof) of the U.S. Holder and included in its holding period will be taxed at the highest tax rate in effect for that year and applicable to the U.S. Holder; and</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charge generally applicable to underpayments of tax will be imposed in respect of the tax attributable to each such year of the U.S. Holder.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28" w:name="page129"/>
    <w:bookmarkEnd w:id="128"/>
    <w:p>
      <w:pPr>
        <w:jc w:val="both"/>
        <w:ind w:firstLine="577"/>
        <w:spacing w:after="0" w:line="257" w:lineRule="auto"/>
        <w:rPr>
          <w:sz w:val="20"/>
          <w:szCs w:val="20"/>
          <w:color w:val="auto"/>
        </w:rPr>
      </w:pPr>
      <w:r>
        <w:rPr>
          <w:rFonts w:ascii="Times New Roman" w:cs="Times New Roman" w:eastAsia="Times New Roman" w:hAnsi="Times New Roman"/>
          <w:sz w:val="16"/>
          <w:szCs w:val="16"/>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65" w:lineRule="exact"/>
        <w:rPr>
          <w:sz w:val="20"/>
          <w:szCs w:val="20"/>
          <w:color w:val="auto"/>
        </w:rPr>
      </w:pPr>
    </w:p>
    <w:p>
      <w:pPr>
        <w:jc w:val="both"/>
        <w:ind w:firstLine="577"/>
        <w:spacing w:after="0" w:line="256" w:lineRule="auto"/>
        <w:rPr>
          <w:sz w:val="20"/>
          <w:szCs w:val="20"/>
          <w:color w:val="auto"/>
        </w:rPr>
      </w:pPr>
      <w:r>
        <w:rPr>
          <w:rFonts w:ascii="Times New Roman" w:cs="Times New Roman" w:eastAsia="Times New Roman" w:hAnsi="Times New Roman"/>
          <w:sz w:val="16"/>
          <w:szCs w:val="16"/>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65" w:lineRule="exact"/>
        <w:rPr>
          <w:sz w:val="20"/>
          <w:szCs w:val="20"/>
          <w:color w:val="auto"/>
        </w:rPr>
      </w:pPr>
    </w:p>
    <w:p>
      <w:pPr>
        <w:jc w:val="both"/>
        <w:ind w:right="20" w:firstLine="577"/>
        <w:spacing w:after="0" w:line="256" w:lineRule="auto"/>
        <w:rPr>
          <w:sz w:val="20"/>
          <w:szCs w:val="20"/>
          <w:color w:val="auto"/>
        </w:rPr>
      </w:pPr>
      <w:r>
        <w:rPr>
          <w:rFonts w:ascii="Times New Roman" w:cs="Times New Roman" w:eastAsia="Times New Roman" w:hAnsi="Times New Roman"/>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5"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68"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68"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29" w:name="page130"/>
    <w:bookmarkEnd w:id="129"/>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 Consequences to Non-U.S. Holders of Common Shares</w:t>
      </w:r>
    </w:p>
    <w:p>
      <w:pPr>
        <w:spacing w:after="0" w:line="203" w:lineRule="exact"/>
        <w:rPr>
          <w:sz w:val="20"/>
          <w:szCs w:val="20"/>
          <w:color w:val="auto"/>
        </w:rPr>
      </w:pPr>
    </w:p>
    <w:p>
      <w:pPr>
        <w:jc w:val="both"/>
        <w:ind w:right="20" w:firstLine="577"/>
        <w:spacing w:after="0" w:line="267" w:lineRule="auto"/>
        <w:rPr>
          <w:sz w:val="20"/>
          <w:szCs w:val="20"/>
          <w:color w:val="auto"/>
        </w:rPr>
      </w:pPr>
      <w:r>
        <w:rPr>
          <w:rFonts w:ascii="Times New Roman" w:cs="Times New Roman" w:eastAsia="Times New Roman" w:hAnsi="Times New Roman"/>
          <w:sz w:val="16"/>
          <w:szCs w:val="16"/>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56"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6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Backup Withholding and Information Reporting</w:t>
      </w:r>
    </w:p>
    <w:p>
      <w:pPr>
        <w:spacing w:after="0" w:line="203"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68"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 Dividends and paying agents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G. Statement by experts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H. Documents on display</w:t>
      </w:r>
    </w:p>
    <w:p>
      <w:pPr>
        <w:spacing w:after="0" w:line="203" w:lineRule="exact"/>
        <w:rPr>
          <w:sz w:val="20"/>
          <w:szCs w:val="20"/>
          <w:color w:val="auto"/>
        </w:rPr>
      </w:pPr>
    </w:p>
    <w:p>
      <w:pPr>
        <w:jc w:val="both"/>
        <w:ind w:firstLine="577"/>
        <w:spacing w:after="0" w:line="255" w:lineRule="auto"/>
        <w:rPr>
          <w:sz w:val="20"/>
          <w:szCs w:val="20"/>
          <w:color w:val="auto"/>
        </w:rPr>
      </w:pPr>
      <w:r>
        <w:rPr>
          <w:rFonts w:ascii="Times New Roman" w:cs="Times New Roman" w:eastAsia="Times New Roman" w:hAnsi="Times New Roman"/>
          <w:sz w:val="16"/>
          <w:szCs w:val="16"/>
          <w:color w:val="auto"/>
        </w:rPr>
        <w:t>Documents concerning us that are referred to in this document may be inspected at c/o Unit 1000, 10th Floor, Millennium City III, 370 Kwun Tong Road, Kwun Tong, Kowloon, Hong Kong SAR.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130" w:name="page131"/>
    <w:bookmarkEnd w:id="130"/>
    <w:p>
      <w:pPr>
        <w:ind w:left="580"/>
        <w:spacing w:after="0"/>
        <w:rPr>
          <w:sz w:val="20"/>
          <w:szCs w:val="20"/>
          <w:color w:val="auto"/>
        </w:rPr>
      </w:pPr>
      <w:r>
        <w:rPr>
          <w:rFonts w:ascii="Times New Roman" w:cs="Times New Roman" w:eastAsia="Times New Roman" w:hAnsi="Times New Roman"/>
          <w:sz w:val="16"/>
          <w:szCs w:val="16"/>
          <w:b w:val="1"/>
          <w:bCs w:val="1"/>
          <w:color w:val="auto"/>
        </w:rPr>
        <w:t>I. Subsidiary Information</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required.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 ABOUT MARKET RISK</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Risk</w:t>
      </w:r>
    </w:p>
    <w:p>
      <w:pPr>
        <w:spacing w:after="0" w:line="205"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6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Our functional currency is the RMB, and our financial statements are presented in U.S. dollars. The RMB depreciated by 8.3% in fiscal 2023, depreciated by 0.2% in fiscal 2024, and appreciated by 1.4% in fiscal 2025,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62"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203" w:lineRule="exact"/>
        <w:rPr>
          <w:sz w:val="20"/>
          <w:szCs w:val="20"/>
          <w:color w:val="auto"/>
        </w:rPr>
      </w:pPr>
    </w:p>
    <w:p>
      <w:pPr>
        <w:jc w:val="both"/>
        <w:ind w:right="20" w:firstLine="577"/>
        <w:spacing w:after="0" w:line="256" w:lineRule="auto"/>
        <w:rPr>
          <w:sz w:val="20"/>
          <w:szCs w:val="20"/>
          <w:color w:val="auto"/>
        </w:rPr>
      </w:pPr>
      <w:r>
        <w:rPr>
          <w:rFonts w:ascii="Times New Roman" w:cs="Times New Roman" w:eastAsia="Times New Roman" w:hAnsi="Times New Roman"/>
          <w:sz w:val="16"/>
          <w:szCs w:val="16"/>
          <w:color w:val="auto"/>
        </w:rPr>
        <w:t>On February 28, 2021, the Company entered into a securities purchase agreement (“SPA”) with certain accredited investors. According to the SPA, the Company agreed to sell 2,666,666 shares of the Company’s common stock and issue unregistered warrants to purchase up to an additional 2,666,666 shares of common stock in the concurrent private placement transaction (the transaction). On March 3, 2021, the Company issued 2,666,666 common shares at US$6.00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 All 2,666,666 warrants are currently outstanding and will automatically expire on September 3, 2026 if not being exercised already. The terms of the warrant agreement are provided as exhibit 10.17 hereto in Item 19.</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12.A. Debt Securities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12.B. Warrants and Rights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12.C. Other Securities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12.D. American Depositary Shares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31" w:name="page132"/>
    <w:bookmarkEnd w:id="131"/>
    <w:p>
      <w:pPr>
        <w:ind w:left="534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has been no default of any indebtedness nor is there any arrearage in the payment of dividends.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20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performed an evaluation of the effectiveness of the design and operation of our “disclosure controls and procedures” (as defined in the Securities Exchange Act of 1934 (“Exchange Act”) Rules 13a-15(e) or 15d-15(e)) as of June 30, 2022 as required by paragraph (b) of Exchange Act Rules 13a-15 or 15d-15.</w:t>
      </w:r>
    </w:p>
    <w:p>
      <w:pPr>
        <w:spacing w:after="0" w:line="156" w:lineRule="exact"/>
        <w:rPr>
          <w:sz w:val="20"/>
          <w:szCs w:val="20"/>
          <w:color w:val="auto"/>
        </w:rPr>
      </w:pPr>
    </w:p>
    <w:p>
      <w:pPr>
        <w:jc w:val="both"/>
        <w:ind w:firstLine="577"/>
        <w:spacing w:after="0" w:line="259" w:lineRule="auto"/>
        <w:rPr>
          <w:sz w:val="20"/>
          <w:szCs w:val="20"/>
          <w:color w:val="auto"/>
        </w:rPr>
      </w:pPr>
      <w:r>
        <w:rPr>
          <w:rFonts w:ascii="Times New Roman" w:cs="Times New Roman" w:eastAsia="Times New Roman" w:hAnsi="Times New Roman"/>
          <w:sz w:val="16"/>
          <w:szCs w:val="16"/>
          <w:color w:val="auto"/>
        </w:rPr>
        <w:t>Based on that evaluation, management, including our Chief Executive Officer and Chief Financial Officer, has concluded as of June 30, 2025, our disclosure controls and procedures were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Annual Report on Internal Control over Financial Reporting</w:t>
      </w:r>
    </w:p>
    <w:p>
      <w:pPr>
        <w:spacing w:after="0" w:line="205"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reporting purposes in accordance with U.S. generally accepted accounting principles.</w:t>
      </w:r>
    </w:p>
    <w:p>
      <w:pPr>
        <w:spacing w:after="0" w:line="156" w:lineRule="exact"/>
        <w:rPr>
          <w:sz w:val="20"/>
          <w:szCs w:val="20"/>
          <w:color w:val="auto"/>
        </w:rPr>
      </w:pPr>
    </w:p>
    <w:p>
      <w:pPr>
        <w:jc w:val="both"/>
        <w:ind w:right="20" w:firstLine="577"/>
        <w:spacing w:after="0" w:line="259" w:lineRule="auto"/>
        <w:rPr>
          <w:sz w:val="20"/>
          <w:szCs w:val="20"/>
          <w:color w:val="auto"/>
        </w:rPr>
      </w:pPr>
      <w:r>
        <w:rPr>
          <w:rFonts w:ascii="Times New Roman" w:cs="Times New Roman" w:eastAsia="Times New Roman" w:hAnsi="Times New Roman"/>
          <w:sz w:val="16"/>
          <w:szCs w:val="16"/>
          <w:color w:val="auto"/>
        </w:rPr>
        <w:t>Management assessed the effectiveness of our internal control over financial reporting as of June 30, 2025.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this evaluation, our management has concluded that our internal control over financial reporting was effective as of June 30, 2025.</w:t>
      </w:r>
    </w:p>
    <w:p>
      <w:pPr>
        <w:spacing w:after="0" w:line="162"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It is possible that, had we performed a formal assessment of our internal control over financial reporting or had our independent registered public accounting firm perform an audit of our internal control over financial reporting, internal control deficiencies may have been identified. See “Item 3. Key Information—D. Risk Factors— Risks Related to Our Business—If we fail to maintain an effective system of internal control over financial reporting, our ability to accurately and timely report our financial results or prevent fraud may be adversely affected, and investor confidence and the market price of our shares may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Controls over Financial Reporting</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during the year ended June 30, 2025,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Board of Directors has determined that Jin He Shao is an audit committee financial expert as that term is defined in Item 16A(b) of Form 20-F, and “independent” as that term is defined in the NASDAQ listing standards.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20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11"/>
        </w:trPr>
        <w:tc>
          <w:tcPr>
            <w:tcW w:w="6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5"/>
        </w:trPr>
        <w:tc>
          <w:tcPr>
            <w:tcW w:w="9560" w:type="dxa"/>
            <w:vAlign w:val="bottom"/>
            <w:gridSpan w:val="3"/>
          </w:tcPr>
          <w:p>
            <w:pPr>
              <w:ind w:left="580"/>
              <w:spacing w:after="0"/>
              <w:rPr>
                <w:sz w:val="20"/>
                <w:szCs w:val="20"/>
                <w:color w:val="auto"/>
              </w:rPr>
            </w:pPr>
            <w:r>
              <w:rPr>
                <w:rFonts w:ascii="Times New Roman" w:cs="Times New Roman" w:eastAsia="Times New Roman" w:hAnsi="Times New Roman"/>
                <w:sz w:val="16"/>
                <w:szCs w:val="16"/>
                <w:color w:val="auto"/>
                <w:w w:val="99"/>
              </w:rPr>
              <w:t>The following table represents the approximate aggregate fees for services billed by Ernst &amp; Young Hua Ming LLP for the period indicated: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6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5"/>
        </w:trPr>
        <w:tc>
          <w:tcPr>
            <w:tcW w:w="6620" w:type="dxa"/>
            <w:vAlign w:val="bottom"/>
          </w:tcPr>
          <w:p>
            <w:pPr>
              <w:spacing w:after="0"/>
              <w:rPr>
                <w:sz w:val="18"/>
                <w:szCs w:val="18"/>
                <w:color w:val="auto"/>
              </w:rPr>
            </w:pPr>
          </w:p>
        </w:tc>
        <w:tc>
          <w:tcPr>
            <w:tcW w:w="2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r>
      <w:tr>
        <w:trPr>
          <w:trHeight w:val="196"/>
        </w:trPr>
        <w:tc>
          <w:tcPr>
            <w:tcW w:w="662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center"/>
              <w:ind w:left="180"/>
              <w:spacing w:after="0"/>
              <w:rPr>
                <w:sz w:val="20"/>
                <w:szCs w:val="20"/>
                <w:color w:val="auto"/>
              </w:rPr>
            </w:pPr>
            <w:r>
              <w:rPr>
                <w:rFonts w:ascii="Times New Roman" w:cs="Times New Roman" w:eastAsia="Times New Roman" w:hAnsi="Times New Roman"/>
                <w:sz w:val="16"/>
                <w:szCs w:val="16"/>
                <w:b w:val="1"/>
                <w:bCs w:val="1"/>
                <w:color w:val="auto"/>
              </w:rPr>
              <w:t>USD’000</w:t>
            </w:r>
          </w:p>
        </w:tc>
        <w:tc>
          <w:tcPr>
            <w:tcW w:w="2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USD’000</w:t>
            </w:r>
          </w:p>
        </w:tc>
        <w:tc>
          <w:tcPr>
            <w:tcW w:w="120" w:type="dxa"/>
            <w:vAlign w:val="bottom"/>
            <w:tcBorders>
              <w:bottom w:val="single" w:sz="8" w:color="CCEEFF"/>
            </w:tcBorders>
          </w:tcPr>
          <w:p>
            <w:pPr>
              <w:spacing w:after="0"/>
              <w:rPr>
                <w:sz w:val="17"/>
                <w:szCs w:val="17"/>
                <w:color w:val="auto"/>
              </w:rPr>
            </w:pPr>
          </w:p>
        </w:tc>
      </w:tr>
      <w:tr>
        <w:trPr>
          <w:trHeight w:val="19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20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485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shd w:val="clear" w:color="auto" w:fill="CCEEFF"/>
          </w:tcPr>
          <w:p>
            <w:pPr>
              <w:spacing w:after="0"/>
              <w:rPr>
                <w:sz w:val="16"/>
                <w:szCs w:val="16"/>
                <w:color w:val="auto"/>
              </w:rPr>
            </w:pPr>
          </w:p>
        </w:tc>
      </w:tr>
      <w:tr>
        <w:trPr>
          <w:trHeight w:val="192"/>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Audit Related Fees</w:t>
            </w: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r>
      <w:tr>
        <w:trPr>
          <w:trHeight w:val="192"/>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p>
        </w:tc>
        <w:tc>
          <w:tcPr>
            <w:tcW w:w="20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2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Fees</w:t>
            </w:r>
          </w:p>
        </w:tc>
        <w:tc>
          <w:tcPr>
            <w:tcW w:w="20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490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Audit Committee evaluated and approved in advance the scope and cost of the engagement of an auditor before the auditor rendered its audit and non-audit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 purchase of our securities was made by us or our affiliates in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16F. CHANGES IN REGISTRANT’S CERTIFYING ACCOUNTANT.</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203" w:lineRule="exact"/>
        <w:rPr>
          <w:sz w:val="20"/>
          <w:szCs w:val="20"/>
          <w:color w:val="auto"/>
        </w:rPr>
      </w:pPr>
    </w:p>
    <w:p>
      <w:pPr>
        <w:jc w:val="both"/>
        <w:ind w:right="20" w:firstLine="577"/>
        <w:spacing w:after="0" w:line="261" w:lineRule="auto"/>
        <w:rPr>
          <w:sz w:val="20"/>
          <w:szCs w:val="20"/>
          <w:color w:val="auto"/>
        </w:rPr>
      </w:pPr>
      <w:r>
        <w:rPr>
          <w:rFonts w:ascii="Times New Roman" w:cs="Times New Roman" w:eastAsia="Times New Roman" w:hAnsi="Times New Roman"/>
          <w:sz w:val="16"/>
          <w:szCs w:val="16"/>
          <w:color w:val="auto"/>
        </w:rPr>
        <w:t>As a Cayman Islands exempted company listed on the Nasdaq Global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We opt to follow home country practice specified by Nasdaq, including the frequency of holding annual general meeting of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203"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the Nasdaq.</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Guidelines on Trading in our Common Shares are filed as Exhibit 11.1 to this annual report on Form 20-F.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203"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Cybersecurity is a top priority for CLPS and is integral to our business strategy and operations. We are committed to protecting the confidentiality, integrity, and availability of our information systems and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Assessment and Management</w:t>
      </w:r>
    </w:p>
    <w:p>
      <w:pPr>
        <w:spacing w:after="0" w:line="205" w:lineRule="exact"/>
        <w:rPr>
          <w:sz w:val="20"/>
          <w:szCs w:val="20"/>
          <w:color w:val="auto"/>
        </w:rPr>
      </w:pPr>
    </w:p>
    <w:p>
      <w:pPr>
        <w:jc w:val="both"/>
        <w:ind w:firstLine="577"/>
        <w:spacing w:after="0" w:line="261" w:lineRule="auto"/>
        <w:rPr>
          <w:sz w:val="20"/>
          <w:szCs w:val="20"/>
          <w:color w:val="auto"/>
        </w:rPr>
      </w:pPr>
      <w:r>
        <w:rPr>
          <w:rFonts w:ascii="Times New Roman" w:cs="Times New Roman" w:eastAsia="Times New Roman" w:hAnsi="Times New Roman"/>
          <w:sz w:val="16"/>
          <w:szCs w:val="16"/>
          <w:color w:val="auto"/>
        </w:rPr>
        <w:t>We maintain a robust cybersecurity risk management program to identify, assess, and mitigate potential threats to our systems and data. Our Technical Infrastructure (TI) department is responsible for the design, implementation, and maintenance of our cybersecurity infrastructure and controls. Regular and comprehensive risk assessments are conducted to identify vulnerabilities and prioritize mitigation efforts. We employ a layered security approach, including strong access controls, encryption, firewalls, intrusion detection and prevention systems, and continuous monitoring.</w:t>
      </w:r>
    </w:p>
    <w:p>
      <w:pPr>
        <w:spacing w:after="0" w:line="162" w:lineRule="exact"/>
        <w:rPr>
          <w:sz w:val="20"/>
          <w:szCs w:val="20"/>
          <w:color w:val="auto"/>
        </w:rPr>
      </w:pPr>
    </w:p>
    <w:p>
      <w:pPr>
        <w:jc w:val="both"/>
        <w:ind w:firstLine="577"/>
        <w:spacing w:after="0" w:line="267" w:lineRule="auto"/>
        <w:rPr>
          <w:sz w:val="20"/>
          <w:szCs w:val="20"/>
          <w:color w:val="auto"/>
        </w:rPr>
      </w:pPr>
      <w:r>
        <w:rPr>
          <w:rFonts w:ascii="Times New Roman" w:cs="Times New Roman" w:eastAsia="Times New Roman" w:hAnsi="Times New Roman"/>
          <w:sz w:val="16"/>
          <w:szCs w:val="16"/>
          <w:color w:val="auto"/>
        </w:rPr>
        <w:t>We have developed and regularly test a comprehensive incident response plan to address cybersecurity incidents effectively. Any cybersecurity incident is promptly reported to the TI department, which conducts a preliminary assessment and takes action. Incidents deemed material are escalated immediately to the President for further evaluation and decision-making.</w:t>
      </w:r>
    </w:p>
    <w:p>
      <w:pPr>
        <w:spacing w:after="0" w:line="156"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As of the date of this report, we have not experienced any material cybersecurity incidents that have had a significant impact on our business, financial condition, or operations. However, we recognize the evolving nature of cybersecurity threats and remain vigilant in our efforts to protect our systems and data.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205" w:lineRule="exact"/>
        <w:rPr>
          <w:sz w:val="20"/>
          <w:szCs w:val="20"/>
          <w:color w:val="auto"/>
        </w:rPr>
      </w:pPr>
    </w:p>
    <w:p>
      <w:pPr>
        <w:jc w:val="both"/>
        <w:ind w:right="20" w:firstLine="577"/>
        <w:spacing w:after="0" w:line="283" w:lineRule="auto"/>
        <w:rPr>
          <w:sz w:val="20"/>
          <w:szCs w:val="20"/>
          <w:color w:val="auto"/>
        </w:rPr>
      </w:pPr>
      <w:r>
        <w:rPr>
          <w:rFonts w:ascii="Times New Roman" w:cs="Times New Roman" w:eastAsia="Times New Roman" w:hAnsi="Times New Roman"/>
          <w:sz w:val="16"/>
          <w:szCs w:val="16"/>
          <w:color w:val="auto"/>
        </w:rPr>
        <w:t>Our board of directors is actively engaged in overseeing cybersecurity risk management. The nominating committee is responsible for providing oversight of our cybersecurity program, including the evaluation of our risk management framework, incident response capabilities, and resource allocation.</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invest in our cybersecurity workforce through ongoing training, development, and recruitment efforts.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34" w:name="page135"/>
    <w:bookmarkEnd w:id="134"/>
    <w:p>
      <w:pPr>
        <w:ind w:left="5300"/>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financial statements are filed as part of this Annual Report beginning on page F-1.</w:t>
      </w:r>
    </w:p>
    <w:p>
      <w:pPr>
        <w:spacing w:after="0" w:line="3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YEARS ENDED JUNE 30,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261620</wp:posOffset>
            </wp:positionV>
            <wp:extent cx="7147560" cy="152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9019"/>
          </w:cols>
          <w:pgMar w:left="1440" w:top="794"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60" w:type="dxa"/>
            <w:vAlign w:val="bottom"/>
            <w:gridSpan w:val="5"/>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w w:val="99"/>
              </w:rPr>
              <w:t>CLPS INCORPORATION</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100" w:type="dxa"/>
            <w:vAlign w:val="bottom"/>
            <w:gridSpan w:val="6"/>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w w:val="99"/>
              </w:rPr>
              <w:t>INDEX TO CONSOLIDATED FINANCIAL STATEMENTS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014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80"/>
        </w:trPr>
        <w:tc>
          <w:tcPr>
            <w:tcW w:w="10140" w:type="dxa"/>
            <w:vAlign w:val="bottom"/>
            <w:gridSpan w:val="8"/>
            <w:vMerge w:val="continue"/>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1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1408)</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F-2</w:t>
            </w:r>
          </w:p>
        </w:tc>
        <w:tc>
          <w:tcPr>
            <w:tcW w:w="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 F-3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1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Consolidated Balance Sheets as of June 30, 2025 and 2024</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F-4</w:t>
            </w:r>
          </w:p>
        </w:tc>
        <w:tc>
          <w:tcPr>
            <w:tcW w:w="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 F-5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1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Consolidated Statements of Comprehensive (Loss) Income for the Years Ended June 30, 2025, 2024 and 2023</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F-6</w:t>
            </w:r>
          </w:p>
        </w:tc>
        <w:tc>
          <w:tcPr>
            <w:tcW w:w="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 F-7</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1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Consolidated Statements of Changes in Shareholders’ Equity for the Years Ended June 30, 2025, 2024 and 2023</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F-8</w:t>
            </w:r>
          </w:p>
        </w:tc>
        <w:tc>
          <w:tcPr>
            <w:tcW w:w="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 F-9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1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June 30, 2025, 2024 and 2023</w:t>
            </w:r>
          </w:p>
        </w:tc>
        <w:tc>
          <w:tcPr>
            <w:tcW w:w="1120" w:type="dxa"/>
            <w:vAlign w:val="bottom"/>
            <w:gridSpan w:val="2"/>
            <w:shd w:val="clear" w:color="auto" w:fill="CCEEFF"/>
          </w:tcPr>
          <w:p>
            <w:pPr>
              <w:jc w:val="center"/>
              <w:spacing w:after="0" w:line="156" w:lineRule="exact"/>
              <w:rPr>
                <w:sz w:val="20"/>
                <w:szCs w:val="20"/>
                <w:color w:val="auto"/>
              </w:rPr>
            </w:pPr>
            <w:r>
              <w:rPr>
                <w:rFonts w:ascii="Times New Roman" w:cs="Times New Roman" w:eastAsia="Times New Roman" w:hAnsi="Times New Roman"/>
                <w:sz w:val="16"/>
                <w:szCs w:val="16"/>
                <w:color w:val="auto"/>
                <w:w w:val="99"/>
              </w:rPr>
              <w:t>F-10 — F-11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9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12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F-12</w:t>
            </w:r>
          </w:p>
        </w:tc>
        <w:tc>
          <w:tcPr>
            <w:tcW w:w="6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 F-56</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302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CCEEFF"/>
              <w:bottom w:val="single" w:sz="8" w:color="auto"/>
            </w:tcBorders>
            <w:gridSpan w:val="4"/>
          </w:tcPr>
          <w:p>
            <w:pPr>
              <w:jc w:val="center"/>
              <w:ind w:right="3920"/>
              <w:spacing w:after="0"/>
              <w:rPr>
                <w:sz w:val="20"/>
                <w:szCs w:val="20"/>
                <w:color w:val="auto"/>
              </w:rPr>
            </w:pPr>
            <w:r>
              <w:rPr>
                <w:rFonts w:ascii="Times New Roman" w:cs="Times New Roman" w:eastAsia="Times New Roman" w:hAnsi="Times New Roman"/>
                <w:sz w:val="16"/>
                <w:szCs w:val="16"/>
                <w:color w:val="auto"/>
                <w:w w:val="98"/>
              </w:rPr>
              <w:t>F-1</w:t>
            </w:r>
          </w:p>
        </w:tc>
        <w:tc>
          <w:tcPr>
            <w:tcW w:w="4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37" w:name="page138"/>
    <w:bookmarkEnd w:id="137"/>
    <w:p>
      <w:pPr>
        <w:ind w:left="28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CLPS Incorporation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CLPS Incorporation (the Company) as of June 30, 2025 and 2024, the related consolidated statements of comprehensive (loss) income, changes in shareholders’ equity and cash flows for each of the three years in the period ended June 30, 2025, and the related notes (collectively referred to as the “consolidated financial statements”). In our opinion, the consolidated financial statements present fairly, in all material respects, the financial position of the Company at June 30, 2025 and 2024, and the results of its operations and its cash flows for each of the three years in the period ended June 30, 2025,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i w:val="1"/>
          <w:iCs w:val="1"/>
          <w:color w:val="auto"/>
        </w:rPr>
        <w:t>Impairment Assessment of Academic education services Reporting Unit’s Goodwill</w:t>
      </w:r>
    </w:p>
    <w:p>
      <w:pPr>
        <w:spacing w:after="0" w:line="203" w:lineRule="exact"/>
        <w:rPr>
          <w:sz w:val="20"/>
          <w:szCs w:val="20"/>
          <w:color w:val="auto"/>
        </w:rPr>
      </w:pPr>
    </w:p>
    <w:p>
      <w:pPr>
        <w:jc w:val="both"/>
        <w:ind w:left="1800" w:right="20" w:hanging="1803"/>
        <w:spacing w:after="0" w:line="259" w:lineRule="auto"/>
        <w:tabs>
          <w:tab w:leader="none" w:pos="1780" w:val="left"/>
        </w:tabs>
        <w:rPr>
          <w:sz w:val="20"/>
          <w:szCs w:val="20"/>
          <w:color w:val="auto"/>
        </w:rPr>
      </w:pPr>
      <w:r>
        <w:rPr>
          <w:rFonts w:ascii="Times New Roman" w:cs="Times New Roman" w:eastAsia="Times New Roman" w:hAnsi="Times New Roman"/>
          <w:sz w:val="16"/>
          <w:szCs w:val="16"/>
          <w:i w:val="1"/>
          <w:iCs w:val="1"/>
          <w:color w:val="auto"/>
        </w:rPr>
        <w:t>Description of the Matter</w:t>
      </w:r>
      <w:r>
        <w:rPr>
          <w:sz w:val="20"/>
          <w:szCs w:val="20"/>
          <w:color w:val="auto"/>
        </w:rPr>
        <w:tab/>
      </w:r>
      <w:r>
        <w:rPr>
          <w:rFonts w:ascii="Times New Roman" w:cs="Times New Roman" w:eastAsia="Times New Roman" w:hAnsi="Times New Roman"/>
          <w:sz w:val="16"/>
          <w:szCs w:val="16"/>
          <w:color w:val="auto"/>
        </w:rPr>
        <w:t>As of June 30, 2025, the Company’s goodwill allocated to academic education services reporting unit was $1,435,782. As described in Notes 2 and 8 to the consolidated financial statements, goodwill is not amortized but rather tested for impairment at least annually at the reporting unit level. The Company performed quantitative assessment for the goodwill allocated to academic education services reporting unit using a discounted cash flow approach. As a result of the impairment assessment, no impairment losses were recognized for the Company’s goodwill allocated to academic education services reporting unit during the year ended June 30, 2025.</w:t>
      </w:r>
    </w:p>
    <w:p>
      <w:pPr>
        <w:spacing w:after="0" w:line="164" w:lineRule="exact"/>
        <w:rPr>
          <w:sz w:val="20"/>
          <w:szCs w:val="20"/>
          <w:color w:val="auto"/>
        </w:rPr>
      </w:pPr>
    </w:p>
    <w:p>
      <w:pPr>
        <w:jc w:val="both"/>
        <w:ind w:left="1800" w:right="20"/>
        <w:spacing w:after="0" w:line="267" w:lineRule="auto"/>
        <w:rPr>
          <w:sz w:val="20"/>
          <w:szCs w:val="20"/>
          <w:color w:val="auto"/>
        </w:rPr>
      </w:pPr>
      <w:r>
        <w:rPr>
          <w:rFonts w:ascii="Times New Roman" w:cs="Times New Roman" w:eastAsia="Times New Roman" w:hAnsi="Times New Roman"/>
          <w:sz w:val="16"/>
          <w:szCs w:val="16"/>
          <w:color w:val="auto"/>
        </w:rPr>
        <w:t>Auditing management’s impairment assessment of goodwill required subjective auditor’s judgment due to the estimation uncertainty in determining the fair value of the reporting unit. Significant assumptions used included revenue growth rates and discount rate. These significant assumptions are forward looking and could be affected by future economic and market conditions.</w:t>
      </w:r>
    </w:p>
    <w:p>
      <w:pPr>
        <w:spacing w:after="0" w:line="154"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i w:val="1"/>
          <w:iCs w:val="1"/>
          <w:color w:val="auto"/>
        </w:rPr>
        <w:t>How We Addressed the</w:t>
      </w:r>
      <w:r>
        <w:rPr>
          <w:sz w:val="20"/>
          <w:szCs w:val="20"/>
          <w:color w:val="auto"/>
        </w:rPr>
        <w:tab/>
      </w:r>
      <w:r>
        <w:rPr>
          <w:rFonts w:ascii="Times New Roman" w:cs="Times New Roman" w:eastAsia="Times New Roman" w:hAnsi="Times New Roman"/>
          <w:sz w:val="16"/>
          <w:szCs w:val="16"/>
          <w:color w:val="auto"/>
        </w:rPr>
        <w:t>To test the Company’s impairment assessment of goodwill, we performed audit procedures that included, among others, assessing the</w:t>
      </w:r>
    </w:p>
    <w:p>
      <w:pPr>
        <w:spacing w:after="0" w:line="27" w:lineRule="exact"/>
        <w:rPr>
          <w:sz w:val="20"/>
          <w:szCs w:val="20"/>
          <w:color w:val="auto"/>
        </w:rPr>
      </w:pPr>
    </w:p>
    <w:p>
      <w:pPr>
        <w:jc w:val="both"/>
        <w:ind w:left="1800" w:right="20" w:hanging="1803"/>
        <w:spacing w:after="0" w:line="253" w:lineRule="auto"/>
        <w:tabs>
          <w:tab w:leader="none" w:pos="1780" w:val="left"/>
        </w:tabs>
        <w:rPr>
          <w:sz w:val="20"/>
          <w:szCs w:val="20"/>
          <w:color w:val="auto"/>
        </w:rPr>
      </w:pPr>
      <w:r>
        <w:rPr>
          <w:rFonts w:ascii="Times New Roman" w:cs="Times New Roman" w:eastAsia="Times New Roman" w:hAnsi="Times New Roman"/>
          <w:sz w:val="16"/>
          <w:szCs w:val="16"/>
          <w:i w:val="1"/>
          <w:iCs w:val="1"/>
          <w:color w:val="auto"/>
        </w:rPr>
        <w:t>Matter in Our Audit</w:t>
      </w:r>
      <w:r>
        <w:rPr>
          <w:sz w:val="20"/>
          <w:szCs w:val="20"/>
          <w:color w:val="auto"/>
        </w:rPr>
        <w:tab/>
      </w:r>
      <w:r>
        <w:rPr>
          <w:rFonts w:ascii="Times New Roman" w:cs="Times New Roman" w:eastAsia="Times New Roman" w:hAnsi="Times New Roman"/>
          <w:sz w:val="16"/>
          <w:szCs w:val="16"/>
          <w:color w:val="auto"/>
        </w:rPr>
        <w:t>appropriateness of the valuation methodologies used and testing the significant assumptions used in the model, including the completeness and accuracy of the underlying data. We compared the projected revenue growth rates to the historical results of academic education services reporting unit and considered current industry and economic trends. We involved our valuation specialists to assist in assessing the valuation methodologies used by the Company, and evaluating the discount rate used in the valuation. We also performed sensitivity analyses of the significant assumptions discussed above to evaluate the changes in the fair value of the reporting unit resulting from changes in the assumptions.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Hua Ming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17,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10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34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28,173,160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29,116,431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24,081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10</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896,949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2,100,000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44,891,161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38,779,209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net</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7,441,565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4,497,578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4,374,595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3,559,109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85,777,430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78,076,408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6</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21,212,463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21,168,524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2,055,102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2,254,372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8</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1,435,782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1,473,899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3,407,995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2,776,858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10</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1,718,995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613,807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net</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481,761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594,603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1,945,960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2,374,298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73,942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697,047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118,109,430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110,029,816</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Bank loans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11</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30,217,329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23,232,856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2,515,207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949,137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260,880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799,495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payables</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2,463,706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2,351,615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2,470,135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1,139,001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Salaries and benefits payable</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12</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14,062,007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9,941,541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9</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2,348,195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1,361,928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21,884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54,359,343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39,795,803</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1,301,369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1,638,243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251,812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378,344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Unrecognized tax benefits</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3,715,163</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3,413,850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896,747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883,963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60,524,434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46,110,203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40" w:name="page141"/>
    <w:bookmarkEnd w:id="14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10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14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Common shares, $0.0001 par value, 100,000,000 shares authorized; 27,988,452 shares issued and outstanding</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of June 30, 2025; 25,640,056 shares issued and outstanding as of June 30, 2024</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2,799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1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60,177,851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61,351,200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Statutory reserves</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5,853,445</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5,553,104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(7,401,803)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(51,728)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(3,095,507)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(4,345,902)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CLPS Incorporation’s Shareholders’ Equity</w:t>
            </w: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55,536,785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62,509,238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14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2,048,211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1,410,375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57,584,996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63,919,613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118,109,430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110,029,816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bottom w:val="single" w:sz="8" w:color="CCEEFF"/>
            </w:tcBorders>
            <w:gridSpan w:val="3"/>
            <w:vMerge w:val="restart"/>
          </w:tcPr>
          <w:p>
            <w:pPr>
              <w:jc w:val="center"/>
              <w:ind w:left="24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868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7320" w:type="dxa"/>
            <w:vAlign w:val="bottom"/>
            <w:tcBorders>
              <w:bottom w:val="single" w:sz="8" w:color="auto"/>
            </w:tcBorders>
          </w:tcPr>
          <w:p>
            <w:pPr>
              <w:jc w:val="center"/>
              <w:ind w:left="3820"/>
              <w:spacing w:after="0"/>
              <w:rPr>
                <w:sz w:val="20"/>
                <w:szCs w:val="20"/>
                <w:color w:val="auto"/>
              </w:rPr>
            </w:pPr>
            <w:r>
              <w:rPr>
                <w:rFonts w:ascii="Times New Roman" w:cs="Times New Roman" w:eastAsia="Times New Roman" w:hAnsi="Times New Roman"/>
                <w:sz w:val="16"/>
                <w:szCs w:val="16"/>
                <w:color w:val="auto"/>
                <w:w w:val="98"/>
              </w:rPr>
              <w:t>F-5</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 INCOME</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from third parties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164,229,721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142,725,554</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150,298,963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related parties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13</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251,693</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87,172</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57,576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140" w:type="dxa"/>
            <w:vAlign w:val="bottom"/>
            <w:tcBorders>
              <w:top w:val="single" w:sz="8" w:color="CCEEFF"/>
              <w:bottom w:val="single" w:sz="8" w:color="CCEEFF"/>
            </w:tcBorders>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21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164,481,414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142,812,726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150,356,539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 from third parties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(127,987,226)</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(109,795,857)</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(115,827,597)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 from related parties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(188,770)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(69,738)</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(128,175,996</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(109,865,595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(115,874,809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36,305,418</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32,947,131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34,481,730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96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(expenses):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(5,180,682)</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(4,573,344)</w:t>
            </w: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(3,300,555)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(5,815,555)</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(7,155,949)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(8,336,999)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(31,852,179)</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(25,120,010)</w:t>
            </w: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(21,641,317)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114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8</w:t>
            </w: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(129,270)</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(2,382,538)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Subsidies and other operating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1,294,964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1,363,757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1,256,070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(41,682,722</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(35,485,546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(34,405,339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(5,377,304)</w:t>
            </w:r>
          </w:p>
        </w:tc>
        <w:tc>
          <w:tcPr>
            <w:tcW w:w="22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(2,538,415)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76,391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1,237,678</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1,251,465</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1,123,612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(935,988)</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(556,415)</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(430,357)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income tax and share of income (loss) in equity investees</w:t>
            </w: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(5,075,614)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(1,843,365)</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769,646</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40" w:type="dxa"/>
            <w:vAlign w:val="bottom"/>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947,529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160,725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674,344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share of income (loss) in equity investees</w:t>
            </w: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(6,023,143)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(2,004,090)</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Share of income (loss) in equity investees, net of tax</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(403,421)</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156,780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70,263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(6,426,564)</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(1,847,310)</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165,565</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623,170</w:t>
            </w:r>
          </w:p>
        </w:tc>
        <w:tc>
          <w:tcPr>
            <w:tcW w:w="22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482,655</w:t>
            </w:r>
          </w:p>
        </w:tc>
        <w:tc>
          <w:tcPr>
            <w:tcW w:w="2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(26,964)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CLPS Incorporation's shareholders</w:t>
            </w: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(7,049,734</w:t>
            </w:r>
          </w:p>
        </w:tc>
        <w:tc>
          <w:tcPr>
            <w:tcW w:w="22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(2,329,965</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42" w:name="page143"/>
    <w:bookmarkEnd w:id="14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(LOSS) INCOME (Continued)</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5980" w:type="dxa"/>
        <w:tblCellMar>
          <w:top w:w="0" w:type="dxa"/>
          <w:left w:w="0" w:type="dxa"/>
          <w:bottom w:w="0" w:type="dxa"/>
          <w:right w:w="0" w:type="dxa"/>
        </w:tblCellMar>
      </w:tblPr>
      <w:tr>
        <w:trPr>
          <w:trHeight w:val="215"/>
        </w:trPr>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Borders>
              <w:bottom w:val="single" w:sz="8" w:color="auto"/>
            </w:tcBorders>
          </w:tcPr>
          <w:p>
            <w:pPr>
              <w:spacing w:after="0"/>
              <w:rPr>
                <w:sz w:val="18"/>
                <w:szCs w:val="18"/>
                <w:color w:val="auto"/>
              </w:rPr>
            </w:pPr>
          </w:p>
        </w:tc>
      </w:tr>
      <w:tr>
        <w:trPr>
          <w:trHeight w:val="196"/>
        </w:trPr>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174" w:lineRule="exact"/>
        <w:rPr>
          <w:sz w:val="20"/>
          <w:szCs w:val="20"/>
          <w:color w:val="auto"/>
        </w:rPr>
      </w:pPr>
    </w:p>
    <w:p>
      <w:pPr>
        <w:sectPr>
          <w:pgSz w:w="11900" w:h="16838" w:orient="portrait"/>
          <w:cols w:equalWidth="0" w:num="1">
            <w:col w:w="11260"/>
          </w:cols>
          <w:pgMar w:left="320" w:top="794" w:right="31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translation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47560" cy="1219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ind w:right="940"/>
        <w:spacing w:after="0" w:line="258" w:lineRule="auto"/>
        <w:rPr>
          <w:sz w:val="20"/>
          <w:szCs w:val="20"/>
          <w:color w:val="auto"/>
        </w:rPr>
      </w:pPr>
      <w:r>
        <w:rPr>
          <w:rFonts w:ascii="Times New Roman" w:cs="Times New Roman" w:eastAsia="Times New Roman" w:hAnsi="Times New Roman"/>
          <w:sz w:val="16"/>
          <w:szCs w:val="16"/>
          <w:color w:val="auto"/>
        </w:rPr>
        <w:t>Less: foreign currency translation income (loss) attributable to noncontrolling interests Other comprehensive income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7147560" cy="2444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7560" cy="24447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6"/>
          <w:szCs w:val="16"/>
          <w:color w:val="auto"/>
        </w:rPr>
        <w:t>CLPS Incorporation’s shareholders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1,263,806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(355,386)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(3,532,507)</w:t>
            </w:r>
          </w:p>
        </w:tc>
      </w:tr>
      <w:tr>
        <w:trPr>
          <w:trHeight w:val="209"/>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14,666</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(92,161)</w:t>
            </w:r>
          </w:p>
        </w:tc>
      </w:tr>
      <w:tr>
        <w:trPr>
          <w:trHeight w:val="24"/>
        </w:trPr>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41"/>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1,249,140</w:t>
            </w:r>
          </w:p>
        </w:tc>
        <w:tc>
          <w:tcPr>
            <w:tcW w:w="220" w:type="dxa"/>
            <w:vAlign w:val="bottom"/>
          </w:tcPr>
          <w:p>
            <w:pPr>
              <w:spacing w:after="0"/>
              <w:rPr>
                <w:sz w:val="24"/>
                <w:szCs w:val="24"/>
                <w:color w:val="auto"/>
              </w:rPr>
            </w:pPr>
          </w:p>
        </w:tc>
        <w:tc>
          <w:tcPr>
            <w:tcW w:w="1320" w:type="dxa"/>
            <w:vAlign w:val="bottom"/>
            <w:gridSpan w:val="2"/>
          </w:tcPr>
          <w:p>
            <w:pPr>
              <w:jc w:val="right"/>
              <w:ind w:right="160"/>
              <w:spacing w:after="0" w:line="336" w:lineRule="exact"/>
              <w:rPr>
                <w:sz w:val="20"/>
                <w:szCs w:val="20"/>
                <w:color w:val="auto"/>
              </w:rPr>
            </w:pPr>
            <w:r>
              <w:rPr>
                <w:rFonts w:ascii="Times New Roman" w:cs="Times New Roman" w:eastAsia="Times New Roman" w:hAnsi="Times New Roman"/>
                <w:sz w:val="16"/>
                <w:szCs w:val="16"/>
                <w:color w:val="auto"/>
              </w:rPr>
              <w:t>(355,308</w:t>
            </w:r>
            <w:r>
              <w:rPr>
                <w:rFonts w:ascii="Times New Roman" w:cs="Times New Roman" w:eastAsia="Times New Roman" w:hAnsi="Times New Roman"/>
                <w:sz w:val="32"/>
                <w:szCs w:val="32"/>
                <w:color w:val="auto"/>
                <w:vertAlign w:val="subscript"/>
              </w:rPr>
              <w:t>)</w:t>
            </w:r>
          </w:p>
        </w:tc>
        <w:tc>
          <w:tcPr>
            <w:tcW w:w="1180" w:type="dxa"/>
            <w:vAlign w:val="bottom"/>
            <w:gridSpan w:val="2"/>
          </w:tcPr>
          <w:p>
            <w:pPr>
              <w:jc w:val="right"/>
              <w:spacing w:after="0" w:line="336" w:lineRule="exact"/>
              <w:rPr>
                <w:sz w:val="20"/>
                <w:szCs w:val="20"/>
                <w:color w:val="auto"/>
              </w:rPr>
            </w:pPr>
            <w:r>
              <w:rPr>
                <w:rFonts w:ascii="Times New Roman" w:cs="Times New Roman" w:eastAsia="Times New Roman" w:hAnsi="Times New Roman"/>
                <w:sz w:val="16"/>
                <w:szCs w:val="16"/>
                <w:color w:val="auto"/>
              </w:rPr>
              <w:t>(3,440,346</w:t>
            </w:r>
            <w:r>
              <w:rPr>
                <w:rFonts w:ascii="Times New Roman" w:cs="Times New Roman" w:eastAsia="Times New Roman" w:hAnsi="Times New Roman"/>
                <w:sz w:val="32"/>
                <w:szCs w:val="32"/>
                <w:color w:val="auto"/>
                <w:vertAlign w:val="subscript"/>
              </w:rPr>
              <w:t>)</w:t>
            </w:r>
          </w:p>
        </w:tc>
      </w:tr>
      <w:tr>
        <w:trPr>
          <w:trHeight w:val="28"/>
        </w:trPr>
        <w:tc>
          <w:tcPr>
            <w:tcW w:w="12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92" w:lineRule="exact"/>
        <w:rPr>
          <w:sz w:val="20"/>
          <w:szCs w:val="20"/>
          <w:color w:val="auto"/>
        </w:rPr>
      </w:pPr>
    </w:p>
    <w:p>
      <w:pPr>
        <w:sectPr>
          <w:pgSz w:w="11900" w:h="16838" w:orient="portrait"/>
          <w:cols w:equalWidth="0" w:num="2">
            <w:col w:w="6500" w:space="720"/>
            <w:col w:w="4040"/>
          </w:cols>
          <w:pgMar w:left="320" w:top="794" w:right="31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 attributable to CLPS Incorporation's shareholders</w:t>
            </w:r>
          </w:p>
        </w:tc>
        <w:tc>
          <w:tcPr>
            <w:tcW w:w="15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(5,800,594)</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(2,685,273)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(3,247,817)</w:t>
            </w: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156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637,836</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482,577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(119,125)</w:t>
            </w:r>
          </w:p>
        </w:tc>
      </w:tr>
      <w:tr>
        <w:trPr>
          <w:trHeight w:val="21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(5,162,758</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(2,202,696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(3,366,942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1"/>
        </w:trPr>
        <w:tc>
          <w:tcPr>
            <w:tcW w:w="56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Basic (losses) earnings per common share</w:t>
            </w:r>
          </w:p>
        </w:tc>
        <w:tc>
          <w:tcPr>
            <w:tcW w:w="1560" w:type="dxa"/>
            <w:vAlign w:val="bottom"/>
          </w:tcPr>
          <w:p>
            <w:pPr>
              <w:jc w:val="right"/>
              <w:ind w:right="520"/>
              <w:spacing w:after="0" w:line="177" w:lineRule="exact"/>
              <w:rPr>
                <w:sz w:val="20"/>
                <w:szCs w:val="20"/>
                <w:color w:val="auto"/>
              </w:rPr>
            </w:pPr>
            <w:r>
              <w:rPr>
                <w:rFonts w:ascii="Times New Roman" w:cs="Times New Roman" w:eastAsia="Times New Roman" w:hAnsi="Times New Roman"/>
                <w:sz w:val="16"/>
                <w:szCs w:val="16"/>
                <w:color w:val="auto"/>
              </w:rPr>
              <w:t>16</w:t>
            </w:r>
          </w:p>
        </w:tc>
        <w:tc>
          <w:tcPr>
            <w:tcW w:w="126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(0.26</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(0.09</w:t>
            </w:r>
          </w:p>
        </w:tc>
        <w:tc>
          <w:tcPr>
            <w:tcW w:w="220" w:type="dxa"/>
            <w:vAlign w:val="bottom"/>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5"/>
                <w:szCs w:val="15"/>
                <w:color w:val="auto"/>
              </w:rPr>
            </w:pPr>
          </w:p>
        </w:tc>
      </w:tr>
      <w:tr>
        <w:trPr>
          <w:trHeight w:val="28"/>
        </w:trPr>
        <w:tc>
          <w:tcPr>
            <w:tcW w:w="56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2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 basic</w:t>
            </w:r>
          </w:p>
        </w:tc>
        <w:tc>
          <w:tcPr>
            <w:tcW w:w="15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27,533,182</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25,213,012</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23,153,976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r>
      <w:tr>
        <w:trPr>
          <w:trHeight w:val="185"/>
        </w:trPr>
        <w:tc>
          <w:tcPr>
            <w:tcW w:w="56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Diluted (losses) earnings per common share</w:t>
            </w:r>
          </w:p>
        </w:tc>
        <w:tc>
          <w:tcPr>
            <w:tcW w:w="1560" w:type="dxa"/>
            <w:vAlign w:val="bottom"/>
          </w:tcPr>
          <w:p>
            <w:pPr>
              <w:jc w:val="right"/>
              <w:ind w:right="520"/>
              <w:spacing w:after="0" w:line="181" w:lineRule="exact"/>
              <w:rPr>
                <w:sz w:val="20"/>
                <w:szCs w:val="20"/>
                <w:color w:val="auto"/>
              </w:rPr>
            </w:pPr>
            <w:r>
              <w:rPr>
                <w:rFonts w:ascii="Times New Roman" w:cs="Times New Roman" w:eastAsia="Times New Roman" w:hAnsi="Times New Roman"/>
                <w:sz w:val="16"/>
                <w:szCs w:val="16"/>
                <w:color w:val="auto"/>
              </w:rPr>
              <w:t>16</w:t>
            </w:r>
          </w:p>
        </w:tc>
        <w:tc>
          <w:tcPr>
            <w:tcW w:w="12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(0.26</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(0.09</w:t>
            </w:r>
          </w:p>
        </w:tc>
        <w:tc>
          <w:tcPr>
            <w:tcW w:w="220" w:type="dxa"/>
            <w:vAlign w:val="bottom"/>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16"/>
                <w:szCs w:val="16"/>
                <w:color w:val="auto"/>
              </w:rPr>
            </w:pPr>
          </w:p>
        </w:tc>
      </w:tr>
      <w:tr>
        <w:trPr>
          <w:trHeight w:val="28"/>
        </w:trPr>
        <w:tc>
          <w:tcPr>
            <w:tcW w:w="56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2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 outstanding – diluted</w:t>
            </w:r>
          </w:p>
        </w:tc>
        <w:tc>
          <w:tcPr>
            <w:tcW w:w="15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27,533,182</w:t>
            </w: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25,213,012</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23,153,976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type w:val="continuous"/>
        </w:sectPr>
      </w:pPr>
    </w:p>
    <w:bookmarkStart w:id="143" w:name="page144"/>
    <w:bookmarkEnd w:id="143"/>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CLPS</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2"/>
        </w:trPr>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7"/>
        </w:trPr>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Statutory</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96"/>
        </w:trPr>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r>
    </w:tbl>
    <w:p>
      <w:pPr>
        <w:spacing w:after="0" w:line="176" w:lineRule="exact"/>
        <w:rPr>
          <w:sz w:val="20"/>
          <w:szCs w:val="20"/>
          <w:color w:val="auto"/>
        </w:rPr>
      </w:pPr>
    </w:p>
    <w:p>
      <w:pPr>
        <w:sectPr>
          <w:pgSz w:w="11900" w:h="16838" w:orient="portrait"/>
          <w:cols w:equalWidth="0" w:num="1">
            <w:col w:w="11140"/>
          </w:cols>
          <w:pgMar w:left="320" w:top="794" w:right="439" w:bottom="1440" w:gutter="0" w:footer="0" w:header="0"/>
        </w:sect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2022</w:t>
            </w:r>
          </w:p>
        </w:tc>
        <w:tc>
          <w:tcPr>
            <w:tcW w:w="5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22,444,822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2,244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55,705,209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5,071,876</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Cumulative effect of</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adoption of ASU</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2016-13</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Net income for the year</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Appropriation of</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statutory reserve</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284,952</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 loss</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Disposal of a subsidiary</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2,478,295</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share options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vesting of</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shares</w:t>
            </w:r>
          </w:p>
        </w:tc>
        <w:tc>
          <w:tcPr>
            <w:tcW w:w="5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1,205,300</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4"/>
        </w:trPr>
        <w:tc>
          <w:tcPr>
            <w:tcW w:w="172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Dividends paid</w:t>
            </w:r>
          </w:p>
        </w:tc>
        <w:tc>
          <w:tcPr>
            <w:tcW w:w="5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noncontrolling</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shareholders</w:t>
            </w:r>
          </w:p>
        </w:tc>
        <w:tc>
          <w:tcPr>
            <w:tcW w:w="5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5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23,650,122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2,365</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58,183,383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5,356,828</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for the year</w:t>
            </w: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7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Appropriation of</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statutory reserve</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196,276</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 loss</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3,168,016</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share options</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vesting of</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shares</w:t>
            </w:r>
          </w:p>
        </w:tc>
        <w:tc>
          <w:tcPr>
            <w:tcW w:w="5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1,989,934</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shareholders</w:t>
            </w:r>
          </w:p>
        </w:tc>
        <w:tc>
          <w:tcPr>
            <w:tcW w:w="5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5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25,640,056</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2,564</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61,351,200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5,553,104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-4321175</wp:posOffset>
            </wp:positionV>
            <wp:extent cx="7147560" cy="1219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7560" cy="1219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-3832860</wp:posOffset>
            </wp:positionV>
            <wp:extent cx="7147560" cy="1219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7560" cy="1219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-3465830</wp:posOffset>
            </wp:positionV>
            <wp:extent cx="7147560" cy="2444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-3099435</wp:posOffset>
            </wp:positionV>
            <wp:extent cx="7147560" cy="2444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-2473325</wp:posOffset>
            </wp:positionV>
            <wp:extent cx="7147560" cy="3663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7560" cy="3663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-1847215</wp:posOffset>
            </wp:positionV>
            <wp:extent cx="7147560" cy="1606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7560" cy="160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-1541780</wp:posOffset>
            </wp:positionV>
            <wp:extent cx="7147560" cy="2444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-1052830</wp:posOffset>
            </wp:positionV>
            <wp:extent cx="7147560" cy="2444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7560" cy="2444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-441960</wp:posOffset>
            </wp:positionV>
            <wp:extent cx="7101205" cy="259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01205" cy="259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6,323,792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(550,248)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66,552,873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1,247,727</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67,800,600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1"/>
        </w:trPr>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(26,664)</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(26,664)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(26,664)</w:t>
            </w:r>
          </w:p>
        </w:tc>
        <w:tc>
          <w:tcPr>
            <w:tcW w:w="0" w:type="dxa"/>
            <w:vAlign w:val="bottom"/>
          </w:tcPr>
          <w:p>
            <w:pPr>
              <w:spacing w:after="0"/>
              <w:rPr>
                <w:sz w:val="1"/>
                <w:szCs w:val="1"/>
                <w:color w:val="auto"/>
              </w:rPr>
            </w:pPr>
          </w:p>
        </w:tc>
      </w:tr>
      <w:tr>
        <w:trPr>
          <w:trHeight w:val="209"/>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192,529</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192,529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(26,964)</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165,565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(284,952)</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(3,440,346)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(3,440,346)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(92,161)</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(3,532,507)</w:t>
            </w:r>
          </w:p>
        </w:tc>
        <w:tc>
          <w:tcPr>
            <w:tcW w:w="0" w:type="dxa"/>
            <w:vAlign w:val="bottom"/>
          </w:tcPr>
          <w:p>
            <w:pPr>
              <w:spacing w:after="0"/>
              <w:rPr>
                <w:sz w:val="1"/>
                <w:szCs w:val="1"/>
                <w:color w:val="auto"/>
              </w:rPr>
            </w:pPr>
          </w:p>
        </w:tc>
      </w:tr>
      <w:tr>
        <w:trPr>
          <w:trHeight w:val="209"/>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2,478,295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2,478,295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9"/>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65"/>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(207,087)</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(207,087)</w:t>
            </w:r>
          </w:p>
        </w:tc>
        <w:tc>
          <w:tcPr>
            <w:tcW w:w="0" w:type="dxa"/>
            <w:vAlign w:val="bottom"/>
          </w:tcPr>
          <w:p>
            <w:pPr>
              <w:spacing w:after="0"/>
              <w:rPr>
                <w:sz w:val="1"/>
                <w:szCs w:val="1"/>
                <w:color w:val="auto"/>
              </w:rPr>
            </w:pPr>
          </w:p>
        </w:tc>
      </w:tr>
      <w:tr>
        <w:trPr>
          <w:trHeight w:val="397"/>
        </w:trPr>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(1,175,684)</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(1,175,684)</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(1,175,684)</w:t>
            </w:r>
          </w:p>
        </w:tc>
        <w:tc>
          <w:tcPr>
            <w:tcW w:w="0" w:type="dxa"/>
            <w:vAlign w:val="bottom"/>
          </w:tcPr>
          <w:p>
            <w:pPr>
              <w:spacing w:after="0"/>
              <w:rPr>
                <w:sz w:val="1"/>
                <w:szCs w:val="1"/>
                <w:color w:val="auto"/>
              </w:rPr>
            </w:pPr>
          </w:p>
        </w:tc>
      </w:tr>
      <w:tr>
        <w:trPr>
          <w:trHeight w:val="24"/>
        </w:trPr>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5,029,021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(3,990,594</w:t>
            </w:r>
          </w:p>
        </w:tc>
        <w:tc>
          <w:tcPr>
            <w:tcW w:w="280" w:type="dxa"/>
            <w:vAlign w:val="bottom"/>
            <w:vMerge w:val="continue"/>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64,581,003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927,798</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65,508,801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(2,329,965)</w:t>
            </w:r>
          </w:p>
        </w:tc>
        <w:tc>
          <w:tcPr>
            <w:tcW w:w="16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(2,329,965)</w:t>
            </w:r>
          </w:p>
        </w:tc>
        <w:tc>
          <w:tcPr>
            <w:tcW w:w="16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482,655</w:t>
            </w:r>
          </w:p>
        </w:tc>
        <w:tc>
          <w:tcPr>
            <w:tcW w:w="16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(1,847,310)</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(196,276)</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(355,308)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(355,308)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(355,386)</w:t>
            </w:r>
          </w:p>
        </w:tc>
        <w:tc>
          <w:tcPr>
            <w:tcW w:w="0" w:type="dxa"/>
            <w:vAlign w:val="bottom"/>
          </w:tcPr>
          <w:p>
            <w:pPr>
              <w:spacing w:after="0"/>
              <w:rPr>
                <w:sz w:val="1"/>
                <w:szCs w:val="1"/>
                <w:color w:val="auto"/>
              </w:rPr>
            </w:pPr>
          </w:p>
        </w:tc>
      </w:tr>
      <w:tr>
        <w:trPr>
          <w:trHeight w:val="385"/>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3,168,016</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3,168,016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(2,554,508)</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(2,554,508)</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9"/>
              </w:rPr>
              <w:t>(2,554,508)</w:t>
            </w:r>
          </w:p>
        </w:tc>
        <w:tc>
          <w:tcPr>
            <w:tcW w:w="0" w:type="dxa"/>
            <w:vAlign w:val="bottom"/>
          </w:tcPr>
          <w:p>
            <w:pPr>
              <w:spacing w:after="0"/>
              <w:rPr>
                <w:sz w:val="1"/>
                <w:szCs w:val="1"/>
                <w:color w:val="auto"/>
              </w:rPr>
            </w:pPr>
          </w:p>
        </w:tc>
      </w:tr>
      <w:tr>
        <w:trPr>
          <w:trHeight w:val="221"/>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(51,728</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(4,345,902</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62,509,238</w:t>
            </w: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1,410,375</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63,919,613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2">
            <w:col w:w="5640" w:space="160"/>
            <w:col w:w="5340"/>
          </w:cols>
          <w:pgMar w:left="320" w:top="794"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140"/>
          </w:cols>
          <w:pgMar w:left="320" w:top="794" w:right="439" w:bottom="1440" w:gutter="0" w:footer="0" w:header="0"/>
          <w:type w:val="continuous"/>
        </w:sectPr>
      </w:pPr>
    </w:p>
    <w:bookmarkStart w:id="144" w:name="page145"/>
    <w:bookmarkEnd w:id="144"/>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(Continued)</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CLPS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4"/>
            <w:vMerge w:val="continue"/>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Statutory</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Shareholders’</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Noncontrolling</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8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Surplus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Deficits)</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64"/>
        </w:trPr>
        <w:tc>
          <w:tcPr>
            <w:tcW w:w="110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Net loss for the</w:t>
            </w: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year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(7,049,734)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(7,049,734)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623,170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(6,426,564)</w:t>
            </w:r>
          </w:p>
        </w:tc>
        <w:tc>
          <w:tcPr>
            <w:tcW w:w="0" w:type="dxa"/>
            <w:vAlign w:val="bottom"/>
          </w:tcPr>
          <w:p>
            <w:pPr>
              <w:spacing w:after="0"/>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Appropriation</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statutory</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reserve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300,341</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(300,341)</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Foreign</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translation</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1,250,395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14,666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Stock-based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2,467,911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2,467,911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2,467,911</w:t>
            </w:r>
          </w:p>
        </w:tc>
        <w:tc>
          <w:tcPr>
            <w:tcW w:w="0" w:type="dxa"/>
            <w:vAlign w:val="bottom"/>
          </w:tcPr>
          <w:p>
            <w:pPr>
              <w:spacing w:after="0"/>
              <w:rPr>
                <w:sz w:val="1"/>
                <w:szCs w:val="1"/>
                <w:color w:val="auto"/>
              </w:rPr>
            </w:pPr>
          </w:p>
        </w:tc>
      </w:tr>
      <w:tr>
        <w:trPr>
          <w:trHeight w:val="176"/>
        </w:trPr>
        <w:tc>
          <w:tcPr>
            <w:tcW w:w="11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Exercise of</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options</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vesting of</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2,348,396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(235)</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shareholders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(3,641,025)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(3,641,025)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(3,641,025)</w:t>
            </w:r>
          </w:p>
        </w:tc>
        <w:tc>
          <w:tcPr>
            <w:tcW w:w="0" w:type="dxa"/>
            <w:vAlign w:val="bottom"/>
          </w:tcPr>
          <w:p>
            <w:pPr>
              <w:spacing w:after="0"/>
              <w:rPr>
                <w:sz w:val="1"/>
                <w:szCs w:val="1"/>
                <w:color w:val="auto"/>
              </w:rPr>
            </w:pPr>
          </w:p>
        </w:tc>
      </w:tr>
      <w:tr>
        <w:trPr>
          <w:trHeight w:val="164"/>
        </w:trPr>
        <w:tc>
          <w:tcPr>
            <w:tcW w:w="110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Balance at June</w:t>
            </w: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30, 2025</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27,988,452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2,799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60,177,851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5,853,445</w:t>
            </w:r>
          </w:p>
        </w:tc>
        <w:tc>
          <w:tcPr>
            <w:tcW w:w="1600" w:type="dxa"/>
            <w:vAlign w:val="bottom"/>
            <w:gridSpan w:val="2"/>
            <w:shd w:val="clear" w:color="auto" w:fill="CCEEFF"/>
          </w:tcPr>
          <w:p>
            <w:pPr>
              <w:jc w:val="right"/>
              <w:ind w:right="40"/>
              <w:spacing w:after="0" w:line="245" w:lineRule="exact"/>
              <w:rPr>
                <w:sz w:val="20"/>
                <w:szCs w:val="20"/>
                <w:color w:val="auto"/>
              </w:rPr>
            </w:pPr>
            <w:r>
              <w:rPr>
                <w:rFonts w:ascii="Times New Roman" w:cs="Times New Roman" w:eastAsia="Times New Roman" w:hAnsi="Times New Roman"/>
                <w:sz w:val="15"/>
                <w:szCs w:val="15"/>
                <w:color w:val="auto"/>
              </w:rPr>
              <w:t>(7,401,803</w:t>
            </w:r>
            <w:r>
              <w:rPr>
                <w:rFonts w:ascii="Times New Roman" w:cs="Times New Roman" w:eastAsia="Times New Roman" w:hAnsi="Times New Roman"/>
                <w:sz w:val="28"/>
                <w:szCs w:val="28"/>
                <w:color w:val="auto"/>
                <w:vertAlign w:val="superscript"/>
              </w:rPr>
              <w:t>)</w:t>
            </w:r>
          </w:p>
        </w:tc>
        <w:tc>
          <w:tcPr>
            <w:tcW w:w="1680" w:type="dxa"/>
            <w:vAlign w:val="bottom"/>
            <w:gridSpan w:val="2"/>
            <w:shd w:val="clear" w:color="auto" w:fill="CCEEFF"/>
          </w:tcPr>
          <w:p>
            <w:pPr>
              <w:jc w:val="right"/>
              <w:ind w:right="40"/>
              <w:spacing w:after="0" w:line="245" w:lineRule="exact"/>
              <w:rPr>
                <w:sz w:val="20"/>
                <w:szCs w:val="20"/>
                <w:color w:val="auto"/>
              </w:rPr>
            </w:pPr>
            <w:r>
              <w:rPr>
                <w:rFonts w:ascii="Times New Roman" w:cs="Times New Roman" w:eastAsia="Times New Roman" w:hAnsi="Times New Roman"/>
                <w:sz w:val="15"/>
                <w:szCs w:val="15"/>
                <w:color w:val="auto"/>
              </w:rPr>
              <w:t>(3,095,507</w:t>
            </w:r>
            <w:r>
              <w:rPr>
                <w:rFonts w:ascii="Times New Roman" w:cs="Times New Roman" w:eastAsia="Times New Roman" w:hAnsi="Times New Roman"/>
                <w:sz w:val="28"/>
                <w:szCs w:val="28"/>
                <w:color w:val="auto"/>
                <w:vertAlign w:val="superscript"/>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55,536,785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2,048,211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57,584,996</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340"/>
          </w:cols>
          <w:pgMar w:left="320" w:top="794" w:right="239" w:bottom="1440" w:gutter="0" w:footer="0" w:header="0"/>
        </w:sectPr>
      </w:pPr>
    </w:p>
    <w:bookmarkStart w:id="145" w:name="page146"/>
    <w:bookmarkEnd w:id="14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(loss) income</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(6,426,564)</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(1,847,310)</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165,565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(used in) operating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2,467,911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3,168,016</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2,478,295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1,877,119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1,252,493</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1,219,812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tax expenses (benefits)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484,338</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(717,679)</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264,027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Lease expense to reduce operating lease right-of -use assets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2,006,244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1,487,063</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1,070,385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 of loss (income) in equity investees, net of tax</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403,421</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(156,780)</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subsidiaries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38,674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Provision for (reversal of) credit losses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33,923</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589,529</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from disposal of property and equipment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3,503</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9,720</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of long-term investments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85,326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Impairment of goodwill</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129,270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2,382,538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(59,998)</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(5,350,073)</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7,208,359</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454,071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Prepayment, deposits and other assets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(2,518,771)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(308,440)</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3,457,373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(239,802)</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(26,274)</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27,836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1,566,070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212,771</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346,438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(382,472)</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(189,912)</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Contract liabilities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1,331,134</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(226,575)</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331,330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Tax payables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112,091</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(303,260)</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148,309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(19,445)</w:t>
            </w:r>
          </w:p>
        </w:tc>
        <w:tc>
          <w:tcPr>
            <w:tcW w:w="2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(291,087)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Salaries and benefits payable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3,891,709</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(1,118,578)</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(769,939)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(2,122,665)</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(1,181,396)</w:t>
            </w:r>
          </w:p>
        </w:tc>
        <w:tc>
          <w:tcPr>
            <w:tcW w:w="2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(1,101,526)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Unrecognized tax benefit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250,809</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1,092,932</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(266,276)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11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(2,544,043</w:t>
            </w:r>
          </w:p>
        </w:tc>
        <w:tc>
          <w:tcPr>
            <w:tcW w:w="220" w:type="dxa"/>
            <w:vAlign w:val="bottom"/>
            <w:tcBorders>
              <w:top w:val="single" w:sz="8" w:color="CCEEFF"/>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8,925,234</w:t>
            </w:r>
          </w:p>
        </w:tc>
        <w:tc>
          <w:tcPr>
            <w:tcW w:w="22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9,705,951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(1,258,043)</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(2,117,282)</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1,328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8,521</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158,365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(9,614)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business acquisitions, net of cash acquired from acquisitions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(211,353)</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(2,358,172)</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 of long-term investments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(1,491,891)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Disposition of long-term investments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111,066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Disposition of subsidiaries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2,726,780</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1,119,635</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14,130,000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(1,463,731)</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(3,219,635)</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Maturities of short-term investments, net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Repayments from related parties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2,936,754</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829,847</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204,211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Loans provided to related parties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(2,984,351)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(6,513,930)</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(1,754,121</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(12,251,016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(306,046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46" w:name="page147"/>
    <w:bookmarkEnd w:id="14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9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short-term bank loans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42,871,141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44,508,794</w:t>
            </w: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23,388,911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short-term bank loans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(36,168,815)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(31,761,143)</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(26,325,471)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for subsidiary’s offering costs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(161,185)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(3,641,025)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(2,554,508)</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(1,175,684)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 to noncontrolling interests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(207,087)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32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1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2,900,116</w:t>
            </w:r>
          </w:p>
        </w:tc>
        <w:tc>
          <w:tcPr>
            <w:tcW w:w="220" w:type="dxa"/>
            <w:vAlign w:val="bottom"/>
            <w:tcBorders>
              <w:top w:val="single" w:sz="8" w:color="CCEEFF"/>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ind w:left="380"/>
              <w:spacing w:after="0" w:line="177" w:lineRule="exact"/>
              <w:rPr>
                <w:sz w:val="20"/>
                <w:szCs w:val="20"/>
                <w:color w:val="auto"/>
              </w:rPr>
            </w:pPr>
            <w:r>
              <w:rPr>
                <w:rFonts w:ascii="Times New Roman" w:cs="Times New Roman" w:eastAsia="Times New Roman" w:hAnsi="Times New Roman"/>
                <w:sz w:val="16"/>
                <w:szCs w:val="16"/>
                <w:b w:val="1"/>
                <w:bCs w:val="1"/>
                <w:color w:val="auto"/>
                <w:w w:val="97"/>
              </w:rPr>
              <w:t>10,193,143</w:t>
            </w:r>
          </w:p>
        </w:tc>
        <w:tc>
          <w:tcPr>
            <w:tcW w:w="22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b w:val="1"/>
                <w:bCs w:val="1"/>
                <w:color w:val="auto"/>
              </w:rPr>
              <w:t>(4,319,331</w:t>
            </w:r>
          </w:p>
        </w:tc>
        <w:tc>
          <w:tcPr>
            <w:tcW w:w="100" w:type="dxa"/>
            <w:vAlign w:val="bottom"/>
            <w:tcBorders>
              <w:top w:val="single" w:sz="8" w:color="CCEEFF"/>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430,696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(28,482)</w:t>
            </w:r>
          </w:p>
        </w:tc>
        <w:tc>
          <w:tcPr>
            <w:tcW w:w="28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(1,175,928)</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(967,352)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6,838,879</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3,904,646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beginning of the year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29,140,512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22,301,633</w:t>
            </w:r>
          </w:p>
        </w:tc>
        <w:tc>
          <w:tcPr>
            <w:tcW w:w="2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18,396,987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end of the year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28,173,160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29,140,512</w:t>
            </w:r>
          </w:p>
        </w:tc>
        <w:tc>
          <w:tcPr>
            <w:tcW w:w="2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22,301,633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379,140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857,515</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1,619,792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482,161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407,574</w:t>
            </w: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365,893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28,173,160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29,116,431</w:t>
            </w: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22,214,029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24,081</w:t>
            </w:r>
          </w:p>
        </w:tc>
        <w:tc>
          <w:tcPr>
            <w:tcW w:w="2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87,604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 shown in the statements of cash flows</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28,173,160</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29,140,512</w:t>
            </w:r>
          </w:p>
        </w:tc>
        <w:tc>
          <w:tcPr>
            <w:tcW w:w="2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22,301,633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 shown in the statements of cash flows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320" w:type="dxa"/>
            <w:vAlign w:val="bottom"/>
            <w:vMerge w:val="continue"/>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28,173,160</w:t>
            </w:r>
          </w:p>
        </w:tc>
        <w:tc>
          <w:tcPr>
            <w:tcW w:w="220" w:type="dxa"/>
            <w:vAlign w:val="bottom"/>
          </w:tcPr>
          <w:p>
            <w:pPr>
              <w:spacing w:after="0"/>
              <w:rPr>
                <w:sz w:val="16"/>
                <w:szCs w:val="16"/>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97"/>
              </w:rPr>
              <w:t>29,140,512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22,301,633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ORGANIZATION AND DESCRIPTION OF BUSINESS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CLPS Incorporation (“CLPS” or the “Company”), is a company that was established under the laws of the Cayman Islands on May 11, 2017, as a holding company. The Company, through its subsidiaries, designs, builds, and delivers IT services, solutions, product services and academic education service.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together with Mr. Raymond Ming Hui Lin, the Company’s Chief Executive Officer (“CEO”) are the controlling shareholders of the Company (the “controlling shareholder”). On June 8, 2018, the Company completed its initial public offering (“IPO”) on the Nasdaq Capital Market.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Details of the significant subsidiaries of the Company are set out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800" w:type="dxa"/>
            <w:vAlign w:val="bottom"/>
          </w:tcPr>
          <w:p>
            <w:pPr>
              <w:spacing w:after="0"/>
              <w:rPr>
                <w:sz w:val="16"/>
                <w:szCs w:val="16"/>
                <w:color w:val="auto"/>
              </w:rPr>
            </w:pPr>
          </w:p>
        </w:tc>
      </w:tr>
      <w:tr>
        <w:trPr>
          <w:trHeight w:val="192"/>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Date of Incorporation/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15"/>
        </w:trPr>
        <w:tc>
          <w:tcPr>
            <w:tcW w:w="440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Name of Entity</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Activities</w:t>
            </w:r>
          </w:p>
        </w:tc>
      </w:tr>
      <w:tr>
        <w:trPr>
          <w:trHeight w:val="176"/>
        </w:trPr>
        <w:tc>
          <w:tcPr>
            <w:tcW w:w="4280" w:type="dxa"/>
            <w:vAlign w:val="bottom"/>
            <w:tcBorders>
              <w:top w:val="single" w:sz="8" w:color="auto"/>
            </w:tcBorders>
            <w:shd w:val="clear" w:color="auto" w:fill="CCEEFF"/>
          </w:tcPr>
          <w:p>
            <w:pPr>
              <w:jc w:val="center"/>
              <w:ind w:left="80"/>
              <w:spacing w:after="0" w:line="176" w:lineRule="exact"/>
              <w:rPr>
                <w:sz w:val="20"/>
                <w:szCs w:val="20"/>
                <w:color w:val="auto"/>
              </w:rPr>
            </w:pPr>
            <w:r>
              <w:rPr>
                <w:rFonts w:ascii="Times New Roman" w:cs="Times New Roman" w:eastAsia="Times New Roman" w:hAnsi="Times New Roman"/>
                <w:sz w:val="16"/>
                <w:szCs w:val="16"/>
                <w:color w:val="auto"/>
              </w:rPr>
              <w:t>Qiner Co., Limited (“Qiner”)</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8"/>
              </w:rPr>
              <w:t>Hong Kong, China</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Holding Company</w:t>
            </w:r>
          </w:p>
        </w:tc>
      </w:tr>
      <w:tr>
        <w:trPr>
          <w:trHeight w:val="209"/>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21, 2017</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Qinheng Co., Limited (“Qinheng”)</w:t>
            </w:r>
          </w:p>
        </w:tc>
        <w:tc>
          <w:tcPr>
            <w:tcW w:w="18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Hong Kong,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Holding Company</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9, 2017</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Shanghai Qincheng Information Technology Co., Ltd. (“CLPS</w:t>
            </w:r>
          </w:p>
        </w:tc>
        <w:tc>
          <w:tcPr>
            <w:tcW w:w="182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rPr>
              <w:t>Shanghai, China</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Holding Company</w:t>
            </w:r>
          </w:p>
        </w:tc>
      </w:tr>
      <w:tr>
        <w:trPr>
          <w:trHeight w:val="209"/>
        </w:trPr>
        <w:tc>
          <w:tcPr>
            <w:tcW w:w="4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QC” or “WOFE”)</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August 4, 2017</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Shanghai Chenqin Information Technology Services Co., Ltd.</w:t>
            </w:r>
          </w:p>
        </w:tc>
        <w:tc>
          <w:tcPr>
            <w:tcW w:w="182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rPr>
              <w:t>Shanghai,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Holding Company</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May 31, 2021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ind w:right="40"/>
              <w:spacing w:after="0" w:line="176" w:lineRule="exact"/>
              <w:rPr>
                <w:sz w:val="20"/>
                <w:szCs w:val="20"/>
                <w:color w:val="auto"/>
              </w:rPr>
            </w:pPr>
            <w:r>
              <w:rPr>
                <w:rFonts w:ascii="Times New Roman" w:cs="Times New Roman" w:eastAsia="Times New Roman" w:hAnsi="Times New Roman"/>
                <w:sz w:val="16"/>
                <w:szCs w:val="16"/>
                <w:color w:val="auto"/>
                <w:w w:val="99"/>
              </w:rPr>
              <w:t>CLPS Shanghai Co., Ltd. (“CLPS Shanghai”, formerly</w:t>
            </w:r>
          </w:p>
        </w:tc>
        <w:tc>
          <w:tcPr>
            <w:tcW w:w="18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rPr>
              <w:t>Shanghai, China</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4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ChinaLink Professional Service Co., Ltd.)</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August 30, 2005</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rPr>
              <w:t>CLPS Dalian Co., Ltd. (“CLPS Dalian”)</w:t>
            </w:r>
          </w:p>
        </w:tc>
        <w:tc>
          <w:tcPr>
            <w:tcW w:w="18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Dalian,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May 25, 2011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CLPS Beijing Hengtong Co., Ltd. (“CLPS Beijing”)</w:t>
            </w:r>
          </w:p>
        </w:tc>
        <w:tc>
          <w:tcPr>
            <w:tcW w:w="18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Beijing, China</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March 30, 2015</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Technology (Singapore) Pte. Ltd. (“CLPS SG”)</w:t>
            </w:r>
          </w:p>
        </w:tc>
        <w:tc>
          <w:tcPr>
            <w:tcW w:w="18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Singapore</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August 18, 2015</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Technology (Hong Kong) Co., Limited (“CLPS Hong</w:t>
            </w:r>
          </w:p>
        </w:tc>
        <w:tc>
          <w:tcPr>
            <w:tcW w:w="18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Hong Kong, China</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Kong”)</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January 7, 2016</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JAJI (Shanghai) Co., Ltd (“JAJI China”, formerly, Judge</w:t>
            </w:r>
          </w:p>
        </w:tc>
        <w:tc>
          <w:tcPr>
            <w:tcW w:w="18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6"/>
                <w:szCs w:val="16"/>
                <w:color w:val="auto"/>
              </w:rPr>
              <w:t>Acquired on</w:t>
            </w:r>
          </w:p>
        </w:tc>
        <w:tc>
          <w:tcPr>
            <w:tcW w:w="18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color w:val="auto"/>
              </w:rPr>
              <w:t>Shanghai,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(Shanghai) Co., Ltd.)</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November 9, 2016</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CLPS Shenzhen Co., Ltd. (“CLPS Shenzhen”)</w:t>
            </w:r>
          </w:p>
        </w:tc>
        <w:tc>
          <w:tcPr>
            <w:tcW w:w="182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Shenzhen, China</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April 7, 2017</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rPr>
              <w:t>CLPS Guangzhou Co., Ltd. (“CLPS Guangzhou”)</w:t>
            </w:r>
          </w:p>
        </w:tc>
        <w:tc>
          <w:tcPr>
            <w:tcW w:w="18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Guangzhou,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September 27, 2017</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581"/>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6"/>
                <w:szCs w:val="16"/>
                <w:color w:val="auto"/>
              </w:rPr>
              <w:t>F-12</w:t>
            </w: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4"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NOTE 1 – ORGANIZATION AND DESCRIPTION OF BUSINESS - continued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6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800" w:type="dxa"/>
            <w:vAlign w:val="bottom"/>
          </w:tcPr>
          <w:p>
            <w:pPr>
              <w:spacing w:after="0"/>
              <w:rPr>
                <w:sz w:val="24"/>
                <w:szCs w:val="24"/>
                <w:color w:val="auto"/>
              </w:rPr>
            </w:pPr>
          </w:p>
        </w:tc>
      </w:tr>
      <w:tr>
        <w:trPr>
          <w:trHeight w:val="192"/>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Date of Incorporation/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15"/>
        </w:trPr>
        <w:tc>
          <w:tcPr>
            <w:tcW w:w="4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Name of Entity</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Activities</w:t>
            </w:r>
          </w:p>
        </w:tc>
      </w:tr>
      <w:tr>
        <w:trPr>
          <w:trHeight w:val="176"/>
        </w:trPr>
        <w:tc>
          <w:tcPr>
            <w:tcW w:w="4280" w:type="dxa"/>
            <w:vAlign w:val="bottom"/>
            <w:tcBorders>
              <w:top w:val="single" w:sz="8" w:color="auto"/>
            </w:tcBorders>
            <w:shd w:val="clear" w:color="auto" w:fill="CCEEFF"/>
          </w:tcPr>
          <w:p>
            <w:pPr>
              <w:jc w:val="center"/>
              <w:ind w:left="40"/>
              <w:spacing w:after="0" w:line="176" w:lineRule="exact"/>
              <w:rPr>
                <w:sz w:val="20"/>
                <w:szCs w:val="20"/>
                <w:color w:val="auto"/>
              </w:rPr>
            </w:pPr>
            <w:r>
              <w:rPr>
                <w:rFonts w:ascii="Times New Roman" w:cs="Times New Roman" w:eastAsia="Times New Roman" w:hAnsi="Times New Roman"/>
                <w:sz w:val="16"/>
                <w:szCs w:val="16"/>
                <w:color w:val="auto"/>
                <w:w w:val="99"/>
              </w:rPr>
              <w:t>CLPS Hangzhou Co. Ltd.</w:t>
            </w:r>
          </w:p>
        </w:tc>
        <w:tc>
          <w:tcPr>
            <w:tcW w:w="12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Hangzhou, China</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(“CLPS Hangzhou”)</w:t>
            </w: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July 31, 2019</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6"/>
                <w:szCs w:val="16"/>
                <w:color w:val="auto"/>
                <w:w w:val="99"/>
              </w:rPr>
              <w:t>Ridik Pte. Ltd.</w:t>
            </w:r>
          </w:p>
        </w:tc>
        <w:tc>
          <w:tcPr>
            <w:tcW w:w="18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Acquired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Singapore</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(“Ridik Pte.”)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September 26, 2019</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Ridik Software Solutions Pte. Ltd. (“Ridik Software Pte.”)</w:t>
            </w:r>
          </w:p>
        </w:tc>
        <w:tc>
          <w:tcPr>
            <w:tcW w:w="182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Acquired on</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Singapore</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September 26, 2019</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Qinson Credit Card Services Limited (“Qinson”)</w:t>
            </w:r>
          </w:p>
        </w:tc>
        <w:tc>
          <w:tcPr>
            <w:tcW w:w="18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Incorporated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Hong Kong,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31, 2019</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CLPS Technology (California) Inc. (“CLPS California”)</w:t>
            </w:r>
          </w:p>
        </w:tc>
        <w:tc>
          <w:tcPr>
            <w:tcW w:w="182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Incorporated on January</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California, the United</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2, 2020</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States of America</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Hainan Qincheng Software Technology Co., Ltd. (“Hainan</w:t>
            </w:r>
          </w:p>
        </w:tc>
        <w:tc>
          <w:tcPr>
            <w:tcW w:w="182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6"/>
                <w:szCs w:val="16"/>
                <w:color w:val="auto"/>
              </w:rPr>
              <w:t>Incorporated</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9"/>
              </w:rPr>
              <w:t>Hainan, China</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Qincheng”)</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On January 20, 2021</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r>
        <w:trPr>
          <w:trHeight w:val="176"/>
        </w:trPr>
        <w:tc>
          <w:tcPr>
            <w:tcW w:w="440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CLPS Xi’an Co., Ltd.</w:t>
            </w:r>
          </w:p>
        </w:tc>
        <w:tc>
          <w:tcPr>
            <w:tcW w:w="1820" w:type="dxa"/>
            <w:vAlign w:val="bottom"/>
            <w:gridSpan w:val="2"/>
            <w:shd w:val="clear" w:color="auto" w:fill="CCEEFF"/>
          </w:tcPr>
          <w:p>
            <w:pPr>
              <w:jc w:val="center"/>
              <w:ind w:right="160"/>
              <w:spacing w:after="0" w:line="176" w:lineRule="exact"/>
              <w:rPr>
                <w:sz w:val="20"/>
                <w:szCs w:val="20"/>
                <w:color w:val="auto"/>
              </w:rPr>
            </w:pPr>
            <w:r>
              <w:rPr>
                <w:rFonts w:ascii="Times New Roman" w:cs="Times New Roman" w:eastAsia="Times New Roman" w:hAnsi="Times New Roman"/>
                <w:sz w:val="16"/>
                <w:szCs w:val="16"/>
                <w:color w:val="auto"/>
              </w:rPr>
              <w:t>Incorporated</w:t>
            </w:r>
          </w:p>
        </w:tc>
        <w:tc>
          <w:tcPr>
            <w:tcW w:w="18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rPr>
              <w:t>Xi’an, China</w:t>
            </w:r>
          </w:p>
        </w:tc>
        <w:tc>
          <w:tcPr>
            <w:tcW w:w="1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Software development</w:t>
            </w:r>
          </w:p>
        </w:tc>
      </w:tr>
      <w:tr>
        <w:trPr>
          <w:trHeight w:val="209"/>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On April 15, 2021</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shd w:val="clear" w:color="auto" w:fill="CCEEFF"/>
          </w:tcPr>
          <w:p>
            <w:pPr>
              <w:spacing w:after="0"/>
              <w:rPr>
                <w:sz w:val="18"/>
                <w:szCs w:val="18"/>
                <w:color w:val="auto"/>
              </w:rPr>
            </w:pPr>
          </w:p>
        </w:tc>
      </w:tr>
      <w:tr>
        <w:trPr>
          <w:trHeight w:val="176"/>
        </w:trPr>
        <w:tc>
          <w:tcPr>
            <w:tcW w:w="44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College of Allied educators Pte. Ltd. (“CAE”)</w:t>
            </w:r>
          </w:p>
        </w:tc>
        <w:tc>
          <w:tcPr>
            <w:tcW w:w="18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6"/>
                <w:szCs w:val="16"/>
                <w:color w:val="auto"/>
              </w:rPr>
              <w:t>Acquired on</w:t>
            </w:r>
          </w:p>
        </w:tc>
        <w:tc>
          <w:tcPr>
            <w:tcW w:w="18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color w:val="auto"/>
                <w:w w:val="98"/>
              </w:rPr>
              <w:t>Singapore</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color w:val="auto"/>
              </w:rPr>
              <w:t>Academic education</w:t>
            </w: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January 3, 2024</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1800" w:type="dxa"/>
            <w:vAlign w:val="bottom"/>
          </w:tcPr>
          <w:p>
            <w:pPr>
              <w:spacing w:after="0"/>
              <w:rPr>
                <w:sz w:val="18"/>
                <w:szCs w:val="18"/>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the United States generally accepted accounting principles (“U.S. GAAP”).</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estimates and assumptions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allowance for expected credit losses, useful lives of property and equipment and intangible assets, goodwill impairment, impairment of long-lived assets and long-term investments, purchase price allocation and fair value of noncontrolling interests for business combinations and asset acquisition, provision for accrued expenses and other current liabilities, valuation allowance of deferred tax assets, provision for uncertain tax positions, incremental borrowing rates for operating lease liabilities, fair value measurements of equity investments without readily determinable fair values, fair value of warrants and fair value of and estimated forfeitures for share-based compensation. Actual results could differ from those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mainland China. Deposits in the licensed banks in mainland China are protected by Deposit Insurance System (“DIS”) managed by the People’s Bank of China (“PBOC”) up to a limit of RMB500,000.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Accounts receivable and allowance for credit losses</w:t>
      </w:r>
    </w:p>
    <w:p>
      <w:pPr>
        <w:spacing w:after="0" w:line="2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Company maintains an allowance for credit losses and records the allowance for credit losses as an offset to accounts receivable and contract assets and the estimated credit losses charged to the allowance is classified as “General and administrative expenses” in the consolidated statements of comprehensive (loss) income. The Company assesses collectability by reviewing accounts receivable and contract assets on a collective basis where similar characteristics exist, primarily based on similar business line, service or product offerings and on an individual basis when the Company identifies specific customers with known disputes or collectability issues. In determining the amount of the allowance for credit losses, the Company considers historical collectability based on past due status, the age of the balances, credit quality of the Company’s customers based on ongoing credit evaluations, current economic conditions, reasonable and supportable forecasts of future economic conditions, and other factors that may affect the Company’s ability to collect from customers. Delinquent account balances are written-off after management has determined that the likelihood of collection is not probable.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debt securities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The Company accounts for investments in debt securities in accordance with ASC Topic 320, </w:t>
      </w:r>
      <w:r>
        <w:rPr>
          <w:rFonts w:ascii="Times New Roman" w:cs="Times New Roman" w:eastAsia="Times New Roman" w:hAnsi="Times New Roman"/>
          <w:sz w:val="16"/>
          <w:szCs w:val="16"/>
          <w:i w:val="1"/>
          <w:iCs w:val="1"/>
          <w:color w:val="auto"/>
        </w:rPr>
        <w:t>Investments—Debt Securities</w:t>
      </w:r>
      <w:r>
        <w:rPr>
          <w:rFonts w:ascii="Times New Roman" w:cs="Times New Roman" w:eastAsia="Times New Roman" w:hAnsi="Times New Roman"/>
          <w:sz w:val="16"/>
          <w:szCs w:val="16"/>
          <w:color w:val="auto"/>
        </w:rPr>
        <w:t xml:space="preserve"> (“ASC 320”). The Group classifies the investments in debt securities as “held-to-maturity”, “trading” or “available-for-sale”, whose classification determines the respective accounting methods stipulated by ASC 320. Dividend and interest income, including amortization of the premium and discount arising at acquisition, are included in earnings. Any realized gains or losses on the sale of the investments are determined on a specific identification method, and such gains and losses are reflected in earnings during the period in which gains or losses are realized. The securities that the Company has the positive intent and the ability to hold to maturity are classified as held-to-maturity securities and stated at amortized cost.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 in equity securities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Equity investments with readily determinable fair value, except for those accounted for under the equity method and those that result in consolidation of the investee, are measured at fair value, and any changes in fair value are recognized in the consolidated statements of comprehensive (loss) income.</w:t>
      </w:r>
    </w:p>
    <w:p>
      <w:pPr>
        <w:spacing w:after="0" w:line="14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 xml:space="preserve">Investments in entities where the Company has significant influence but does not control are accounted for using the equity method in accordance with ASC Topic 323, </w:t>
      </w:r>
      <w:r>
        <w:rPr>
          <w:rFonts w:ascii="Times New Roman" w:cs="Times New Roman" w:eastAsia="Times New Roman" w:hAnsi="Times New Roman"/>
          <w:sz w:val="16"/>
          <w:szCs w:val="16"/>
          <w:i w:val="1"/>
          <w:iCs w:val="1"/>
          <w:color w:val="auto"/>
        </w:rPr>
        <w:t>Investments—Equity Method and Joint Ventures</w:t>
      </w:r>
      <w:r>
        <w:rPr>
          <w:rFonts w:ascii="Times New Roman" w:cs="Times New Roman" w:eastAsia="Times New Roman" w:hAnsi="Times New Roman"/>
          <w:sz w:val="16"/>
          <w:szCs w:val="16"/>
          <w:color w:val="auto"/>
        </w:rPr>
        <w:t>. The Company recognizes its proportionate share of the investee’s earnings or losses in the consolidated statements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comprehensive (loss) income. Adjustments to the equity method include the Company’s share of investee income or loss, differences between the carrying value and the Company’s equity in the investee’s net assets at acquisition, impairments, and other required adjustments. The Company evaluates its equity investments for other-than-temporary impairment by considering factors such as current economic and market conditions, investee operating performance, industry and geographic trends, liquidity, debt levels, cash burn rate, and other relevant information. Gains or losses on disposal are recognized in the consolidated statements of comprehensive (loss) income, measured as the difference between proceeds received and the carrying amount of the investment.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The Company applies the measurement alternative under ASC Topic 321, </w:t>
      </w:r>
      <w:r>
        <w:rPr>
          <w:rFonts w:ascii="Times New Roman" w:cs="Times New Roman" w:eastAsia="Times New Roman" w:hAnsi="Times New Roman"/>
          <w:sz w:val="16"/>
          <w:szCs w:val="16"/>
          <w:i w:val="1"/>
          <w:iCs w:val="1"/>
          <w:color w:val="auto"/>
        </w:rPr>
        <w:t>Investments—Equity Securities</w:t>
      </w:r>
      <w:r>
        <w:rPr>
          <w:rFonts w:ascii="Times New Roman" w:cs="Times New Roman" w:eastAsia="Times New Roman" w:hAnsi="Times New Roman"/>
          <w:sz w:val="16"/>
          <w:szCs w:val="16"/>
          <w:color w:val="auto"/>
        </w:rPr>
        <w:t>, to account for these investments at cost minus impairment, adjusted for observable price changes in orderly transactions for identical or similar investments of the same issuer. These investments are measured at fair value on a nonrecurring basis when events or changes in circumstances indicate a significant adverse effect. An impairment loss is recognized in the consolidated statements of comprehensive (loss) income if the carrying amount exceeds the fair value. For the years ended June 30, 2025, 2024, and 2023, no such investments were remeasured, and no unrealized gains or losses were recognized.</w:t>
      </w:r>
    </w:p>
    <w:p>
      <w:pPr>
        <w:spacing w:after="0" w:line="16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For investments in a private equity fund where the Company lacks the ability to exercise significant influence, the Company uses the net asset value (NAV) per share as a practical expedient under ASC Topic 820, </w:t>
      </w:r>
      <w:r>
        <w:rPr>
          <w:rFonts w:ascii="Times New Roman" w:cs="Times New Roman" w:eastAsia="Times New Roman" w:hAnsi="Times New Roman"/>
          <w:sz w:val="16"/>
          <w:szCs w:val="16"/>
          <w:i w:val="1"/>
          <w:iCs w:val="1"/>
          <w:color w:val="auto"/>
        </w:rPr>
        <w:t>Fair Value Measurements and Disclosures</w:t>
      </w:r>
      <w:r>
        <w:rPr>
          <w:rFonts w:ascii="Times New Roman" w:cs="Times New Roman" w:eastAsia="Times New Roman" w:hAnsi="Times New Roman"/>
          <w:sz w:val="16"/>
          <w:szCs w:val="16"/>
          <w:color w:val="auto"/>
        </w:rPr>
        <w:t xml:space="preserve"> (“ASC 820”).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combination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 xml:space="preserve">The Company accounts for all business combinations under the purchase method of accounting in accordance with ASC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Company recognizes and measures the acquired contract assets and contract liabilities consistent with how they were recognized and measured in the acquiree’s financial statements.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the consolidated statements of comprehensive (loss) income.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The noncontrolling interests are presented in the consolidated balance sheets, separately from equity attributable to the shareholders of the Company. Noncontrolling interests in the results of the Company are presented on the consolidated statements of comprehensive (loss) income as an allocation of the total income or loss for the year between noncontrolling interest holders and the shareholders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Property and equipment, net, are stated at cost less accumulated depreciation and impairment, if any. The straight-line method is used to compute depreciation over the estimated useful lives of the assets,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Borders>
              <w:bottom w:val="single" w:sz="8" w:color="CCEEFF"/>
            </w:tcBorders>
          </w:tcPr>
          <w:p>
            <w:pPr>
              <w:spacing w:after="0"/>
              <w:rPr>
                <w:sz w:val="18"/>
                <w:szCs w:val="18"/>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r>
      <w:tr>
        <w:trPr>
          <w:trHeight w:val="176"/>
        </w:trPr>
        <w:tc>
          <w:tcPr>
            <w:tcW w:w="6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Leasehold improvements</w:t>
            </w:r>
          </w:p>
        </w:tc>
        <w:tc>
          <w:tcPr>
            <w:tcW w:w="4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color w:val="auto"/>
              </w:rPr>
              <w:t>The shorter of remaining lease terms</w:t>
            </w:r>
          </w:p>
        </w:tc>
      </w:tr>
      <w:tr>
        <w:trPr>
          <w:trHeight w:val="209"/>
        </w:trPr>
        <w:tc>
          <w:tcPr>
            <w:tcW w:w="6760" w:type="dxa"/>
            <w:vAlign w:val="bottom"/>
            <w:shd w:val="clear" w:color="auto" w:fill="CCEEFF"/>
          </w:tcPr>
          <w:p>
            <w:pPr>
              <w:spacing w:after="0"/>
              <w:rPr>
                <w:sz w:val="18"/>
                <w:szCs w:val="18"/>
                <w:color w:val="auto"/>
              </w:rPr>
            </w:pP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or the estimated useful lives</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equipment</w:t>
            </w: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5-10 years</w:t>
            </w:r>
          </w:p>
        </w:tc>
      </w:tr>
      <w:tr>
        <w:trPr>
          <w:trHeight w:val="19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Equipment and office furniture</w:t>
            </w: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 years</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Office buildings</w:t>
            </w: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 or 50 years</w:t>
            </w:r>
          </w:p>
        </w:tc>
      </w:tr>
      <w:tr>
        <w:trPr>
          <w:trHeight w:val="192"/>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building related facility, machinery and equipment</w:t>
            </w:r>
          </w:p>
        </w:tc>
        <w:tc>
          <w:tcPr>
            <w:tcW w:w="4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 years</w:t>
            </w:r>
          </w:p>
        </w:tc>
      </w:tr>
    </w:tbl>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consolidated statements of comprehensive (loss) income.</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Direct costs that are related to the construction of property and equipment and incurred in connection with bringing the assets to their intended use are capitalized as construction in progress. Construction in progress is transferred to specific property and equipment, and the depreciation of these assets commences when the assets are ready for their intended use.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Intangible assets, net</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Intangible assets, net,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Amortization is computed using the straight-line method over the following estimated useful lives as it reflects the estimated pattern in which the economic benefits of the intangible assets are to be consumed: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w:t>
            </w:r>
          </w:p>
        </w:tc>
      </w:tr>
      <w:tr>
        <w:trPr>
          <w:trHeight w:val="19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w:t>
            </w:r>
          </w:p>
        </w:tc>
        <w:tc>
          <w:tcPr>
            <w:tcW w:w="446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 years</w:t>
            </w:r>
          </w:p>
        </w:tc>
      </w:tr>
      <w:tr>
        <w:trPr>
          <w:trHeight w:val="192"/>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Client lists</w:t>
            </w:r>
          </w:p>
        </w:tc>
        <w:tc>
          <w:tcPr>
            <w:tcW w:w="44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 years</w:t>
            </w:r>
          </w:p>
        </w:tc>
      </w:tr>
      <w:tr>
        <w:trPr>
          <w:trHeight w:val="19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446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 – 10 years</w:t>
            </w:r>
          </w:p>
        </w:tc>
      </w:tr>
      <w:tr>
        <w:trPr>
          <w:trHeight w:val="192"/>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License</w:t>
            </w:r>
          </w:p>
        </w:tc>
        <w:tc>
          <w:tcPr>
            <w:tcW w:w="44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 years</w:t>
            </w:r>
          </w:p>
        </w:tc>
      </w:tr>
      <w:tr>
        <w:trPr>
          <w:trHeight w:val="192"/>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agreement</w:t>
            </w:r>
          </w:p>
        </w:tc>
        <w:tc>
          <w:tcPr>
            <w:tcW w:w="446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 years</w:t>
            </w:r>
          </w:p>
        </w:tc>
      </w:tr>
      <w:tr>
        <w:trPr>
          <w:trHeight w:val="385"/>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The Company does not have any indefinite-lived intangibles other than goodwill.</w:t>
            </w:r>
          </w:p>
        </w:tc>
        <w:tc>
          <w:tcPr>
            <w:tcW w:w="4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81"/>
        </w:trPr>
        <w:tc>
          <w:tcPr>
            <w:tcW w:w="534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F-16</w:t>
            </w:r>
          </w:p>
        </w:tc>
      </w:tr>
    </w:tbl>
    <w:p>
      <w:pPr>
        <w:sectPr>
          <w:pgSz w:w="11900" w:h="16838" w:orient="portrait"/>
          <w:cols w:equalWidth="0" w:num="1">
            <w:col w:w="11260"/>
          </w:cols>
          <w:pgMar w:left="320" w:top="794" w:right="31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 xml:space="preserve">Goodwill represents the excess of the consideration over the fair value of the net assets acquired at the date of acquisition. Goodwill is allocated to applicable reporting units. Upon disposition of a business entity, goodwill is allocated to the disposed entity based on the relative fair value of that entity compared to the fair value of the reporting unit in which it was included. Goodwill is not amortized but rather tested for impairment at least annually at the reporting unit level by applying a fair-value based test in accordance with accounting and disclosure requirements for goodwill. This test is performed by management annually or more frequently if the Company believes impairment indicators are present. The Company has the option to assess qualitative factors first to determine whether it is necessary to perform the two-step test in accordance with ASC 350-20, </w:t>
      </w:r>
      <w:r>
        <w:rPr>
          <w:rFonts w:ascii="Times New Roman" w:cs="Times New Roman" w:eastAsia="Times New Roman" w:hAnsi="Times New Roman"/>
          <w:sz w:val="16"/>
          <w:szCs w:val="16"/>
          <w:i w:val="1"/>
          <w:iCs w:val="1"/>
          <w:color w:val="auto"/>
        </w:rPr>
        <w:t>Intangibles - Goodwill and Other</w:t>
      </w:r>
      <w:r>
        <w:rPr>
          <w:rFonts w:ascii="Times New Roman" w:cs="Times New Roman" w:eastAsia="Times New Roman" w:hAnsi="Times New Roman"/>
          <w:sz w:val="16"/>
          <w:szCs w:val="16"/>
          <w:color w:val="auto"/>
        </w:rPr>
        <w:t>. In the qualitative assessment, the Company considers primary factors such as industry and market considerations, overall financial performance of the reporting unit, and other specific information related to the operations. If the Company believes, as a result of the qualitative assessment, that it is more likely than not that the fair value of the reporting unit is less than its carrying amount, the quantitative impairment test is required. Otherwise, no further testing is required.</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performing quantitative impairment test, the Company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If the carrying value of the reporting unit exceeds the fair value of the reporting unit, an impairment loss shall be recognized in an amount equal to that excess.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For the year ended June 30, 2025, we bypassed the qualitative assessment and performed quantitative assessment for the goodwill allocated to IT services reporting unit using the market approach. We assessed and determined that the fair value of the IT services reporting unit was less than their carrying amount and therefore, impairment loss of $129,270 was recognized for the year ended June 30, 2025.</w:t>
      </w:r>
    </w:p>
    <w:p>
      <w:pPr>
        <w:spacing w:after="0" w:line="15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For the year ended June 30, 2025, we bypassed the qualitative assessment and performed quantitative assessment for the goodwill allocated to Academic education services reporting unit. The fair value of this reporting unit has been determined using the discounted cash flow approach. Significant assumptions used included projected revenue growth rates and discount rate. As of June 30, 2025, the fair value of the Academic education services reporting unit exceeded its carrying amount. Therefore, no impairment loss was recognized for the year ended June 30, 2025. Future changes to our estimates and assumptions based upon changes in operating results, macro-economic factors or management’s intentions may result in future changes to the fair value of the Academic education services reporting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31750</wp:posOffset>
            </wp:positionV>
            <wp:extent cx="2379980" cy="330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379980" cy="3302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of long-lived assets</w:t>
      </w:r>
    </w:p>
    <w:p>
      <w:pPr>
        <w:spacing w:after="0" w:line="20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 xml:space="preserve">The Company reviews its long-lived assets, other than goodwill, including property and equipment and intangible assets with definite lives for impairment whenever events or changes in circumstances indicate that the carrying amount of an asset may no longer be recoverable in accordance with ASC Topic 360, </w:t>
      </w:r>
      <w:r>
        <w:rPr>
          <w:rFonts w:ascii="Times New Roman" w:cs="Times New Roman" w:eastAsia="Times New Roman" w:hAnsi="Times New Roman"/>
          <w:sz w:val="16"/>
          <w:szCs w:val="16"/>
          <w:i w:val="1"/>
          <w:iCs w:val="1"/>
          <w:color w:val="auto"/>
        </w:rPr>
        <w:t>Property, Plant and Equipment</w:t>
      </w:r>
      <w:r>
        <w:rPr>
          <w:rFonts w:ascii="Times New Roman" w:cs="Times New Roman" w:eastAsia="Times New Roman" w:hAnsi="Times New Roman"/>
          <w:sz w:val="16"/>
          <w:szCs w:val="16"/>
          <w:color w:val="auto"/>
        </w:rPr>
        <w:t>. When these events occur, the Company assesses recoverability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and record the impairment in earnings. The adjusted carrying amount of the asset becomes the new cost basis and depreciated over the asset’s remaining useful life. Long-lived assets are grouped with other assets and liabilities at the lowest level for which identifiable cash flows are largely independent of the cash flows of other assets and liabilities for the purpose of impairment testing.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impairment losses were provided for the years ended June 30, 2025, 2024 and 2023.</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20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 xml:space="preserve">The Company accounts for revenue recognition in accordance with ASC Topic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xml:space="preserve"> (“ASC 606”). Revenue is recognized when control of promised goods or services is transferred to the Company’s customers in an amount of consideration to which an entity expects to be entitled to in exchange for those services.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IT consulting services</w:t>
      </w:r>
    </w:p>
    <w:p>
      <w:pPr>
        <w:spacing w:after="0" w:line="20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IT consulting services are time-and-expense basis contracts. The series of IT consulting services are substantially the same from day to day, and each day of the service is considered to be distinct and separately identifiable as it benefits the customer daily. Further, the uncertainty related to the service consideration is resolved on a daily basis as the Company satisfies its obligation to perform IT service daily with enforceable right to payment for performance completed to date. Thus, revenue is recognized as service is performed and the customer simultaneously receives and consumes the benefits from the service daily. Payment terms and conditions vary by customer and are based on the billing schedule established in our contracts with customers, but the Company generally provides credit terms to customers ranging from one to three months. Therefore, the Company has determined that its contracts do not include a significant financing component.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Customized IT solution service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Customized IT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is stand-ready service on when-and-if-available basis.</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There are two performance obligations identified in the customized IT solution contract: the delivery of customized IT solution service and the completion of the PCS. The transaction price is allocated between the two performance obligations based on the relative standalone selling price, estimated using the cost plus method.</w:t>
      </w:r>
    </w:p>
    <w:p>
      <w:pPr>
        <w:spacing w:after="0" w:line="14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recognizes revenue for the delivery of customized IT solution service at a point in time when the system is implemented and accepted by the customer. Where the Company has enforceable right to payment for performance completed to date, revenue is recognized over time, using the output method. Revenue for PCS is recognized ratably over time as the customer simultaneously receive and consume the benefits throughout the PCS period.</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Differences between the timing of billings and the recognition of revenues are recorded as contract assets which is included in the prepayments, deposits and other assets, net, or contract liabilities on the consolidated balance sheets. Contract assets are classified as current assets and the full balance is reclassified to accounts receivables when the right to payment becomes unconditional. There is no significant financing component.</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Costs incurred in advance of revenue recognition arising from direct and incremental staff costs in respect of services provided under the fixed fee contracts according to the customer’s requirements prior to the delivery of services are recorded as deferred contract costs which is included in the prepayments, deposits and other assets, net on the consolidated balance sheets. Such deferred contract costs are recognized upon the recognition of the related revenues.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recognition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Academic education service</w:t>
      </w: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Company engages in providing programs, short courses, and workshops to train and help individuals and professionals in counselling, psychology, and allied health and science.</w:t>
      </w:r>
    </w:p>
    <w:p>
      <w:pPr>
        <w:spacing w:after="0" w:line="1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Company’s academic education service revenue from the provision of formal educational services is in consideration of fixed amounts of tuition. The typical service period for academic education revenue ranges from 6 to 15 months.</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Tuition fees from the provision of formal education services received from students are generally paid in advance prior to the beginning of each course, and are initially recorded as contract liabilities, which is reflected as a current liability as such amounts represent revenue that the Company expects to recognize within one year. Tuition fees from the provision of formal education services are recognized proportionately over the relevant period of the respective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Other contracts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Other contracts primarily comprise of the sales of headhunting services, consulting, administrative services and software. Revenue from headhunting services is recognized at a point in time when control is transferred to the customers, which generally occurs when the goods or services are accepted by customers. Revenue from consulting and administrative services is recognized over time as the customer simultaneously receives and consumes the benefits from the service as the Company performs.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balances of contract assets were $320,348 and $690,554 as of June 30, 2025 and 2024, respectively, which were included in prepayments, deposits and other assets, net on the consolidated balance sheets. The decrease in contract assets is mainly due to the difference between the timing of billings and the recognition of customized IT solution revenues. The balances of contract liabilities were $2,295,328 and $1,139,001 as of June 30, 2025 and 2024, respectively. The balance related to unsatisfied performance obligations under IT solution service is expected to be recognized as revenues over the remaining contract period. The increase in contract liabilities is mainly due to a significant rise in new projects with uncompleted acceptance at period-end. Revenue recognized in the year ended June 30, 2025 that was included in the contract liability balance at the beginning of the period was $1,071,372. This revenue was driven primarily by IT solution service performance obligations being satisfied.</w:t>
      </w:r>
    </w:p>
    <w:p>
      <w:pPr>
        <w:spacing w:after="0" w:line="16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Company does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includes reimbursements of travel and out-of-pocket expense, with equivalent amounts of expense recorded in cost of revenues.</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The Company is subject to value added tax (the “VAT”) that is imposed on and concurrent with the revenues earned for services provided in mainland China. The Company’s applicable value added tax rate is 6%. VAT are recorded as reduction of revenues when incurred.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disaggregated revenue disclosures are presented in Note 21.</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 of revenues</w:t>
      </w:r>
    </w:p>
    <w:p>
      <w:pPr>
        <w:spacing w:after="0" w:line="20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Cost of revenues of IT consulting services and customized IT solution service mainly consisted of compensation expenses for the Company’s IT professionals, travel expenses and material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Cost of revenue of academic education service consists primarily of staff costs, education expenses and others.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Research and development expenses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Research and development expenses are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Government subsidies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Government subsidies are received from provincial and local governments for operating a business in their jurisdictions and compliance with specific policies promoted by the local governments. Such subsidies allow the Group full discretion to utilize the funds and are used by the Group for general corporate purposes. During the years ended June 30, 2025, 2024 and 2023, the Group received financial subsidies of $1,294,964, $1,363,757 and $1,256,070, respectively, from various local PRC government authorities. There are no defined rules and regulations to govern the criteria necessary for companies to receive such benefits, and the amount of financial subsidy is determined at the discretion of the relevant government authorities. Such amounts are recorded as subsidies and other operating income when received as the amount of the subsidies and the timing of payment are determined solely at the discretion of the relevant government authorities and there is no assurance that the Group will continue to receive any or similar subsidies in the future.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determines whether an arrangement is or contains a lease at inception.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elected the practical expedient for the short-term lease exemption for contracts with lease terms of 12 months or less.</w:t>
      </w:r>
    </w:p>
    <w:p>
      <w:pPr>
        <w:spacing w:after="0" w:line="20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For operating leases, the Company records a lease liability and corresponding right-of-use (“ROU”) asset at lease commencement. Lease terms are based on the non-cancellable term of the lease and may contain options to extend the lease when it is reasonably certain that the Company will exercise the option. Lease liabilities represent the present value of the lease payments not yet paid, discounted using the discount rate for the lease at lease commencement.</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Company estimates its incremental borrowing rate for its leases at the commencement date to determine the present value of future lease payments when the implicit rate is not readily determinable in the lease. In estimating its incremental borrowing rate, the Company considers its credit rating and publicly available data of borrowing rates for loans of similar amount, currency and term as the lease.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expense is recognized on a straight-line basis over the lease term.</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defined contribution plan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Full time employees of the Company in mainland China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 The expenses related to these plans were $14,053,811, $15,861,290 and $18,025,748 for the years ended June 30, 2025, 2024 and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Company accounts for uncertainties in income taxes in accordance with ASC Topic 740,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(loss) income in the period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Equity-classified warrants are initially measured at the grant date fair value. Subsequent changes in fair value are not recognized as long as the contract continues to be classified in equity. The Company, with the assistance of an independent third-party valuation firm, used the Black-Scholes pricing model to estimate the fair value of warrants. The determination of estimated fair value of warrants on the grant date was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Share-based payment</w:t>
      </w:r>
    </w:p>
    <w:p>
      <w:pPr>
        <w:spacing w:after="0" w:line="20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The Company accounts for share-based payment in accordance with ASC Topic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(“ASC 718”). 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6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A change in the terms or conditions of share-based payment awards is accounted for as a modification of awards. The Company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Company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 cancellation of an award that is not accompanied by the concurrent grant of (or offer to grant) a replacement award or other valuable consideration shall be accounted for as a repurchase for no consideration. Accordingly, the Company recognized previously unrecognized compensation cost at the cancellation date and reversed previously recognized share capital to additional paid-in capital.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share</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Basic earnings per share is computed using the weighted average number of common shares outstanding during the period. Diluted earnings per share is computed using the weighted average number of common shares and potential common shares outstanding during the period, which may include RSUs, options and warrants. The computation of diluted earnings per share does not assume conversion, exercise, or contingent issuance of securities that would have an anti-dilutive effect (i.e. an increase in earnings per share amounts) on earnings per share.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The functional currency of the Company is US$. The functional currencies of the Company’s subsidiaries are the local currency of the country in which the subsidiary operates, which is determined based on ASC Topic 830, </w:t>
      </w:r>
      <w:r>
        <w:rPr>
          <w:rFonts w:ascii="Times New Roman" w:cs="Times New Roman" w:eastAsia="Times New Roman" w:hAnsi="Times New Roman"/>
          <w:sz w:val="16"/>
          <w:szCs w:val="16"/>
          <w:i w:val="1"/>
          <w:iCs w:val="1"/>
          <w:color w:val="auto"/>
        </w:rPr>
        <w:t>Foreign Currency Matters</w:t>
      </w:r>
      <w:r>
        <w:rPr>
          <w:rFonts w:ascii="Times New Roman" w:cs="Times New Roman" w:eastAsia="Times New Roman" w:hAnsi="Times New Roman"/>
          <w:sz w:val="16"/>
          <w:szCs w:val="16"/>
          <w:color w:val="auto"/>
        </w:rPr>
        <w:t xml:space="preserve"> (“ASC 830”).</w:t>
      </w:r>
    </w:p>
    <w:p>
      <w:pPr>
        <w:spacing w:after="0" w:line="1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Transactions denominated in foreign currencies are re-measured into the functional currency at the exchange rates as set forth in the H.10 statistical release of the U.S. Federal Reserve Board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(loss) income.</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 (loss)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ASC 820 defines fair value, establishes a framework for measuring fair value and expands disclosures about fair value measurements. ASC 820 requires disclosures to be provided for fair value measurements.</w:t>
      </w:r>
    </w:p>
    <w:p>
      <w:pPr>
        <w:spacing w:after="0" w:line="14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Financial instruments of the Company primarily consist of cash and cash equivalents, accounts receivable, other assets, note receivables, amounts due from related parties, equity investments without readily determinable fair values, equity method investments, investments in private equity funds, investments in debt securities, accounts payable and other current liabilities, amounts due to related party, short-term bank loans and long-term bank loans. The carrying amounts of these financial instruments, except for equity investments without readily determinable fair values, equity method investments, held-to-maturity debt securities and long-term bank loans, approximate their fair values primarily because of their generally short-term maturities.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Comprehensive income (loss) is defined as the changes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Statements of cash flows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 xml:space="preserve">In accordance with ASC Topic 230, </w:t>
      </w:r>
      <w:r>
        <w:rPr>
          <w:rFonts w:ascii="Times New Roman" w:cs="Times New Roman" w:eastAsia="Times New Roman" w:hAnsi="Times New Roman"/>
          <w:sz w:val="16"/>
          <w:szCs w:val="16"/>
          <w:i w:val="1"/>
          <w:iCs w:val="1"/>
          <w:color w:val="auto"/>
        </w:rPr>
        <w:t>Statement of Cash Flows</w:t>
      </w:r>
      <w:r>
        <w:rPr>
          <w:rFonts w:ascii="Times New Roman" w:cs="Times New Roman" w:eastAsia="Times New Roman" w:hAnsi="Times New Roman"/>
          <w:sz w:val="16"/>
          <w:szCs w:val="16"/>
          <w:color w:val="auto"/>
        </w:rPr>
        <w:t xml:space="preserve"> (“ASC 230”),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Concentrations and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Foreign currency risk</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 majority of the transactions of the Company’s mainland China subsidiaries are denominated in Renminbi (“RMB”) and a significant portion of the Company and its subsidiaries’ assets and liabilities are denominated in RMB. RMB is not freely convertible into foreign currencies. In mainland China, certain foreign exchange transactions are required by law to be transacted only by authorized financial institutions. Remittances in currencies other than RMB by the Company in China must be processed through PBOC or other China foreign exchange regulatory bodies which require certain supporting documentation in order to affect the remittance.</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functional currency for the Company’s mainland China subsidiaries is RMB, and the financial statements are presented in U.S. dollars. RMB appreciated by 1.4% in fiscal year 2025, and depreciated by 0.2% and 8.3% in fiscal years 2024 and 2023, respectively. It is difficult to predict how market forces or mainland China or U.S. government policy may impact the exchange rate between RMB and U.S. dollar in the future. The change in the value of RMB relative to U.S. dollars may affect the Company’s financial results reported in U.S. dollars without giving effect to any underlying changes in its business or results of operations. Currently, majority of the Company’s assets, liabilities, revenues and costs are denominated in RMB.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Foreign currency risk (continued)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Concentration of credit risk</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significant concentration of credit risk consist primarily of cash and cash equivalents, account receivables, contract assets, other assets, note receivables, and amounts due from related parties. As of June 30, 2025 and 2024, the Company has $28,173,160 and $29,140,512 in cash and cash equivalents and restricted cash, which is held by financial institutions in mainland China and international financial institutions outside of mainland China. In the event of bankruptcy of one of these financial institutions, the Company may not be able to claim its cash and cash equivalents and restricted cash back in full. As of June 30, 2025, the Company and its subsidiaries had $16,292,481, $7,437,479, $3,389,970, etc., of cash and cash equivalents on deposit at financial institutions in mainland China, Hong Kong, Singapore, etc. As of June 30, 2024, the Company and its subsidiaries had $14,102,483, $10,815,654, $3,479,656, etc., of cash and cash equivalents on deposit at financial institutions in mainland China, Hong Kong, Singapore, etc. The Company continues to monitor the financial strength of the financial institutions. There has been no recent history of default in relation to these financial institutions.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Significant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conducts credit evaluations on its customers and generally does not require collateral or other security from such customers.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10" w:lineRule="exact"/>
        <w:rPr>
          <w:sz w:val="20"/>
          <w:szCs w:val="20"/>
          <w:color w:val="auto"/>
        </w:rPr>
      </w:pPr>
    </w:p>
    <w:p>
      <w:pPr>
        <w:ind w:right="5540"/>
        <w:spacing w:after="0" w:line="409" w:lineRule="auto"/>
        <w:rPr>
          <w:sz w:val="20"/>
          <w:szCs w:val="20"/>
          <w:color w:val="auto"/>
        </w:rPr>
      </w:pPr>
      <w:r>
        <w:rPr>
          <w:rFonts w:ascii="Times New Roman" w:cs="Times New Roman" w:eastAsia="Times New Roman" w:hAnsi="Times New Roman"/>
          <w:sz w:val="16"/>
          <w:szCs w:val="16"/>
          <w:b w:val="1"/>
          <w:bCs w:val="1"/>
          <w:color w:val="auto"/>
        </w:rPr>
        <w:t>NOTE 2 – SUMMARY OF SIGNIFICANT ACCOUNTING POLICIES - continued Concentrations and risks (continued)</w:t>
      </w: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top two customers and their affiliates accounted for 13.5%, and 9.6%, respectively, of total revenues during the year ended June 30, 2025. The top two customers and their affiliates accounted for 16.7%, and 10.1%, respectively, of total revenues during the year ended June 30, 2024. The top two customers and their affiliates accounted for 21.4%, and 9.4%, respectively, of total revenues during the year ended June 30, 2023. The top two customers accounted for 9.3%, and 8.0%, respectively, of the Company’s total accounts receivable balance as of June 30, 2025. The top two customers accounted for 14.5%, and 9.8%, respectively, of the Company’s total accounts receivable balance as of June 30,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and uncertainties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significant operations of the Company are located in mainland China. Accordingly, the Company’s business, financial condition, and results of operations may be influenced by political, economic, and legal environments in the mainland China, as well as by the general state of mainland China economy. The Company’s results may be adversely affected by changes in the political, regulatory and social conditions in mainland China. Although the Company has not experienced losses from these situations and believes that it is in compliance with existing laws and regulations including its organization and structure disclosed in Note 1, it may not be indicative of future results.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20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In November 2023, the FASB issued Accounting Standards Update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to expand the annual and interim disclosure requirements for reportable segments, including public entities with a single reportable segment, primarily through enhanced disclosures about significant segment expenses. The Company adopted ASU 2023-07 during the year ended June 30, 2025. See Note 21 in the accompanying notes to the consolidated financial statements for further detail.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(Topics 740): Improvements to Income Tax Disclosures</w:t>
      </w:r>
      <w:r>
        <w:rPr>
          <w:rFonts w:ascii="Times New Roman" w:cs="Times New Roman" w:eastAsia="Times New Roman" w:hAnsi="Times New Roman"/>
          <w:sz w:val="16"/>
          <w:szCs w:val="16"/>
          <w:color w:val="auto"/>
        </w:rPr>
        <w:t xml:space="preserve"> (“ASU 2023-09”), to expand the disclosures in an entity’s income tax rate reconciliation table and income taxes paid both in U.S. and foreign jurisdictions. ASU 2023-09 is effective for fiscal years beginning after December 15, 2024, with early adoption permitted. ASU 2023-09 is effective for the Company’s annual reporting period beginning July 1, 2025. The Company is currently evaluating the impact of adopting this standard.</w:t>
      </w:r>
    </w:p>
    <w:p>
      <w:pPr>
        <w:spacing w:after="0" w:line="8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r>
        <w:rPr>
          <w:rFonts w:ascii="Times New Roman" w:cs="Times New Roman" w:eastAsia="Times New Roman" w:hAnsi="Times New Roman"/>
          <w:sz w:val="16"/>
          <w:szCs w:val="16"/>
          <w:color w:val="auto"/>
        </w:rPr>
        <w:t xml:space="preserve"> (“ASU 2024-03”), which improves financial reporting by requiring that public business entities disclose additional information about specific expense categories in the notes to financial statements at interim and annual reporting periods. In January 2025, the FASB issued ASU 2025-01, which clarifies the effective date of ASU 2024-03. ASU 2024-03 is effective for fiscal years beginning after December 15, 2026, and interim periods within fiscal years beginning after December 15, 2027. ASU 2024-03 is effective for the Company’s annual reporting period beginning July 1, 2027. The Company is currently evaluating the provisions of this ASU.</w:t>
      </w:r>
    </w:p>
    <w:p>
      <w:pPr>
        <w:spacing w:after="0" w:line="9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In July 2025, the FASB issued ASU 2025-05, </w:t>
      </w:r>
      <w:r>
        <w:rPr>
          <w:rFonts w:ascii="Times New Roman" w:cs="Times New Roman" w:eastAsia="Times New Roman" w:hAnsi="Times New Roman"/>
          <w:sz w:val="16"/>
          <w:szCs w:val="16"/>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6"/>
          <w:szCs w:val="16"/>
          <w:color w:val="auto"/>
        </w:rPr>
        <w:t xml:space="preserve"> ("ASU 2025-05"). ASU 2025-05 provides a practical expedient that all entities can use when estimating expected credit losses for current accounts receivable and current contract assets arising from transactions accounted for under ASC 606.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ASU 2025-05 is effective for the Company’s annual reporting period beginning July 1, 2026. The Company is currently evaluating the impact of adopting this standard.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 AND DECONSOLIDATIONS OF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CAE</w:t>
      </w:r>
    </w:p>
    <w:p>
      <w:pPr>
        <w:spacing w:after="0" w:line="20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December 20, 2023, CLPS SG entered into an agreement with College of Allied Educators Pte. Ltd. (“CAE”) to purchase 100% of its equity interest, at a total cash consideration of $3,244,145. CAE is a company incorporated in Singapore, mainly engaged in providing programs, short courses, and workshops to train and help individuals and professionals in counselling, psychology, and allied health and science. This acquisition created resources and business synergies by connecting highly skilled IT professionals with education platforms to collaborate, advance, and promote IT talent creation and development to support the Company’s long-term business expansion.</w:t>
      </w:r>
    </w:p>
    <w:p>
      <w:pPr>
        <w:spacing w:after="0" w:line="16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acquisition was completed on January 3, 2024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1,469,832</w:t>
            </w:r>
          </w:p>
        </w:tc>
        <w:tc>
          <w:tcPr>
            <w:tcW w:w="12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15,094</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146,410</w:t>
            </w:r>
          </w:p>
        </w:tc>
        <w:tc>
          <w:tcPr>
            <w:tcW w:w="12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0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License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909,573</w:t>
            </w:r>
          </w:p>
        </w:tc>
        <w:tc>
          <w:tcPr>
            <w:tcW w:w="120" w:type="dxa"/>
            <w:vAlign w:val="bottom"/>
            <w:shd w:val="clear" w:color="auto" w:fill="CCEEFF"/>
          </w:tcPr>
          <w:p>
            <w:pPr>
              <w:spacing w:after="0"/>
              <w:rPr>
                <w:sz w:val="16"/>
                <w:szCs w:val="16"/>
                <w:color w:val="auto"/>
              </w:rPr>
            </w:pPr>
          </w:p>
        </w:tc>
      </w:tr>
      <w:tr>
        <w:trPr>
          <w:trHeight w:val="192"/>
        </w:trPr>
        <w:tc>
          <w:tcPr>
            <w:tcW w:w="10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Client lists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166,755</w:t>
            </w:r>
          </w:p>
        </w:tc>
        <w:tc>
          <w:tcPr>
            <w:tcW w:w="120" w:type="dxa"/>
            <w:vAlign w:val="bottom"/>
          </w:tcPr>
          <w:p>
            <w:pPr>
              <w:spacing w:after="0"/>
              <w:rPr>
                <w:sz w:val="16"/>
                <w:szCs w:val="16"/>
                <w:color w:val="auto"/>
              </w:rPr>
            </w:pPr>
          </w:p>
        </w:tc>
      </w:tr>
      <w:tr>
        <w:trPr>
          <w:trHeight w:val="192"/>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Collaboration agreement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98,537</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(745,579)</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(947)</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(199,727)</w:t>
            </w:r>
          </w:p>
        </w:tc>
      </w:tr>
      <w:tr>
        <w:trPr>
          <w:trHeight w:val="224"/>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1,384,197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3,244,145</w:t>
            </w:r>
          </w:p>
        </w:tc>
        <w:tc>
          <w:tcPr>
            <w:tcW w:w="12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Identifiable intangible assets acquired include license, client lists and collaboration agreement. Client lists and collaboration agreement were both valued using an income approach and determined to carry estimated remaining useful lives of two years and four years, respectively. License was valued using a relief from royalty method and determined to carry estimated remaining useful lives of twenty years (a Level 3 measurement). Significant assumptions used in the valuation of intangible assets are projected revenue growth rates, royalty rate, and discount rate. Goodwill recognized represents the expected synergies from integrating academic education with the company's business and is not tax deductible.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ACQUISITION AND DECONSOLIDATIONS OF SUBSIDIARIES - continued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Shell Infotech</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June 7, 2024, Ridik Pte. Ltd. entered into an agreement with Shell Infotech Pte. Ltd. and Shell Infotech Consulting Sdn. Bhd. (collectively, “Shell Infotech”) to purchase 100% of its equity interest, at a total cash consideration of $887,836 and $29,595, respectively. Shell Infotech is a leading IT consulting and managed services provider headquartered in Singapore and was established in 2003. It offers a wide range of IT services, including software development, SAP solutions, enterprise applications, and managed services, with a focus on the banking and insurance sectors in Singapore and Malaysia. This acquisition expanded the Company’s client base and market share in Southeast Asia, while strengthened its core IT competencies and service offerings and solidified its commitment to global expansion.</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acquisition of the 100% equity interest in Shell Infotech was completed on June 7, 2024 and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Significant assumptions used in the valuation of intangible assets are projected revenue growth rates and discount rate. The purchase price allocation to assets acquired and liabilities assumed as of the date of acquisition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0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126,410</w:t>
            </w:r>
          </w:p>
        </w:tc>
        <w:tc>
          <w:tcPr>
            <w:tcW w:w="12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574,287</w:t>
            </w:r>
          </w:p>
        </w:tc>
        <w:tc>
          <w:tcPr>
            <w:tcW w:w="120" w:type="dxa"/>
            <w:vAlign w:val="bottom"/>
          </w:tcPr>
          <w:p>
            <w:pPr>
              <w:spacing w:after="0"/>
              <w:rPr>
                <w:sz w:val="16"/>
                <w:szCs w:val="16"/>
                <w:color w:val="auto"/>
              </w:rPr>
            </w:pP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 current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32,432</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39,964</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Customer relationships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569,695</w:t>
            </w:r>
          </w:p>
        </w:tc>
        <w:tc>
          <w:tcPr>
            <w:tcW w:w="120" w:type="dxa"/>
            <w:vAlign w:val="bottom"/>
            <w:shd w:val="clear" w:color="auto" w:fill="CCEEFF"/>
          </w:tcPr>
          <w:p>
            <w:pPr>
              <w:spacing w:after="0"/>
              <w:rPr>
                <w:sz w:val="16"/>
                <w:szCs w:val="16"/>
                <w:color w:val="auto"/>
              </w:rPr>
            </w:pP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(453,961)</w:t>
            </w:r>
          </w:p>
        </w:tc>
      </w:tr>
      <w:tr>
        <w:trPr>
          <w:trHeight w:val="19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(1,255)</w:t>
            </w:r>
          </w:p>
        </w:tc>
      </w:tr>
      <w:tr>
        <w:trPr>
          <w:trHeight w:val="192"/>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(96,848)</w:t>
            </w:r>
          </w:p>
        </w:tc>
      </w:tr>
      <w:tr>
        <w:trPr>
          <w:trHeight w:val="224"/>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126,707</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5"/>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917,431</w:t>
            </w:r>
          </w:p>
        </w:tc>
        <w:tc>
          <w:tcPr>
            <w:tcW w:w="120" w:type="dxa"/>
            <w:vAlign w:val="bottom"/>
          </w:tcPr>
          <w:p>
            <w:pPr>
              <w:spacing w:after="0"/>
              <w:rPr>
                <w:sz w:val="17"/>
                <w:szCs w:val="17"/>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Identifiable intangible assets acquired include customer relationship. Customer relationship was valued using an income approach and determined to carry estimated remaining useful lives of ten years. The goodwill recognized represents the expected synergies with the company's existing business and is not tax deductible.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63" w:name="page164"/>
    <w:bookmarkEnd w:id="163"/>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211"/>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4 – ACCOUNTS RECEIVABLE,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680" w:type="dxa"/>
            <w:vAlign w:val="bottom"/>
          </w:tcPr>
          <w:p>
            <w:pPr>
              <w:spacing w:after="0"/>
              <w:rPr>
                <w:sz w:val="24"/>
                <w:szCs w:val="24"/>
                <w:color w:val="auto"/>
              </w:rPr>
            </w:pPr>
          </w:p>
        </w:tc>
        <w:tc>
          <w:tcPr>
            <w:tcW w:w="1720" w:type="dxa"/>
            <w:vAlign w:val="bottom"/>
            <w:tcBorders>
              <w:bottom w:val="single" w:sz="8" w:color="auto"/>
            </w:tcBorders>
            <w:gridSpan w:val="3"/>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45,211,498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39,178,089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(320,337)</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(398,880)</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44,891,161</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38,779,209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movement of the allowance for credit losses is as follows: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680" w:type="dxa"/>
            <w:vAlign w:val="bottom"/>
          </w:tcPr>
          <w:p>
            <w:pPr>
              <w:spacing w:after="0"/>
              <w:rPr>
                <w:sz w:val="24"/>
                <w:szCs w:val="24"/>
                <w:color w:val="auto"/>
              </w:rPr>
            </w:pPr>
          </w:p>
        </w:tc>
        <w:tc>
          <w:tcPr>
            <w:tcW w:w="258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398,880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67,088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27,406</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338,878</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of accounts receivable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(107,191)</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(7,038)</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1,242</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320,337</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398,880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5 – PREPAYMENTS, DEPOSITS AND OTHER ASSETS, NET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deposits and other assets, net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680" w:type="dxa"/>
            <w:vAlign w:val="bottom"/>
          </w:tcPr>
          <w:p>
            <w:pPr>
              <w:spacing w:after="0"/>
              <w:rPr>
                <w:sz w:val="24"/>
                <w:szCs w:val="24"/>
                <w:color w:val="auto"/>
              </w:rPr>
            </w:pPr>
          </w:p>
        </w:tc>
        <w:tc>
          <w:tcPr>
            <w:tcW w:w="1720" w:type="dxa"/>
            <w:vAlign w:val="bottom"/>
            <w:tcBorders>
              <w:bottom w:val="single" w:sz="8" w:color="auto"/>
            </w:tcBorders>
            <w:gridSpan w:val="3"/>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1,106,120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901,567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Contract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320,348</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690,554</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Advances and deposits to suppliers*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756,241</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968,151</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5,027,030</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726,691</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receivables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335,193</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1,376,357</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Advances to employees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371,799</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408,480</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VAT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8,359</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59,647</w:t>
            </w:r>
          </w:p>
        </w:tc>
        <w:tc>
          <w:tcPr>
            <w:tcW w:w="0" w:type="dxa"/>
            <w:vAlign w:val="bottom"/>
          </w:tcPr>
          <w:p>
            <w:pPr>
              <w:spacing w:after="0"/>
              <w:rPr>
                <w:sz w:val="1"/>
                <w:szCs w:val="1"/>
                <w:color w:val="auto"/>
              </w:rPr>
            </w:pPr>
          </w:p>
        </w:tc>
      </w:tr>
      <w:tr>
        <w:trPr>
          <w:trHeight w:val="20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(1,764)</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(39,266)</w:t>
            </w:r>
          </w:p>
        </w:tc>
        <w:tc>
          <w:tcPr>
            <w:tcW w:w="0" w:type="dxa"/>
            <w:vAlign w:val="bottom"/>
          </w:tcPr>
          <w:p>
            <w:pPr>
              <w:spacing w:after="0"/>
              <w:rPr>
                <w:sz w:val="1"/>
                <w:szCs w:val="1"/>
                <w:color w:val="auto"/>
              </w:rPr>
            </w:pPr>
          </w:p>
        </w:tc>
      </w:tr>
      <w:tr>
        <w:trPr>
          <w:trHeight w:val="192"/>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7,923,326</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5,092,181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non-current portion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(481,761)</w:t>
            </w: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(594,603)</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 current portion</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7,441,565</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4,497,578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4" w:right="20" w:hanging="284"/>
        <w:spacing w:after="0" w:line="283" w:lineRule="auto"/>
        <w:tabs>
          <w:tab w:leader="none" w:pos="28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Prepaid expenses, advances and deposits to suppliers primarily consist of advances and deposits to suppliers for purchasing goods or services that have not been received or provided.</w:t>
      </w:r>
    </w:p>
    <w:p>
      <w:pPr>
        <w:spacing w:after="0" w:line="143" w:lineRule="exact"/>
        <w:rPr>
          <w:sz w:val="20"/>
          <w:szCs w:val="20"/>
          <w:color w:val="auto"/>
        </w:rPr>
      </w:pPr>
    </w:p>
    <w:p>
      <w:pPr>
        <w:ind w:left="284" w:right="20" w:hanging="284"/>
        <w:spacing w:after="0" w:line="283" w:lineRule="auto"/>
        <w:tabs>
          <w:tab w:leader="none" w:pos="28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contract costs represent incremental costs incurred in connection with obtaining or fulfilling customer contracts that are expected to be recoverable. The increase in deferred contract costs is primarily due to an increased number of revenue contracts which the performance obligation was not satisfied as of June 30, 2025.</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5" w:right="3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5 – PREPAYMENTS, DEPOSITS AND OTHER ASSETS, NET - continued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The movement of the allowance for credit losses is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680" w:type="dxa"/>
            <w:vAlign w:val="bottom"/>
          </w:tcPr>
          <w:p>
            <w:pPr>
              <w:spacing w:after="0"/>
              <w:rPr>
                <w:sz w:val="24"/>
                <w:szCs w:val="24"/>
                <w:color w:val="auto"/>
              </w:rPr>
            </w:pPr>
          </w:p>
        </w:tc>
        <w:tc>
          <w:tcPr>
            <w:tcW w:w="25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5"/>
              </w:rPr>
              <w:t>39,266</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other receivable and contract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5,151</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31,900</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of other receivable and contract assets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(42,955)</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302</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1,764</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39,266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680" w:type="dxa"/>
            <w:vAlign w:val="bottom"/>
          </w:tcPr>
          <w:p>
            <w:pPr>
              <w:spacing w:after="0"/>
              <w:rPr>
                <w:sz w:val="24"/>
                <w:szCs w:val="24"/>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buildings</w:t>
            </w:r>
          </w:p>
        </w:tc>
        <w:tc>
          <w:tcPr>
            <w:tcW w:w="11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7"/>
              </w:rPr>
              <w:t>20,628,654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20,400,547</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Equipment and office furniture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1,902,317</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1,682,622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building related facility, machinery and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63,022</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182,932</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Transportation equipment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707,015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710,782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2,930,897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1,767,487</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8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ind w:left="400"/>
              <w:spacing w:after="0" w:line="177" w:lineRule="exact"/>
              <w:rPr>
                <w:sz w:val="20"/>
                <w:szCs w:val="20"/>
                <w:color w:val="auto"/>
              </w:rPr>
            </w:pPr>
            <w:r>
              <w:rPr>
                <w:rFonts w:ascii="Times New Roman" w:cs="Times New Roman" w:eastAsia="Times New Roman" w:hAnsi="Times New Roman"/>
                <w:sz w:val="16"/>
                <w:szCs w:val="16"/>
                <w:color w:val="auto"/>
                <w:w w:val="97"/>
              </w:rPr>
              <w:t>26,231,905</w:t>
            </w:r>
          </w:p>
        </w:tc>
        <w:tc>
          <w:tcPr>
            <w:tcW w:w="22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24,744,370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(5,019,442)</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(3,575,846)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80" w:type="dxa"/>
            <w:vAlign w:val="bottom"/>
            <w:vMerge w:val="continue"/>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21,212,463</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21,168,524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expense was $1,462,726, $1,036,767 and $1,040,734 for the years ended June 30, 2025, 2024 and 2023, respectively.</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As of June 30, 2025, the office building with carrying amount of $13,759,238 is pledged to secure the financing credit facility of Hong Kong dollar (“HKD") 58,000,000 from Taipei Fubon Bank (Note 11).</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7 – INTANGIBLE ASSETS, NET</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As of June 30, 2025 and 2024, intangible assets, net consisted of the following:</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June 30, 2025</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340" w:type="dxa"/>
            <w:vAlign w:val="bottom"/>
          </w:tcPr>
          <w:p>
            <w:pPr>
              <w:spacing w:after="0"/>
              <w:rPr>
                <w:sz w:val="15"/>
                <w:szCs w:val="15"/>
                <w:color w:val="auto"/>
              </w:rPr>
            </w:pPr>
          </w:p>
        </w:tc>
        <w:tc>
          <w:tcPr>
            <w:tcW w:w="11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Gross carrying</w:t>
            </w:r>
          </w:p>
        </w:tc>
        <w:tc>
          <w:tcPr>
            <w:tcW w:w="180" w:type="dxa"/>
            <w:vAlign w:val="bottom"/>
          </w:tcPr>
          <w:p>
            <w:pPr>
              <w:spacing w:after="0"/>
              <w:rPr>
                <w:sz w:val="15"/>
                <w:szCs w:val="15"/>
                <w:color w:val="auto"/>
              </w:rPr>
            </w:pPr>
          </w:p>
        </w:tc>
        <w:tc>
          <w:tcPr>
            <w:tcW w:w="132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Net carrying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8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192"/>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1,588,175</w:t>
            </w:r>
          </w:p>
        </w:tc>
        <w:tc>
          <w:tcPr>
            <w:tcW w:w="1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(630,684)</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957,491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License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943,470</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(70,760)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872,710</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219,950</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(121,730)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98,220</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Client lists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172,970</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(129,727)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43,243</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agreement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102,209</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(38,329)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63,880</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35,791</w:t>
            </w:r>
          </w:p>
        </w:tc>
        <w:tc>
          <w:tcPr>
            <w:tcW w:w="18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(16,233)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19,558</w:t>
            </w:r>
          </w:p>
        </w:tc>
        <w:tc>
          <w:tcPr>
            <w:tcW w:w="0" w:type="dxa"/>
            <w:vAlign w:val="bottom"/>
          </w:tcPr>
          <w:p>
            <w:pPr>
              <w:spacing w:after="0"/>
              <w:rPr>
                <w:sz w:val="1"/>
                <w:szCs w:val="1"/>
                <w:color w:val="auto"/>
              </w:rPr>
            </w:pPr>
          </w:p>
        </w:tc>
      </w:tr>
      <w:tr>
        <w:trPr>
          <w:trHeight w:val="24"/>
        </w:trPr>
        <w:tc>
          <w:tcPr>
            <w:tcW w:w="7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right w:val="single" w:sz="8" w:color="CCEEFF"/>
            </w:tcBorders>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3,062,565</w:t>
            </w:r>
          </w:p>
        </w:tc>
        <w:tc>
          <w:tcPr>
            <w:tcW w:w="18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(1,007,463</w:t>
            </w:r>
          </w:p>
        </w:tc>
        <w:tc>
          <w:tcPr>
            <w:tcW w:w="220" w:type="dxa"/>
            <w:vAlign w:val="bottom"/>
            <w:vMerge w:val="continue"/>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2,055,102</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73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of June 30, 2024</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340" w:type="dxa"/>
            <w:vAlign w:val="bottom"/>
          </w:tcPr>
          <w:p>
            <w:pPr>
              <w:spacing w:after="0"/>
              <w:rPr>
                <w:sz w:val="15"/>
                <w:szCs w:val="15"/>
                <w:color w:val="auto"/>
              </w:rPr>
            </w:pPr>
          </w:p>
        </w:tc>
        <w:tc>
          <w:tcPr>
            <w:tcW w:w="118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Gross carrying</w:t>
            </w:r>
          </w:p>
        </w:tc>
        <w:tc>
          <w:tcPr>
            <w:tcW w:w="180" w:type="dxa"/>
            <w:vAlign w:val="bottom"/>
          </w:tcPr>
          <w:p>
            <w:pPr>
              <w:spacing w:after="0"/>
              <w:rPr>
                <w:sz w:val="15"/>
                <w:szCs w:val="15"/>
                <w:color w:val="auto"/>
              </w:rPr>
            </w:pPr>
          </w:p>
        </w:tc>
        <w:tc>
          <w:tcPr>
            <w:tcW w:w="132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1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Net carrying</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8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192"/>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1,490,555</w:t>
            </w:r>
          </w:p>
        </w:tc>
        <w:tc>
          <w:tcPr>
            <w:tcW w:w="1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(442,862)</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1,047,693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License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885,478</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(22,137)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863,341</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216,873</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(96,856)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120,017</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Client lists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162,338</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(40,584)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121,754</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Collaboration agreement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95,927</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(11,991)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83,936</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22,522</w:t>
            </w:r>
          </w:p>
        </w:tc>
        <w:tc>
          <w:tcPr>
            <w:tcW w:w="18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(4,891)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17,631</w:t>
            </w:r>
          </w:p>
        </w:tc>
        <w:tc>
          <w:tcPr>
            <w:tcW w:w="0" w:type="dxa"/>
            <w:vAlign w:val="bottom"/>
          </w:tcPr>
          <w:p>
            <w:pPr>
              <w:spacing w:after="0"/>
              <w:rPr>
                <w:sz w:val="1"/>
                <w:szCs w:val="1"/>
                <w:color w:val="auto"/>
              </w:rPr>
            </w:pPr>
          </w:p>
        </w:tc>
      </w:tr>
      <w:tr>
        <w:trPr>
          <w:trHeight w:val="24"/>
        </w:trPr>
        <w:tc>
          <w:tcPr>
            <w:tcW w:w="7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right w:val="single" w:sz="8" w:color="CCEEFF"/>
            </w:tcBorders>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2,873,693</w:t>
            </w:r>
          </w:p>
        </w:tc>
        <w:tc>
          <w:tcPr>
            <w:tcW w:w="180" w:type="dxa"/>
            <w:vAlign w:val="bottom"/>
            <w:vMerge w:val="continue"/>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(619,321</w:t>
            </w:r>
          </w:p>
        </w:tc>
        <w:tc>
          <w:tcPr>
            <w:tcW w:w="220" w:type="dxa"/>
            <w:vAlign w:val="bottom"/>
            <w:vMerge w:val="continue"/>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2,254,372</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Amortization expense was $376,739, $196,859, and $179,078 for the years ended June 30, 2025, 2024, 2023, respectively. Estimated future amortization expenses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5"/>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ending June 30,</w:t>
            </w: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192"/>
        </w:trPr>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6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302,335</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78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253,243</w:t>
            </w: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7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237,704</w:t>
            </w:r>
          </w:p>
        </w:tc>
      </w:tr>
      <w:tr>
        <w:trPr>
          <w:trHeight w:val="192"/>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78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221,324</w:t>
            </w: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7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147,616</w:t>
            </w:r>
          </w:p>
        </w:tc>
      </w:tr>
      <w:tr>
        <w:trPr>
          <w:trHeight w:val="581"/>
        </w:trPr>
        <w:tc>
          <w:tcPr>
            <w:tcW w:w="346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gridSpan w:val="4"/>
          </w:tcPr>
          <w:p>
            <w:pPr>
              <w:jc w:val="right"/>
              <w:ind w:right="5480"/>
              <w:spacing w:after="0"/>
              <w:rPr>
                <w:sz w:val="20"/>
                <w:szCs w:val="20"/>
                <w:color w:val="auto"/>
              </w:rPr>
            </w:pPr>
            <w:r>
              <w:rPr>
                <w:rFonts w:ascii="Times New Roman" w:cs="Times New Roman" w:eastAsia="Times New Roman" w:hAnsi="Times New Roman"/>
                <w:sz w:val="16"/>
                <w:szCs w:val="16"/>
                <w:color w:val="auto"/>
              </w:rPr>
              <w:t>F-30</w:t>
            </w:r>
          </w:p>
        </w:tc>
      </w:tr>
    </w:tbl>
    <w:p>
      <w:pPr>
        <w:sectPr>
          <w:pgSz w:w="11900" w:h="16838" w:orient="portrait"/>
          <w:cols w:equalWidth="0" w:num="1">
            <w:col w:w="11260"/>
          </w:cols>
          <w:pgMar w:left="320" w:top="794" w:right="31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GOODWILL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two reporting units, consisting of IT services and Academic education services as of June 30, 2025 and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changes in the carrying amount of goodwill for each reporting unit for the years ended June 30, 2025 and 2024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Academic</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education</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2"/>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July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Acquired (Note 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126,707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1,384,197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1,510,904</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(36,668)</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(37,005)</w:t>
            </w:r>
          </w:p>
        </w:tc>
        <w:tc>
          <w:tcPr>
            <w:tcW w:w="0" w:type="dxa"/>
            <w:vAlign w:val="bottom"/>
          </w:tcPr>
          <w:p>
            <w:pPr>
              <w:spacing w:after="0"/>
              <w:rPr>
                <w:sz w:val="1"/>
                <w:szCs w:val="1"/>
                <w:color w:val="auto"/>
              </w:rPr>
            </w:pPr>
          </w:p>
        </w:tc>
      </w:tr>
      <w:tr>
        <w:trPr>
          <w:trHeight w:val="208"/>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July 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126,370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1,347,529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1,473,899</w:t>
            </w:r>
          </w:p>
        </w:tc>
        <w:tc>
          <w:tcPr>
            <w:tcW w:w="0" w:type="dxa"/>
            <w:vAlign w:val="bottom"/>
          </w:tcPr>
          <w:p>
            <w:pPr>
              <w:spacing w:after="0"/>
              <w:rPr>
                <w:sz w:val="1"/>
                <w:szCs w:val="1"/>
                <w:color w:val="auto"/>
              </w:rPr>
            </w:pPr>
          </w:p>
        </w:tc>
      </w:tr>
      <w:tr>
        <w:trPr>
          <w:trHeight w:val="192"/>
        </w:trPr>
        <w:tc>
          <w:tcPr>
            <w:tcW w:w="7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(129,270)</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88,253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91,153</w:t>
            </w:r>
          </w:p>
        </w:tc>
        <w:tc>
          <w:tcPr>
            <w:tcW w:w="0" w:type="dxa"/>
            <w:vAlign w:val="bottom"/>
          </w:tcPr>
          <w:p>
            <w:pPr>
              <w:spacing w:after="0"/>
              <w:rPr>
                <w:sz w:val="1"/>
                <w:szCs w:val="1"/>
                <w:color w:val="auto"/>
              </w:rPr>
            </w:pPr>
          </w:p>
        </w:tc>
      </w:tr>
      <w:tr>
        <w:trPr>
          <w:trHeight w:val="24"/>
        </w:trPr>
        <w:tc>
          <w:tcPr>
            <w:tcW w:w="7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1,435,782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1,435,782</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IT services reporting unit</w:t>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For the year ended June 30, 2025, the Company bypassed the qualitative assessment and performed quantitative assessment for the goodwill allocated to IT services reporting unit using the market approach. The Company assessed and determined that the fair value of the IT services reporting unit was less than their carrying amount and therefore, impairment loss of $129,270 was recognized for the year ended June 30, 2025.</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For the year ended June 30, 2024, the Company performed a qualitative assessment for the goodwill allocated to IT services reporting unit based on the requirements of ASC 350-20. The Company assessed the totality of events or circumstances and determined that it is not more likely than not that the fair value of the reporting unit was less than their carrying amount. Therefore, no impairment loss was recognized for the year ended June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u w:val="single" w:color="auto"/>
          <w:color w:val="auto"/>
        </w:rPr>
        <w:t>Academic education services reporting unit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For the year ended June 30, 2025, the Company bypassed the qualitative assessment and performed quantitative assessment for the goodwill allocated to Academic education services. The fair value of this reporting unit has been determined using the discounted cash flow approach. Significant assumptions used included projected revenue growth rates and discount rate. As of June 30, 2025, the fair value of the Academic education services reporting unit exceeded its carrying amount. Therefore, no impairment loss was recognized for the year ended June 30, 2025.</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For the year ended June 30, 2024, the Company performed a qualitative assessment for the goodwill allocated to Academic education services reporting unit based on the requirements of ASC 350-20. The Company assessed the totality of events or circumstances and determined that it is not more likely than not that the fair value of the reporting unit was less than their carrying amount. Therefore, no impairment loss was recognized for the year ended June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NOTE 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LEASE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operating leases as the lessee for certain offices.</w:t>
      </w:r>
    </w:p>
    <w:p>
      <w:pPr>
        <w:spacing w:after="0" w:line="20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Company’s lease agreements include lease payments that are fixed, do not contain material residual value guarantees or variable lease payments. The leases have remaining lease terms of up to three years without option to extend the lease. The Company’s leases do not contain restrictions or covenants that restrict the Company from incurring other financial obligations. The Company’s lease agreements may contain lease and non-lease components. Non-lease components primarily include payments for property management fee. Consideration for lease and non-lease components are allocated on a relative standalone selling price basis.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LEASE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Operating leases as Lessee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operating lease cost was $2,166,911 and $1,514,162 for the years ended June 30, 2025 and 2024, respectively.</w:t>
      </w:r>
    </w:p>
    <w:p>
      <w:pPr>
        <w:spacing w:after="0" w:line="19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As of and for the year ended</w:t>
      </w:r>
    </w:p>
    <w:p>
      <w:pPr>
        <w:spacing w:after="0" w:line="27"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2,122,665</w:t>
            </w:r>
          </w:p>
        </w:tc>
        <w:tc>
          <w:tcPr>
            <w:tcW w:w="280" w:type="dxa"/>
            <w:vAlign w:val="bottom"/>
            <w:tcBorders>
              <w:right w:val="single" w:sz="8" w:color="CCEEFF"/>
            </w:tcBorders>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1,181,396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ROU assets obtained in exchange for new 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2,637,381</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3,553,256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1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368"/>
        </w:trPr>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Future minimum lease payments for operating leases as of June 30, 2025, are as follows: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2,416,712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1,158,535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12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188,486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Total minimum lease payments</w:t>
            </w:r>
          </w:p>
        </w:tc>
        <w:tc>
          <w:tcPr>
            <w:tcW w:w="11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3,763,733</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liability balance</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3,649,564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Minimum payments related to leases not yet commenced as of June 30, 2025</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7,036</w:t>
            </w: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860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6"/>
                <w:szCs w:val="16"/>
                <w:color w:val="auto"/>
              </w:rPr>
              <w:t>F-32</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10 – INVESTMENTS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aggregate carrying values of the Company’s short-term investments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 with original maturities of three to twelve months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636,951</w:t>
            </w: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Available-for-sale equity securities: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Publicly traded equity securities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59,998</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Held-to-maturity debt securities: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200,000</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869,949</w:t>
            </w:r>
          </w:p>
        </w:tc>
        <w:tc>
          <w:tcPr>
            <w:tcW w:w="3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The aggregate carrying values of the Company’s long-term investments consisted of the following:</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6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Equity investments without readily determinable fair values: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UniDev Software Co., Ltd. (“UniDev”)</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235,775</w:t>
            </w: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Equity method investments: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Shanghai Qinhui Shang Information Technology Co., Ltd. (“Shanghai Qinhui”)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62,295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Fuson Group Limited (“Fuson”) and its subsidiaries (“Fuson Group”)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30,696</w:t>
            </w: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Shanghai Shier Information Technology Co., Ltd. (“Shier”)</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11,807</w:t>
            </w: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 method investments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104,798</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381,393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Equity investments without readily determinable fair value using NAV practical expedient: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LION X INVESTMENT VCC</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566,343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Held-to-maturity debt securities: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812,079</w:t>
            </w:r>
          </w:p>
        </w:tc>
        <w:tc>
          <w:tcPr>
            <w:tcW w:w="38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1,718,995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Held-to-maturity debt securities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The carrying amount is recorded within short-term investments in the Company’s consolidated balance sheets if the remaining maturity is less than twelve months. Maturities greater than twelve months are recorded within long-term investments of the Company’s consolidated balance sheets. The Company does not intend to sell the investments and it is not more likely than not that the Company will be required to sell the investments before recovery of their amortized cost bases.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INVESTMENTS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investments without readily determinable fair values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and 2024, the Company had an equity interest of 15% in UniDev.</w:t>
      </w:r>
    </w:p>
    <w:p>
      <w:pPr>
        <w:spacing w:after="0" w:line="20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The Company recognized an impairment loss of nil, nil, and $32,744 for Huaqin Robotics. for the years ended June 30, 2025, 2024, and 2023, respectively, in “Other expenses” in the consolidated statements of comprehensive (loss) income.</w:t>
      </w:r>
    </w:p>
    <w:p>
      <w:pPr>
        <w:spacing w:after="0" w:line="143" w:lineRule="exact"/>
        <w:rPr>
          <w:sz w:val="20"/>
          <w:szCs w:val="20"/>
          <w:color w:val="auto"/>
        </w:rPr>
      </w:pPr>
    </w:p>
    <w:p>
      <w:pPr>
        <w:ind w:right="400"/>
        <w:spacing w:after="0" w:line="501" w:lineRule="auto"/>
        <w:rPr>
          <w:sz w:val="20"/>
          <w:szCs w:val="20"/>
          <w:color w:val="auto"/>
        </w:rPr>
      </w:pPr>
      <w:r>
        <w:rPr>
          <w:rFonts w:ascii="Times New Roman" w:cs="Times New Roman" w:eastAsia="Times New Roman" w:hAnsi="Times New Roman"/>
          <w:sz w:val="16"/>
          <w:szCs w:val="16"/>
          <w:color w:val="auto"/>
        </w:rPr>
        <w:t xml:space="preserve">There were no other downward adjustments or any upward adjustments recognized on equity investments without readily determinable fair value for the years presented. </w:t>
      </w:r>
      <w:r>
        <w:rPr>
          <w:rFonts w:ascii="Times New Roman" w:cs="Times New Roman" w:eastAsia="Times New Roman" w:hAnsi="Times New Roman"/>
          <w:sz w:val="16"/>
          <w:szCs w:val="16"/>
          <w:i w:val="1"/>
          <w:iCs w:val="1"/>
          <w:color w:val="auto"/>
        </w:rPr>
        <w:t>Equity method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the Company had an equity interest of 46%, 35.02% and 35% in Qinhui, Fuson Group and Shier,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the Company had an equity interest of 35.02% and 35% in Fuson Group and Shier,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accounts for the investments in Shier, Fuson Group and Qinhui as equity method investments due to its significant influence over the entities.</w:t>
      </w:r>
    </w:p>
    <w:p>
      <w:pPr>
        <w:spacing w:after="0" w:line="20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No impairment loss was recorded on equity method investments for the years ended June 30, 2025 and 2024, and an impairment loss of $52,582 on Shier for the year ended June 30, 2023 was recognized in “Other expenses” in the consolidated statements of comprehensive (loss)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carrying amount of the equity method investments in excess of the Company’s proportionate interest was not material and recognized as equity method goodwill.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Selected financial information of the equity method investees are not presented as the effects were not material.</w:t>
      </w:r>
    </w:p>
    <w:p>
      <w:pPr>
        <w:spacing w:after="0" w:line="20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Bank loans as of June 30, 2025 and 2024 amounted to $30,217,329 and $23,232,856, respectively. Bank loans consisted of several bank loans denominated in RMB, HKD and Singapore dollar (“SGD”).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11, 2024, the Company borrowed HKD58,000,000 from Taipei Fubon Bank, with two immovable properties in Hong Kong as collateral.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the Company had total financing credit facilities of $44,414,681 of which the unused amount was $14,197,352.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effective weighted average interest rates were 2.856%, 2.950% and 3.467% for the years ended June 30, 2025, 2024 and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of the loan agreements contained certain financial covenants. The Company was in compliance with all covenants as of June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all loan principals will be due within 1 year.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BANK LOANS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Bank loans as of June 30, 2025 and 2024 amounted to $30,217,329 and $23,232,856, respectively. Bank loans consisted of several bank loans denominated in RMB, HKD and Singapore dollar (“SGD”).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11, 2024, the Company had total financing credit facilities of HKD58,000,000 from Taipei Fubon Bank, secured by the office building in Hong Kong (note 6).</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the Company had total financing credit facilities of $44,414,681 of which the unused amount was $14,197,352.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effective weighted average interest rates were 2.856%, 2.950% and 3.467% for the years ended June 30, 2025, 2024 and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of the loan agreements contained certain financial covenants. The Company was in compliance with all covenants as of June 30,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all loan principals will be due within 1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SALARIES AND BENEFITS PAYABLE</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Full time employees of the Company located in mainland China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$1,025,289 and $975,776 accrued employer portion of social benefits payable to local governments as of June 30,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RELATED PARTY TRANSACTIONS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Parties are considered to be related if one party has the ability, directly or indirectly, to control the other party or exercise significant influence over the other party in making financial and operational decisions. The related parties that had transactions or balances with the Company as of and for the years presented consisted of: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Related Party</w:t>
            </w: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5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Relationship with the Company</w:t>
            </w:r>
          </w:p>
        </w:tc>
      </w:tr>
      <w:tr>
        <w:trPr>
          <w:trHeight w:val="19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Xiao Feng Yang</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w:t>
            </w:r>
          </w:p>
        </w:tc>
      </w:tr>
      <w:tr>
        <w:trPr>
          <w:trHeight w:val="192"/>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Raymond Ming Hui Lin</w:t>
            </w:r>
          </w:p>
        </w:tc>
        <w:tc>
          <w:tcPr>
            <w:tcW w:w="1040" w:type="dxa"/>
            <w:vAlign w:val="bottom"/>
          </w:tcPr>
          <w:p>
            <w:pPr>
              <w:spacing w:after="0"/>
              <w:rPr>
                <w:sz w:val="16"/>
                <w:szCs w:val="16"/>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CEO of the Company</w:t>
            </w:r>
          </w:p>
        </w:tc>
      </w:tr>
      <w:tr>
        <w:trPr>
          <w:trHeight w:val="19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EMIT</w:t>
            </w:r>
          </w:p>
        </w:tc>
        <w:tc>
          <w:tcPr>
            <w:tcW w:w="104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investee of the Company</w:t>
            </w:r>
          </w:p>
        </w:tc>
      </w:tr>
      <w:tr>
        <w:trPr>
          <w:trHeight w:val="192"/>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Beijing Bright Technology Co., Ltd (“Beijing Bright”)</w:t>
            </w:r>
          </w:p>
        </w:tc>
        <w:tc>
          <w:tcPr>
            <w:tcW w:w="1040" w:type="dxa"/>
            <w:vAlign w:val="bottom"/>
          </w:tcPr>
          <w:p>
            <w:pPr>
              <w:spacing w:after="0"/>
              <w:rPr>
                <w:sz w:val="16"/>
                <w:szCs w:val="16"/>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Noncontrolling interest shareholder of JAJI China</w:t>
            </w:r>
          </w:p>
        </w:tc>
      </w:tr>
      <w:tr>
        <w:trPr>
          <w:trHeight w:val="19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UniDev</w:t>
            </w:r>
          </w:p>
        </w:tc>
        <w:tc>
          <w:tcPr>
            <w:tcW w:w="104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investee of the Company</w:t>
            </w:r>
          </w:p>
        </w:tc>
      </w:tr>
      <w:tr>
        <w:trPr>
          <w:trHeight w:val="192"/>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Fuson Group</w:t>
            </w:r>
          </w:p>
        </w:tc>
        <w:tc>
          <w:tcPr>
            <w:tcW w:w="1040" w:type="dxa"/>
            <w:vAlign w:val="bottom"/>
          </w:tcPr>
          <w:p>
            <w:pPr>
              <w:spacing w:after="0"/>
              <w:rPr>
                <w:sz w:val="16"/>
                <w:szCs w:val="16"/>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Equity investee of the Company</w:t>
            </w:r>
          </w:p>
        </w:tc>
      </w:tr>
      <w:tr>
        <w:trPr>
          <w:trHeight w:val="192"/>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MCT</w:t>
            </w:r>
          </w:p>
        </w:tc>
        <w:tc>
          <w:tcPr>
            <w:tcW w:w="104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 shareholder of MSCT</w:t>
            </w:r>
          </w:p>
        </w:tc>
      </w:tr>
      <w:tr>
        <w:trPr>
          <w:trHeight w:val="581"/>
        </w:trPr>
        <w:tc>
          <w:tcPr>
            <w:tcW w:w="448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6"/>
                <w:szCs w:val="16"/>
                <w:color w:val="auto"/>
              </w:rPr>
              <w:t>F-35</w:t>
            </w:r>
          </w:p>
        </w:tc>
      </w:tr>
    </w:tbl>
    <w:p>
      <w:pPr>
        <w:sectPr>
          <w:pgSz w:w="11900" w:h="16838" w:orient="portrait"/>
          <w:cols w:equalWidth="0" w:num="1">
            <w:col w:w="11260"/>
          </w:cols>
          <w:pgMar w:left="320" w:top="794" w:right="319" w:bottom="1440" w:gutter="0" w:footer="0" w:header="0"/>
        </w:sectPr>
      </w:pPr>
    </w:p>
    <w:bookmarkStart w:id="171" w:name="page172"/>
    <w:bookmarkEnd w:id="171"/>
    <w:p>
      <w:pPr>
        <w:jc w:val="center"/>
        <w:ind w:left="2884"/>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left="2884"/>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20" w:lineRule="exact"/>
        <w:rPr>
          <w:sz w:val="20"/>
          <w:szCs w:val="20"/>
          <w:color w:val="auto"/>
        </w:rPr>
      </w:pPr>
    </w:p>
    <w:p>
      <w:pPr>
        <w:jc w:val="center"/>
        <w:ind w:left="2884"/>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NOTE 13 – RELATED PARTY TRANSACTIONS - continued</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 Related party balances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balances due from and due to related parties were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Due from related parties, current:</w:t>
      </w:r>
    </w:p>
    <w:p>
      <w:pPr>
        <w:spacing w:after="0" w:line="25"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6"/>
          <w:szCs w:val="16"/>
          <w:color w:val="auto"/>
        </w:rPr>
        <w:t>Fuson Group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7560" cy="1219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ind w:left="144"/>
        <w:spacing w:after="0"/>
        <w:rPr>
          <w:sz w:val="20"/>
          <w:szCs w:val="20"/>
          <w:color w:val="auto"/>
        </w:rPr>
      </w:pPr>
      <w:r>
        <w:rPr>
          <w:rFonts w:ascii="Times New Roman" w:cs="Times New Roman" w:eastAsia="Times New Roman" w:hAnsi="Times New Roman"/>
          <w:sz w:val="16"/>
          <w:szCs w:val="16"/>
          <w:color w:val="auto"/>
        </w:rPr>
        <w:t>Less: allowance for credit losses</w:t>
      </w:r>
    </w:p>
    <w:p>
      <w:pPr>
        <w:spacing w:after="0" w:line="8" w:lineRule="exact"/>
        <w:rPr>
          <w:sz w:val="20"/>
          <w:szCs w:val="20"/>
          <w:color w:val="auto"/>
        </w:rPr>
      </w:pPr>
    </w:p>
    <w:p>
      <w:pPr>
        <w:ind w:left="144"/>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47560" cy="1606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7560" cy="160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17145</wp:posOffset>
            </wp:positionV>
            <wp:extent cx="156527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65275" cy="15240"/>
                    </a:xfrm>
                    <a:prstGeom prst="rect">
                      <a:avLst/>
                    </a:prstGeom>
                    <a:noFill/>
                  </pic:spPr>
                </pic:pic>
              </a:graphicData>
            </a:graphic>
          </wp:anchor>
        </w:drawing>
      </w:r>
    </w:p>
    <w:p>
      <w:pPr>
        <w:spacing w:after="0" w:line="2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17145</wp:posOffset>
            </wp:positionV>
            <wp:extent cx="156527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65275" cy="15240"/>
                    </a:xfrm>
                    <a:prstGeom prst="rect">
                      <a:avLst/>
                    </a:prstGeom>
                    <a:noFill/>
                  </pic:spPr>
                </pic:pic>
              </a:graphicData>
            </a:graphic>
          </wp:anchor>
        </w:drawing>
      </w:r>
    </w:p>
    <w:p>
      <w:pPr>
        <w:spacing w:after="0" w:line="207"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6"/>
          <w:szCs w:val="16"/>
          <w:color w:val="auto"/>
        </w:rPr>
        <w:t>4,752,065</w:t>
      </w:r>
      <w:r>
        <w:rPr>
          <w:sz w:val="20"/>
          <w:szCs w:val="20"/>
          <w:color w:val="auto"/>
        </w:rPr>
        <w:tab/>
      </w:r>
      <w:r>
        <w:rPr>
          <w:rFonts w:ascii="Times New Roman" w:cs="Times New Roman" w:eastAsia="Times New Roman" w:hAnsi="Times New Roman"/>
          <w:sz w:val="16"/>
          <w:szCs w:val="16"/>
          <w:color w:val="auto"/>
        </w:rPr>
        <w:t>3,626,732</w:t>
      </w:r>
    </w:p>
    <w:p>
      <w:pPr>
        <w:spacing w:after="0" w:line="25" w:lineRule="exact"/>
        <w:rPr>
          <w:sz w:val="20"/>
          <w:szCs w:val="20"/>
          <w:color w:val="auto"/>
        </w:rPr>
      </w:pPr>
    </w:p>
    <w:p>
      <w:pPr>
        <w:ind w:left="160"/>
        <w:spacing w:after="0"/>
        <w:tabs>
          <w:tab w:leader="none" w:pos="1540" w:val="left"/>
        </w:tabs>
        <w:rPr>
          <w:sz w:val="20"/>
          <w:szCs w:val="20"/>
          <w:color w:val="auto"/>
        </w:rPr>
      </w:pPr>
      <w:r>
        <w:rPr>
          <w:rFonts w:ascii="Times New Roman" w:cs="Times New Roman" w:eastAsia="Times New Roman" w:hAnsi="Times New Roman"/>
          <w:sz w:val="16"/>
          <w:szCs w:val="16"/>
          <w:color w:val="auto"/>
        </w:rPr>
        <w:t>(253,700)</w:t>
      </w:r>
      <w:r>
        <w:rPr>
          <w:sz w:val="20"/>
          <w:szCs w:val="20"/>
          <w:color w:val="auto"/>
        </w:rPr>
        <w:tab/>
      </w:r>
      <w:r>
        <w:rPr>
          <w:rFonts w:ascii="Times New Roman" w:cs="Times New Roman" w:eastAsia="Times New Roman" w:hAnsi="Times New Roman"/>
          <w:sz w:val="16"/>
          <w:szCs w:val="16"/>
          <w:color w:val="auto"/>
        </w:rPr>
        <w:t>(94,247)</w:t>
      </w:r>
    </w:p>
    <w:p>
      <w:pPr>
        <w:spacing w:after="0" w:line="28" w:lineRule="exact"/>
        <w:rPr>
          <w:sz w:val="20"/>
          <w:szCs w:val="20"/>
          <w:color w:val="auto"/>
        </w:rPr>
      </w:pPr>
    </w:p>
    <w:p>
      <w:pPr>
        <w:ind w:left="80"/>
        <w:spacing w:after="0"/>
        <w:tabs>
          <w:tab w:leader="none" w:pos="1400" w:val="left"/>
        </w:tabs>
        <w:rPr>
          <w:sz w:val="20"/>
          <w:szCs w:val="20"/>
          <w:color w:val="auto"/>
        </w:rPr>
      </w:pPr>
      <w:r>
        <w:rPr>
          <w:rFonts w:ascii="Times New Roman" w:cs="Times New Roman" w:eastAsia="Times New Roman" w:hAnsi="Times New Roman"/>
          <w:sz w:val="16"/>
          <w:szCs w:val="16"/>
          <w:color w:val="auto"/>
        </w:rPr>
        <w:t>4,374,595</w:t>
      </w:r>
      <w:r>
        <w:rPr>
          <w:sz w:val="20"/>
          <w:szCs w:val="20"/>
          <w:color w:val="auto"/>
        </w:rPr>
        <w:tab/>
      </w:r>
      <w:r>
        <w:rPr>
          <w:rFonts w:ascii="Times New Roman" w:cs="Times New Roman" w:eastAsia="Times New Roman" w:hAnsi="Times New Roman"/>
          <w:sz w:val="16"/>
          <w:szCs w:val="16"/>
          <w:color w:val="auto"/>
        </w:rPr>
        <w:t>3,559,109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38735</wp:posOffset>
            </wp:positionV>
            <wp:extent cx="156527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565275"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4" w:space="720"/>
            <w:col w:w="2180"/>
          </w:cols>
          <w:pgMar w:left="316" w:top="795" w:right="319" w:bottom="1440" w:gutter="0" w:footer="0" w:header="0"/>
        </w:sectPr>
      </w:pPr>
    </w:p>
    <w:p>
      <w:pPr>
        <w:spacing w:after="0" w:line="77"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related parties, non-current:</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Fuson Group (b)</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2,069,730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2,505,839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(123,770)</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(131,541)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80" w:type="dxa"/>
            <w:vAlign w:val="bottom"/>
            <w:vMerge w:val="continue"/>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1,945,960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2,374,298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4" w:hanging="284"/>
        <w:spacing w:after="0" w:line="283" w:lineRule="auto"/>
        <w:tabs>
          <w:tab w:leader="none" w:pos="28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balances represent loans due from Fuson Group which should be paid within one year. The interest rates for the loans ranged from 4.0% to 4.10% and 2.90% to 5.35% as of June 30, 2025 and 2024, respectively.</w:t>
      </w:r>
    </w:p>
    <w:p>
      <w:pPr>
        <w:spacing w:after="0" w:line="14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balance represents loans due from Fuson Group with 6.50% interest rate, which should be paid within 42 months.</w:t>
      </w:r>
    </w:p>
    <w:p>
      <w:pPr>
        <w:spacing w:after="0" w:line="201"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6"/>
          <w:szCs w:val="16"/>
          <w:color w:val="auto"/>
        </w:rPr>
        <w:t>Loans due from Fuson Group are carried at the original loan principal balances less allowance for credit loss. The estimated credit losses charged to the allowance is classified as “General and administrative expenses” in the consolidated statements of comprehensive (loss) income. In determining the amount of the allowance for credit losses, the Company considered the financial conditions of Fuson Group and adjusted for various qualitative factors that reflect current conditions and reasonable and supportable forecasts of future economic conditions.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258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0" w:type="dxa"/>
            <w:vAlign w:val="bottom"/>
          </w:tcPr>
          <w:p>
            <w:pPr>
              <w:spacing w:after="0"/>
              <w:rPr>
                <w:sz w:val="1"/>
                <w:szCs w:val="1"/>
                <w:color w:val="auto"/>
              </w:rPr>
            </w:pPr>
          </w:p>
        </w:tc>
      </w:tr>
      <w:tr>
        <w:trPr>
          <w:trHeight w:val="208"/>
        </w:trPr>
        <w:tc>
          <w:tcPr>
            <w:tcW w:w="86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225,788</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237,747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225,788</w:t>
            </w: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Recovery of due from related parties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(86,235)</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year</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377,470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225,788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8680" w:type="dxa"/>
            <w:vAlign w:val="bottom"/>
          </w:tcPr>
          <w:p>
            <w:pPr>
              <w:spacing w:after="0"/>
              <w:rPr>
                <w:sz w:val="18"/>
                <w:szCs w:val="18"/>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8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Fuson Group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14,917</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MCT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4,188</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UniDev</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2,779</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80" w:type="dxa"/>
            <w:vAlign w:val="bottom"/>
            <w:vMerge w:val="continue"/>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21,884</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Due to related parties mainly represents the deposit to Fuson Group and unpaid administrative fee to MCT and UniDev.</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5" w:right="319" w:bottom="1440" w:gutter="0" w:footer="0" w:header="0"/>
          <w:type w:val="continuous"/>
        </w:sectPr>
      </w:pPr>
    </w:p>
    <w:bookmarkStart w:id="172" w:name="page173"/>
    <w:bookmarkEnd w:id="17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NOTE 13 – RELATED PARTY TRANSACTIONS - continued</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(b) Related party transactions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For the year ended</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92"/>
        </w:trPr>
        <w:tc>
          <w:tcPr>
            <w:tcW w:w="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Consulting services provided to related parties</w:t>
            </w:r>
          </w:p>
        </w:tc>
        <w:tc>
          <w:tcPr>
            <w:tcW w:w="12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340" w:type="dxa"/>
            <w:vAlign w:val="bottom"/>
            <w:shd w:val="clear" w:color="auto" w:fill="CCEEFF"/>
          </w:tcPr>
          <w:p>
            <w:pPr>
              <w:spacing w:after="0"/>
              <w:rPr>
                <w:sz w:val="16"/>
                <w:szCs w:val="16"/>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Fuson Group</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116,760</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87,172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57,418</w:t>
            </w:r>
          </w:p>
        </w:tc>
      </w:tr>
      <w:tr>
        <w:trPr>
          <w:trHeight w:val="204"/>
        </w:trPr>
        <w:tc>
          <w:tcPr>
            <w:tcW w:w="340" w:type="dxa"/>
            <w:vAlign w:val="bottom"/>
          </w:tcPr>
          <w:p>
            <w:pPr>
              <w:spacing w:after="0"/>
              <w:rPr>
                <w:sz w:val="17"/>
                <w:szCs w:val="17"/>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EMIT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r>
      <w:tr>
        <w:trPr>
          <w:trHeight w:val="24"/>
        </w:trPr>
        <w:tc>
          <w:tcPr>
            <w:tcW w:w="34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1"/>
        </w:trPr>
        <w:tc>
          <w:tcPr>
            <w:tcW w:w="340" w:type="dxa"/>
            <w:vAlign w:val="bottom"/>
            <w:shd w:val="clear" w:color="auto" w:fill="CCEEFF"/>
          </w:tcPr>
          <w:p>
            <w:pPr>
              <w:spacing w:after="0"/>
              <w:rPr>
                <w:sz w:val="19"/>
                <w:szCs w:val="19"/>
                <w:color w:val="auto"/>
              </w:rPr>
            </w:pPr>
          </w:p>
        </w:tc>
        <w:tc>
          <w:tcPr>
            <w:tcW w:w="7000" w:type="dxa"/>
            <w:vAlign w:val="bottom"/>
            <w:shd w:val="clear" w:color="auto" w:fill="CCEEFF"/>
          </w:tcPr>
          <w:p>
            <w:pPr>
              <w:spacing w:after="0"/>
              <w:rPr>
                <w:sz w:val="19"/>
                <w:szCs w:val="19"/>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116,760</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87,172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57,576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ind w:left="564" w:hanging="564"/>
        <w:spacing w:after="0"/>
        <w:tabs>
          <w:tab w:leader="none" w:pos="564"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Services provided by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7560" cy="1219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UniDev</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35,396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165,676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269,966</w:t>
            </w:r>
          </w:p>
        </w:tc>
      </w:tr>
      <w:tr>
        <w:trPr>
          <w:trHeight w:val="192"/>
        </w:trPr>
        <w:tc>
          <w:tcPr>
            <w:tcW w:w="7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Fuson Group</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18,894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Beijing Bright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99,208</w:t>
            </w:r>
          </w:p>
        </w:tc>
      </w:tr>
      <w:tr>
        <w:trPr>
          <w:trHeight w:val="204"/>
        </w:trPr>
        <w:tc>
          <w:tcPr>
            <w:tcW w:w="7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EMIT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221,584</w:t>
            </w:r>
          </w:p>
        </w:tc>
      </w:tr>
      <w:tr>
        <w:trPr>
          <w:trHeight w:val="24"/>
        </w:trPr>
        <w:tc>
          <w:tcPr>
            <w:tcW w:w="73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61"/>
        </w:trPr>
        <w:tc>
          <w:tcPr>
            <w:tcW w:w="7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53,984</w:t>
            </w:r>
          </w:p>
        </w:tc>
        <w:tc>
          <w:tcPr>
            <w:tcW w:w="2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184,570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590,758</w:t>
            </w:r>
          </w:p>
        </w:tc>
      </w:tr>
      <w:tr>
        <w:trPr>
          <w:trHeight w:val="188"/>
        </w:trPr>
        <w:tc>
          <w:tcPr>
            <w:tcW w:w="73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bl>
    <w:p>
      <w:pPr>
        <w:ind w:left="564" w:hanging="564"/>
        <w:spacing w:after="0"/>
        <w:tabs>
          <w:tab w:leader="none" w:pos="564"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Loans provided to related parties</w:t>
      </w:r>
    </w:p>
    <w:p>
      <w:pPr>
        <w:spacing w:after="0" w:line="17"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7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Fuson Group</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2,984,351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6,043,329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130,402</w:t>
            </w:r>
          </w:p>
        </w:tc>
        <w:tc>
          <w:tcPr>
            <w:tcW w:w="120" w:type="dxa"/>
            <w:vAlign w:val="bottom"/>
            <w:shd w:val="clear" w:color="auto" w:fill="CCEEFF"/>
          </w:tcPr>
          <w:p>
            <w:pPr>
              <w:spacing w:after="0"/>
              <w:rPr>
                <w:sz w:val="16"/>
                <w:szCs w:val="16"/>
                <w:color w:val="auto"/>
              </w:rPr>
            </w:pPr>
          </w:p>
        </w:tc>
      </w:tr>
      <w:tr>
        <w:trPr>
          <w:trHeight w:val="192"/>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Beijing Bright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415,236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04"/>
        </w:trPr>
        <w:tc>
          <w:tcPr>
            <w:tcW w:w="7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UniDev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55,365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143,810</w:t>
            </w:r>
          </w:p>
        </w:tc>
        <w:tc>
          <w:tcPr>
            <w:tcW w:w="120" w:type="dxa"/>
            <w:vAlign w:val="bottom"/>
            <w:shd w:val="clear" w:color="auto" w:fill="CCEEFF"/>
          </w:tcPr>
          <w:p>
            <w:pPr>
              <w:spacing w:after="0"/>
              <w:rPr>
                <w:sz w:val="17"/>
                <w:szCs w:val="17"/>
                <w:color w:val="auto"/>
              </w:rPr>
            </w:pPr>
          </w:p>
        </w:tc>
      </w:tr>
      <w:tr>
        <w:trPr>
          <w:trHeight w:val="24"/>
        </w:trPr>
        <w:tc>
          <w:tcPr>
            <w:tcW w:w="73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1"/>
        </w:trPr>
        <w:tc>
          <w:tcPr>
            <w:tcW w:w="7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2,984,351</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6,513,930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274,212</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7560" cy="1447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7560" cy="144780"/>
                    </a:xfrm>
                    <a:prstGeom prst="rect">
                      <a:avLst/>
                    </a:prstGeom>
                    <a:noFill/>
                  </pic:spPr>
                </pic:pic>
              </a:graphicData>
            </a:graphic>
          </wp:anchor>
        </w:drawing>
      </w:r>
    </w:p>
    <w:p>
      <w:pPr>
        <w:ind w:left="564" w:hanging="564"/>
        <w:spacing w:after="0"/>
        <w:tabs>
          <w:tab w:leader="none" w:pos="564"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Repayment of loans from related parties</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Fuson Group</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2,936,754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194,897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92"/>
        </w:trPr>
        <w:tc>
          <w:tcPr>
            <w:tcW w:w="7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Beijing Bright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415,236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2"/>
        </w:trPr>
        <w:tc>
          <w:tcPr>
            <w:tcW w:w="73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UniDev</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193,777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04"/>
        </w:trPr>
        <w:tc>
          <w:tcPr>
            <w:tcW w:w="7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EMIT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204,211</w:t>
            </w:r>
          </w:p>
        </w:tc>
        <w:tc>
          <w:tcPr>
            <w:tcW w:w="120" w:type="dxa"/>
            <w:vAlign w:val="bottom"/>
            <w:shd w:val="clear" w:color="auto" w:fill="CCEEFF"/>
          </w:tcPr>
          <w:p>
            <w:pPr>
              <w:spacing w:after="0"/>
              <w:rPr>
                <w:sz w:val="17"/>
                <w:szCs w:val="17"/>
                <w:color w:val="auto"/>
              </w:rPr>
            </w:pPr>
          </w:p>
        </w:tc>
      </w:tr>
      <w:tr>
        <w:trPr>
          <w:trHeight w:val="24"/>
        </w:trPr>
        <w:tc>
          <w:tcPr>
            <w:tcW w:w="73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1"/>
        </w:trPr>
        <w:tc>
          <w:tcPr>
            <w:tcW w:w="7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2,936,754</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803,910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204,211</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47560" cy="1447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7560" cy="144780"/>
                    </a:xfrm>
                    <a:prstGeom prst="rect">
                      <a:avLst/>
                    </a:prstGeom>
                    <a:noFill/>
                  </pic:spPr>
                </pic:pic>
              </a:graphicData>
            </a:graphic>
          </wp:anchor>
        </w:drawing>
      </w:r>
    </w:p>
    <w:p>
      <w:pPr>
        <w:ind w:left="564" w:hanging="564"/>
        <w:spacing w:after="0"/>
        <w:tabs>
          <w:tab w:leader="none" w:pos="564"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Interest income received from related parties</w:t>
      </w:r>
    </w:p>
    <w:p>
      <w:pPr>
        <w:spacing w:after="0" w:line="8"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Fuson Group</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293,103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14,481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UniDev</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Beijing Bright</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2,907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EMIT</w:t>
            </w:r>
          </w:p>
        </w:tc>
        <w:tc>
          <w:tcPr>
            <w:tcW w:w="3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3,704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293,103</w:t>
            </w:r>
          </w:p>
        </w:tc>
        <w:tc>
          <w:tcPr>
            <w:tcW w:w="2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25,937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w:t>
            </w:r>
          </w:p>
        </w:tc>
        <w:tc>
          <w:tcPr>
            <w:tcW w:w="3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Rental income from related party</w:t>
            </w:r>
          </w:p>
        </w:tc>
        <w:tc>
          <w:tcPr>
            <w:tcW w:w="3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Fuson Group</w:t>
            </w:r>
          </w:p>
        </w:tc>
        <w:tc>
          <w:tcPr>
            <w:tcW w:w="45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59,241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59,016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10,718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8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w:t>
            </w:r>
          </w:p>
        </w:tc>
        <w:tc>
          <w:tcPr>
            <w:tcW w:w="38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revenue from related party</w:t>
            </w:r>
          </w:p>
        </w:tc>
        <w:tc>
          <w:tcPr>
            <w:tcW w:w="3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Fuson Group</w:t>
            </w:r>
          </w:p>
        </w:tc>
        <w:tc>
          <w:tcPr>
            <w:tcW w:w="4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134,933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61,244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6"/>
                <w:szCs w:val="16"/>
                <w:color w:val="auto"/>
              </w:rPr>
              <w:t>F-37</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4"/>
          </w:cols>
          <w:pgMar w:left="316" w:top="794" w:right="31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TAXES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Corporate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 and BVI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current laws of the Cayman Islands and BVI, the Company and subsidiaries in BVI are not subject to tax on income or capital gains.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in Hong Kong are subject to Hong Kong profits tax rate at a rate of 16.5%, and foreign-derived income is exempted from income tax.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Singapore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in Singapore are subject to Singapore corporate income tax at a rate of 17.0%, and foreign-derived income is exempted from income tax.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Mainland China</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Under the Enterprise Income Tax (“EIT”) Law of mainland China, enterprises are usually subject to a unified 25% enterprise income tax rate while preferential tax rates, tax holidays and tax exemption may be granted if qualified. EIT Law grants a preferential tax rate to High and New Technology Enterprises (“HNTEs”). An enterprise qualified as HNTE and awarded with the “HNTE” certificate may enjoy a reduced EIT rate of 15%. CLPS Shanghai, the Company’s main operating subsidiary in mainland China, was recognized as qualified HNTEs since 2013. Its latest qualified periods are for 2022 to 2024 and it enjoys a preferential tax rate of 15%. JAJI (Shanghai), one of the Company’s operating subsidiaries in mainland China, was also recognized as qualified HNTEs since 2022. Its latest qualified periods are for 2022 to 2024 and it enjoys a preferential tax rate of 15%.</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 qualified enterprise in encouraged industries registered in the Hainan Free Trade Port and engaged in substantive operations may enjoy a reduced EIT rate of 15%. CLPS Hainan, a Company’s subsidiary in mainland China, was recognized as a qualified enterprise engaged in encouraged industries registered in the Hainan Free Trade Port and engaged in substantive operations. It enjoys the reduced EIT rate of 15%.</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74" w:name="page175"/>
    <w:bookmarkEnd w:id="174"/>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14 – TAXES - continued</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 Corporate Income Taxes (continued)</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Mainland China</w:t>
            </w: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516,640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2,878,314</w:t>
            </w: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4,350,067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Non- mainland China</w:t>
            </w:r>
          </w:p>
        </w:tc>
        <w:tc>
          <w:tcPr>
            <w:tcW w:w="1900" w:type="dxa"/>
            <w:vAlign w:val="bottom"/>
            <w:gridSpan w:val="2"/>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(5,592,254)</w:t>
            </w:r>
          </w:p>
        </w:tc>
        <w:tc>
          <w:tcPr>
            <w:tcW w:w="160" w:type="dxa"/>
            <w:vAlign w:val="bottom"/>
          </w:tcPr>
          <w:p>
            <w:pPr>
              <w:spacing w:after="0"/>
              <w:rPr>
                <w:sz w:val="17"/>
                <w:szCs w:val="17"/>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(4,721,679)</w:t>
            </w:r>
          </w:p>
        </w:tc>
        <w:tc>
          <w:tcPr>
            <w:tcW w:w="240" w:type="dxa"/>
            <w:vAlign w:val="bottom"/>
          </w:tcPr>
          <w:p>
            <w:pPr>
              <w:spacing w:after="0"/>
              <w:rPr>
                <w:sz w:val="17"/>
                <w:szCs w:val="17"/>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(3,580,421)</w:t>
            </w:r>
          </w:p>
        </w:tc>
        <w:tc>
          <w:tcPr>
            <w:tcW w:w="0" w:type="dxa"/>
            <w:vAlign w:val="bottom"/>
          </w:tcPr>
          <w:p>
            <w:pPr>
              <w:spacing w:after="0"/>
              <w:rPr>
                <w:sz w:val="1"/>
                <w:szCs w:val="1"/>
                <w:color w:val="auto"/>
              </w:rPr>
            </w:pPr>
          </w:p>
        </w:tc>
      </w:tr>
      <w:tr>
        <w:trPr>
          <w:trHeight w:val="24"/>
        </w:trPr>
        <w:tc>
          <w:tcPr>
            <w:tcW w:w="5440" w:type="dxa"/>
            <w:vAlign w:val="bottom"/>
            <w:shd w:val="clear" w:color="auto" w:fill="CCEEFF"/>
          </w:tcPr>
          <w:p>
            <w:pPr>
              <w:spacing w:after="0"/>
              <w:rPr>
                <w:sz w:val="2"/>
                <w:szCs w:val="2"/>
                <w:color w:val="auto"/>
              </w:rPr>
            </w:pPr>
          </w:p>
        </w:tc>
        <w:tc>
          <w:tcPr>
            <w:tcW w:w="1700" w:type="dxa"/>
            <w:vAlign w:val="bottom"/>
            <w:vMerge w:val="restart"/>
            <w:shd w:val="clear" w:color="auto" w:fill="CCEEFF"/>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(5,075,614</w:t>
            </w:r>
          </w:p>
        </w:tc>
        <w:tc>
          <w:tcPr>
            <w:tcW w:w="6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(1,843,365</w:t>
            </w:r>
          </w:p>
        </w:tc>
        <w:tc>
          <w:tcPr>
            <w:tcW w:w="220" w:type="dxa"/>
            <w:vAlign w:val="bottom"/>
            <w:tcBorders>
              <w:right w:val="single" w:sz="8" w:color="CCEEFF"/>
            </w:tcBorders>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769,646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The following table reconciles the statutory rate to the Company’s effective tax rate:</w:t>
            </w:r>
          </w:p>
        </w:tc>
        <w:tc>
          <w:tcPr>
            <w:tcW w:w="1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4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Mainland China statutory income tax rate</w:t>
            </w:r>
          </w:p>
        </w:tc>
        <w:tc>
          <w:tcPr>
            <w:tcW w:w="1700" w:type="dxa"/>
            <w:vAlign w:val="bottom"/>
            <w:shd w:val="clear" w:color="auto" w:fill="CCEEFF"/>
          </w:tcPr>
          <w:p>
            <w:pPr>
              <w:spacing w:after="0"/>
              <w:rPr>
                <w:sz w:val="16"/>
                <w:szCs w:val="16"/>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Effect of income tax rate difference in other jurisdictions</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(56.5)%</w:t>
            </w:r>
          </w:p>
        </w:tc>
        <w:tc>
          <w:tcPr>
            <w:tcW w:w="2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tax rate changes on deferred taxes</w:t>
            </w:r>
          </w:p>
        </w:tc>
        <w:tc>
          <w:tcPr>
            <w:tcW w:w="3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Effect of mainland China preferential tax rate and tax relief</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(27.0)%</w:t>
            </w:r>
          </w:p>
        </w:tc>
        <w:tc>
          <w:tcPr>
            <w:tcW w:w="24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exempt income</w:t>
            </w:r>
          </w:p>
        </w:tc>
        <w:tc>
          <w:tcPr>
            <w:tcW w:w="3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credits</w:t>
            </w:r>
          </w:p>
        </w:tc>
        <w:tc>
          <w:tcPr>
            <w:tcW w:w="30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28.2%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(230.4)%</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Business insurance</w:t>
            </w:r>
          </w:p>
        </w:tc>
        <w:tc>
          <w:tcPr>
            <w:tcW w:w="3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Late payment interest</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3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gain/loss</w:t>
            </w:r>
          </w:p>
        </w:tc>
        <w:tc>
          <w:tcPr>
            <w:tcW w:w="3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Statutory income/expense</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Intercompany transfers</w:t>
            </w:r>
          </w:p>
        </w:tc>
        <w:tc>
          <w:tcPr>
            <w:tcW w:w="3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allowances</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impairment</w:t>
            </w:r>
          </w:p>
        </w:tc>
        <w:tc>
          <w:tcPr>
            <w:tcW w:w="3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21"/>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360" w:type="dxa"/>
            <w:vAlign w:val="bottom"/>
            <w:tcBorders>
              <w:top w:val="single" w:sz="8" w:color="CCEEFF"/>
              <w:bottom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85"/>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4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color w:val="auto"/>
              </w:rPr>
              <w:t>F-39</w:t>
            </w: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5" w:right="31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14 – TAXES - continued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 Corporate Income Taxes (continued)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The provision (benefit) for income tax consists of the following:</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340" w:type="dxa"/>
            <w:vAlign w:val="bottom"/>
          </w:tcPr>
          <w:p>
            <w:pPr>
              <w:spacing w:after="0"/>
              <w:rPr>
                <w:sz w:val="24"/>
                <w:szCs w:val="24"/>
                <w:color w:val="auto"/>
              </w:rPr>
            </w:pPr>
          </w:p>
        </w:tc>
        <w:tc>
          <w:tcPr>
            <w:tcW w:w="2960" w:type="dxa"/>
            <w:vAlign w:val="bottom"/>
            <w:tcBorders>
              <w:bottom w:val="single" w:sz="8" w:color="auto"/>
            </w:tcBorders>
            <w:gridSpan w:val="5"/>
          </w:tcPr>
          <w:p>
            <w:pPr>
              <w:jc w:val="center"/>
              <w:ind w:left="76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3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463,191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878,404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410,317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484,338</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(717,679)</w:t>
            </w:r>
          </w:p>
        </w:tc>
        <w:tc>
          <w:tcPr>
            <w:tcW w:w="2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264,027</w:t>
            </w:r>
          </w:p>
        </w:tc>
        <w:tc>
          <w:tcPr>
            <w:tcW w:w="0" w:type="dxa"/>
            <w:vAlign w:val="bottom"/>
          </w:tcPr>
          <w:p>
            <w:pPr>
              <w:spacing w:after="0"/>
              <w:rPr>
                <w:sz w:val="1"/>
                <w:szCs w:val="1"/>
                <w:color w:val="auto"/>
              </w:rPr>
            </w:pPr>
          </w:p>
        </w:tc>
      </w:tr>
      <w:tr>
        <w:trPr>
          <w:trHeight w:val="24"/>
        </w:trPr>
        <w:tc>
          <w:tcPr>
            <w:tcW w:w="7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provision for income tax expenses</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947,529</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160,725</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674,344</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 of June 30, 2025, the Company had net operating loss carry forwards of approximately $9,768,940 from the Company’s subsidiaries of mainland China, which will expire between 2025 and 2034 if not utilized.</w:t>
      </w:r>
    </w:p>
    <w:p>
      <w:pPr>
        <w:spacing w:after="0" w:line="14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As of June 30, 2025, the Company had net operating loss carry forwards of approximately $$2,663,682, $1,745,185, $330,253 and $61,362 from its operations in Singapore, Hong Kong, Japan and Philippines, respectively. The net operating losses in Singapore, and Hong Kong will be carried forward indefinitely while the net operating losses in Japan and Philippines will be carried forward for 10 years and 3-5 years,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significant components of the deferred tax assets and liabilities are as follows:</w:t>
            </w:r>
          </w:p>
        </w:tc>
        <w:tc>
          <w:tcPr>
            <w:tcW w:w="3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3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operating loss carry forwards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2,188,458</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1,394,349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36,094</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27,184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840,258</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641,646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of investee’s loss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33,764</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27,125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and losses for internal related parties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145,804</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168,227</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117,213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7,259</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Valuation allowances</w:t>
            </w:r>
          </w:p>
        </w:tc>
        <w:tc>
          <w:tcPr>
            <w:tcW w:w="46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(2,495,112)</w:t>
            </w:r>
          </w:p>
        </w:tc>
        <w:tc>
          <w:tcPr>
            <w:tcW w:w="3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(935,005)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3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924,752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1,274,033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3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w:t>
            </w:r>
          </w:p>
        </w:tc>
        <w:tc>
          <w:tcPr>
            <w:tcW w:w="46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758,483</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576,986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4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344,139</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378,344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60" w:type="dxa"/>
            <w:vAlign w:val="bottom"/>
            <w:tcBorders>
              <w:top w:val="single" w:sz="8" w:color="CCEEFF"/>
              <w:bottom w:val="single" w:sz="8" w:color="CCEEFF"/>
            </w:tcBorders>
          </w:tcPr>
          <w:p>
            <w:pPr>
              <w:ind w:left="140"/>
              <w:spacing w:after="0" w:line="177" w:lineRule="exact"/>
              <w:rPr>
                <w:sz w:val="20"/>
                <w:szCs w:val="20"/>
                <w:color w:val="auto"/>
              </w:rPr>
            </w:pPr>
            <w:r>
              <w:rPr>
                <w:rFonts w:ascii="Times New Roman" w:cs="Times New Roman" w:eastAsia="Times New Roman" w:hAnsi="Times New Roman"/>
                <w:sz w:val="16"/>
                <w:szCs w:val="16"/>
                <w:color w:val="auto"/>
              </w:rPr>
              <w:t>Total deferred tax liabilities</w:t>
            </w:r>
          </w:p>
        </w:tc>
        <w:tc>
          <w:tcPr>
            <w:tcW w:w="33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1,102,622</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955,330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16"/>
                <w:szCs w:val="16"/>
                <w:color w:val="auto"/>
              </w:rPr>
            </w:pPr>
          </w:p>
        </w:tc>
        <w:tc>
          <w:tcPr>
            <w:tcW w:w="3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deferred tax assets</w:t>
            </w:r>
          </w:p>
        </w:tc>
        <w:tc>
          <w:tcPr>
            <w:tcW w:w="33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73,942</w:t>
            </w:r>
          </w:p>
        </w:tc>
        <w:tc>
          <w:tcPr>
            <w:tcW w:w="38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697,047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60" w:type="dxa"/>
            <w:vAlign w:val="bottom"/>
            <w:tcBorders>
              <w:top w:val="single" w:sz="8" w:color="CCEEFF"/>
              <w:bottom w:val="single" w:sz="8" w:color="CCEEFF"/>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6"/>
                <w:szCs w:val="16"/>
                <w:color w:val="auto"/>
              </w:rPr>
              <w:t>Net deferred tax liabilities</w:t>
            </w:r>
          </w:p>
        </w:tc>
        <w:tc>
          <w:tcPr>
            <w:tcW w:w="33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251,812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378,344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F-40</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TAXES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Corporate Income Taxes (continued)</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As of June 30, 2025 and 2024, valuation allowances were provided against deferred tax assets in entities which were in a three-year cumulative losses position and/or are not forecasted to turn profits in the foreseeable future.</w:t>
      </w:r>
    </w:p>
    <w:p>
      <w:pPr>
        <w:spacing w:after="0" w:line="14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For the years ended June 30, 2025, 2024 and 2023, the Company accrued dividend distribution withholding tax for the remittance of earnings from subsidiaries in mainland China to offshore entities of nil, $147,982, and $70,016, respectively. As of June 30, 2025 and 2024, the Company intended to partially permanently reinvest the remaining undistributed earnings from subsidiaries of mainland China to fund future operations and thus nil and nil deferred tax has been recognized for withholding taxes that would be payable on the unremitted earnings that are subject to withholding taxes of the Company’s subsidiaries established in mainland China. As of June 30, 2025 and 2024, the taxable temporary differences for unrecognized deferred tax liabilities related to investments in foreign subsidiaries were $45,026,813 and $35,439,209, respectively. The amount of unrecognized deferred tax liabilities for temporary differences related to investments in foreign subsidiaries is not determined because such a determination is not practicable.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Uncertain tax positions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Company evaluates each uncertain tax position (including the potential application of interest and penalties) based on the technical merits, and measures the unrecognized benefits associated with the tax positions. It is possible that the amount of unrecognized benefit will further change in the next 12 months; however, an estimate of the range of the possible change cannot be made at this moment. Unrecognized tax benefits were presented in “other non-current liabilities” in the consolidated balance sheets. As of June 30, 2025, 2024 and 2023, the Company had unrecognized tax benefits of $3,880,945, $2,780,674 and $2,442,085, respectively, if ultimately recognized, will impact the effective tax rate. Note that of the forementioned amounts which will impact the effective tax rate, the Company has presented unrecognized tax benefits of $1,195,307, $21,209 and $21,256 on a net basis with deferred tax assets relating to tax losses carry forward of which a full valuation allowance would otherwise be recorded as of June 30, 2025, 2024 and 2023. The Company recorded interests of $264,789 and zero penalties related to potential underpaid income tax expenses for the year ended June 30, 2025 and interests of $368,123 and zero penalties for the year ended June 30, 2024, $313,305 interests and zero penalties for the year ended June 30, 2023,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unrecognized tax benefit was as follows: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73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2,780,674</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2,442,085</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3,095,554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Increase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1,072,205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518,179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934,563</w:t>
            </w:r>
          </w:p>
        </w:tc>
        <w:tc>
          <w:tcPr>
            <w:tcW w:w="0" w:type="dxa"/>
            <w:vAlign w:val="bottom"/>
          </w:tcPr>
          <w:p>
            <w:pPr>
              <w:spacing w:after="0"/>
              <w:rPr>
                <w:sz w:val="1"/>
                <w:szCs w:val="1"/>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(15,103)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(172,682)</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(1,386,797)</w:t>
            </w:r>
          </w:p>
        </w:tc>
        <w:tc>
          <w:tcPr>
            <w:tcW w:w="0" w:type="dxa"/>
            <w:vAlign w:val="bottom"/>
          </w:tcPr>
          <w:p>
            <w:pPr>
              <w:spacing w:after="0"/>
              <w:rPr>
                <w:sz w:val="1"/>
                <w:szCs w:val="1"/>
                <w:color w:val="auto"/>
              </w:rPr>
            </w:pPr>
          </w:p>
        </w:tc>
      </w:tr>
      <w:tr>
        <w:trPr>
          <w:trHeight w:val="204"/>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43,169</w:t>
            </w:r>
          </w:p>
        </w:tc>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(6,908)</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(201,235)</w:t>
            </w:r>
          </w:p>
        </w:tc>
        <w:tc>
          <w:tcPr>
            <w:tcW w:w="0" w:type="dxa"/>
            <w:vAlign w:val="bottom"/>
          </w:tcPr>
          <w:p>
            <w:pPr>
              <w:spacing w:after="0"/>
              <w:rPr>
                <w:sz w:val="1"/>
                <w:szCs w:val="1"/>
                <w:color w:val="auto"/>
              </w:rPr>
            </w:pPr>
          </w:p>
        </w:tc>
      </w:tr>
      <w:tr>
        <w:trPr>
          <w:trHeight w:val="24"/>
        </w:trPr>
        <w:tc>
          <w:tcPr>
            <w:tcW w:w="7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340" w:type="dxa"/>
            <w:vAlign w:val="bottom"/>
            <w:vMerge w:val="continue"/>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3,880,945</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2,780,674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2,442,085</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the open tax years for mainland China ranges from calendar year 2020 to calendar year 2024.</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14 – TAXES - continued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 Tax Payables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Company’s tax payables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VAT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908,992</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Corporate income tax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113,840</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390,640</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326,183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Disability insurance fund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971,516</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1,035,935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tax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78,718</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shd w:val="clear" w:color="auto" w:fill="CCEEFF"/>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tax payables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2,463,706</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2,351,615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COMMITMENTS AND CONTINGENCIES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2025, the Company had no outstanding commitments other than the operating lease payments (Note 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78" w:name="page179"/>
    <w:bookmarkEnd w:id="17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 EARNINGS PER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earnings (losses) per share for the periods indicated:</w:t>
      </w:r>
    </w:p>
    <w:p>
      <w:pPr>
        <w:spacing w:after="0" w:line="21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17145</wp:posOffset>
            </wp:positionV>
            <wp:extent cx="242062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420620" cy="15240"/>
                    </a:xfrm>
                    <a:prstGeom prst="rect">
                      <a:avLst/>
                    </a:prstGeom>
                    <a:noFill/>
                  </pic:spPr>
                </pic:pic>
              </a:graphicData>
            </a:graphic>
          </wp:anchor>
        </w:drawing>
      </w:r>
    </w:p>
    <w:p>
      <w:pPr>
        <w:spacing w:after="0" w:line="24" w:lineRule="exact"/>
        <w:rPr>
          <w:sz w:val="20"/>
          <w:szCs w:val="20"/>
          <w:color w:val="auto"/>
        </w:rPr>
      </w:pPr>
    </w:p>
    <w:p>
      <w:pPr>
        <w:jc w:val="both"/>
        <w:ind w:left="7740"/>
        <w:spacing w:after="0"/>
        <w:tabs>
          <w:tab w:leader="none" w:pos="9060" w:val="left"/>
          <w:tab w:leader="none" w:pos="104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4655820</wp:posOffset>
            </wp:positionH>
            <wp:positionV relativeFrom="paragraph">
              <wp:posOffset>17145</wp:posOffset>
            </wp:positionV>
            <wp:extent cx="2420620"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2062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Basic earnings (losses) per share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Numerator:</w:t>
      </w:r>
    </w:p>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(loss) income attributable 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47560" cy="1606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7560" cy="160655"/>
                    </a:xfrm>
                    <a:prstGeom prst="rect">
                      <a:avLst/>
                    </a:prstGeom>
                    <a:noFill/>
                  </pic:spPr>
                </pic:pic>
              </a:graphicData>
            </a:graphic>
          </wp:anchor>
        </w:drawing>
      </w:r>
    </w:p>
    <w:p>
      <w:pPr>
        <w:spacing w:after="0" w:line="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Denominator:</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714756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75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Basic earnings (losses) per share attributable to common shares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Diluted earnings (losses) per share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47560" cy="1295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7560" cy="1295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Numerator: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2"/>
        </w:trPr>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(7,049,734</w:t>
            </w:r>
            <w:r>
              <w:rPr>
                <w:rFonts w:ascii="Times New Roman" w:cs="Times New Roman" w:eastAsia="Times New Roman" w:hAnsi="Times New Roman"/>
                <w:sz w:val="32"/>
                <w:szCs w:val="32"/>
                <w:color w:val="auto"/>
                <w:vertAlign w:val="superscript"/>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(2,329,965</w:t>
            </w:r>
            <w:r>
              <w:rPr>
                <w:rFonts w:ascii="Times New Roman" w:cs="Times New Roman" w:eastAsia="Times New Roman" w:hAnsi="Times New Roman"/>
                <w:sz w:val="32"/>
                <w:szCs w:val="32"/>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192,529</w:t>
            </w:r>
          </w:p>
        </w:tc>
        <w:tc>
          <w:tcPr>
            <w:tcW w:w="20" w:type="dxa"/>
            <w:vAlign w:val="bottom"/>
          </w:tcPr>
          <w:p>
            <w:pPr>
              <w:spacing w:after="0"/>
              <w:rPr>
                <w:sz w:val="24"/>
                <w:szCs w:val="24"/>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7"/>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27,533,182</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25,213,012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23,153,976</w:t>
            </w:r>
          </w:p>
        </w:tc>
        <w:tc>
          <w:tcPr>
            <w:tcW w:w="20" w:type="dxa"/>
            <w:vAlign w:val="bottom"/>
          </w:tcPr>
          <w:p>
            <w:pPr>
              <w:spacing w:after="0"/>
              <w:rPr>
                <w:sz w:val="24"/>
                <w:szCs w:val="24"/>
                <w:color w:val="auto"/>
              </w:rPr>
            </w:pPr>
          </w:p>
        </w:tc>
      </w:tr>
      <w:tr>
        <w:trPr>
          <w:trHeight w:val="196"/>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0" w:type="dxa"/>
            <w:vAlign w:val="bottom"/>
            <w:tcBorders>
              <w:bottom w:val="single" w:sz="8" w:color="auto"/>
            </w:tcBorders>
          </w:tcPr>
          <w:p>
            <w:pPr>
              <w:spacing w:after="0"/>
              <w:rPr>
                <w:sz w:val="17"/>
                <w:szCs w:val="17"/>
                <w:color w:val="auto"/>
              </w:rPr>
            </w:pPr>
          </w:p>
        </w:tc>
      </w:tr>
    </w:tbl>
    <w:p>
      <w:pPr>
        <w:spacing w:after="0" w:line="377" w:lineRule="exact"/>
        <w:rPr>
          <w:sz w:val="20"/>
          <w:szCs w:val="20"/>
          <w:color w:val="auto"/>
        </w:rPr>
      </w:pPr>
    </w:p>
    <w:p>
      <w:pPr>
        <w:sectPr>
          <w:pgSz w:w="11900" w:h="16838" w:orient="portrait"/>
          <w:cols w:equalWidth="0" w:num="2">
            <w:col w:w="6620" w:space="720"/>
            <w:col w:w="3920"/>
          </w:cols>
          <w:pgMar w:left="320" w:top="794" w:right="31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income attributable to common shares for calculating diluted earnings (losses) per share</w:t>
            </w:r>
          </w:p>
        </w:tc>
        <w:tc>
          <w:tcPr>
            <w:tcW w:w="1480" w:type="dxa"/>
            <w:vAlign w:val="bottom"/>
            <w:gridSpan w:val="3"/>
            <w:shd w:val="clear" w:color="auto" w:fill="CCEEFF"/>
          </w:tcPr>
          <w:p>
            <w:pPr>
              <w:jc w:val="right"/>
              <w:ind w:right="140"/>
              <w:spacing w:after="0" w:line="237" w:lineRule="exact"/>
              <w:rPr>
                <w:sz w:val="20"/>
                <w:szCs w:val="20"/>
                <w:color w:val="auto"/>
              </w:rPr>
            </w:pPr>
            <w:r>
              <w:rPr>
                <w:rFonts w:ascii="Times New Roman" w:cs="Times New Roman" w:eastAsia="Times New Roman" w:hAnsi="Times New Roman"/>
                <w:sz w:val="14"/>
                <w:szCs w:val="14"/>
                <w:color w:val="auto"/>
              </w:rPr>
              <w:t>(7,049,734</w:t>
            </w:r>
            <w:r>
              <w:rPr>
                <w:rFonts w:ascii="Times New Roman" w:cs="Times New Roman" w:eastAsia="Times New Roman" w:hAnsi="Times New Roman"/>
                <w:sz w:val="27"/>
                <w:szCs w:val="27"/>
                <w:color w:val="auto"/>
                <w:vertAlign w:val="superscript"/>
              </w:rPr>
              <w:t>)</w:t>
            </w:r>
          </w:p>
        </w:tc>
        <w:tc>
          <w:tcPr>
            <w:tcW w:w="1320" w:type="dxa"/>
            <w:vAlign w:val="bottom"/>
            <w:gridSpan w:val="2"/>
            <w:shd w:val="clear" w:color="auto" w:fill="CCEEFF"/>
          </w:tcPr>
          <w:p>
            <w:pPr>
              <w:jc w:val="right"/>
              <w:ind w:right="80"/>
              <w:spacing w:after="0" w:line="237" w:lineRule="exact"/>
              <w:rPr>
                <w:sz w:val="20"/>
                <w:szCs w:val="20"/>
                <w:color w:val="auto"/>
              </w:rPr>
            </w:pPr>
            <w:r>
              <w:rPr>
                <w:rFonts w:ascii="Times New Roman" w:cs="Times New Roman" w:eastAsia="Times New Roman" w:hAnsi="Times New Roman"/>
                <w:sz w:val="14"/>
                <w:szCs w:val="14"/>
                <w:color w:val="auto"/>
              </w:rPr>
              <w:t>(2,329,965</w:t>
            </w:r>
            <w:r>
              <w:rPr>
                <w:rFonts w:ascii="Times New Roman" w:cs="Times New Roman" w:eastAsia="Times New Roman" w:hAnsi="Times New Roman"/>
                <w:sz w:val="27"/>
                <w:szCs w:val="27"/>
                <w:color w:val="auto"/>
                <w:vertAlign w:val="superscript"/>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192,529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27,533,182</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25,213,012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23,153,976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20" w:type="dxa"/>
            <w:vAlign w:val="bottom"/>
            <w:tcBorders>
              <w:top w:val="single" w:sz="8" w:color="CCEEFF"/>
            </w:tcBorders>
          </w:tcPr>
          <w:p>
            <w:pPr>
              <w:ind w:left="280"/>
              <w:spacing w:after="0" w:line="177" w:lineRule="exact"/>
              <w:rPr>
                <w:sz w:val="20"/>
                <w:szCs w:val="20"/>
                <w:color w:val="auto"/>
              </w:rPr>
            </w:pPr>
            <w:r>
              <w:rPr>
                <w:rFonts w:ascii="Times New Roman" w:cs="Times New Roman" w:eastAsia="Times New Roman" w:hAnsi="Times New Roman"/>
                <w:sz w:val="16"/>
                <w:szCs w:val="16"/>
                <w:color w:val="auto"/>
              </w:rPr>
              <w:t>Weighted average common shares equivalents:</w:t>
            </w:r>
          </w:p>
        </w:tc>
        <w:tc>
          <w:tcPr>
            <w:tcW w:w="12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Effects of dilutive securities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Shares used in computing diluted earnings (losses) per share attributable to common shares</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27,533,182</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25,213,012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23,153,976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Diluted earnings (losses) per share attributable to common shares</w:t>
            </w: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20" w:type="dxa"/>
            <w:vAlign w:val="bottom"/>
            <w:tcBorders>
              <w:top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20" w:type="dxa"/>
            <w:vAlign w:val="bottom"/>
            <w:tcBorders>
              <w:top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For the years ended June 30, 2025, 2024 and 2023, the effects of all warrants, options and RSU were excluded from the computation of diluted (loss) earnings per share as their effects would be anti-dilutive.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 WARRANTS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March 3, 2021, the Company issued 2,666,666 warrants to certain accredited investors concurrently with the private placement transaction (Note 19). Each warrant is to purchase one common share of the Company at $6.0 per share and can be exercised prior to the termination date which is September 3, 2026. During the year ended June 30, 2025, no warrants were exercised. As of June 30, 2025 and 2024, 2,666,666 warrants were issued and outstanding.</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SHARE-BASED PAYMENT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The 2017 Stock Incentive Plan (the “2017 Plan”)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2017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2017 Plan will be determined by the Board (or its Compensation Committee) and may contain both service and performance conditions.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2019 Equity Incentive Plan (the “2019 Plan”)</w:t>
      </w:r>
    </w:p>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award was granted under the 2019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2020 Equity Incentive Plan (the “2020 Plan”)</w:t>
      </w:r>
    </w:p>
    <w:p>
      <w:pPr>
        <w:spacing w:after="0" w:line="20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In April 2020, the Company’s shareholders and Board approved the 2020 Plan. The 2020 Plan is to cancel the rest of authorized shares not granted under the 2017 and 2019 Plan. The 2020 Plan provides for discretionary grants of, among others, stock options, stock awards and stock unit awards to key employees and directors of the Company. The purpose of the 2020 Plan is to recognize contributions made to the Company by such individuals and to provide them with additional incentive to achieve the objectives of the Company. The Board authorized up to 11,011,663 shares for grants under the 2020 Plan. The grants under the 2020 Plan generally have a maximum contractual term of five years from the date of grant. The terms of individual agreements for various grants under the 2020 Plan will be determined by the Board (or its Compensation Committee) and may contain both service and performance conditions.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2023 Equity Incentive Plan (the “2023 Plan”)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In March 2023, the Company’s shareholders and Board approved the 2023 Plan. The 2023 Plan is to cancel the rest of authorized shares not granted under the 2017 ,2019 and 2020 Plan. The 2023 Plan provides for discretionary grants of, among others, stock options, stock awards and stock unit awards to key employees and directors of the Company. The purpose of the 2023 Plan is to recognize contributions made to the Company by such individuals and to provide them with additional incentive to achieve the objectives of the Company. The Board authorized up to 20,000,000 shares for grants under the 2023 Plan. The grants under the 2023 Plan generally have a maximum contractual term of five years from the date of grant. The terms of individual agreements for various grants under the 2023 Plan will be determined by the Board (or its Compensation Committee) and may contain both service and performance conditions.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SHARE-BASED PAYMENT - continued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20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August 31, 2021, the Company granted an aggregate of 2,790,300 stock options to key employees and senior executives under the 2020 plan. 200,000 stock options granted to the employees contains service condition, and 2,590,300 stock options granted to the employees and directors contains additional performance condition that the share numbers that will be vested is based on the performance appraisal of the grantees for the year 2022. The stock options are valid for a period of 5 years from the grant date and vest 25% per year in equal annual installments at the end of each anniversary over a four-year period, with the first 25% vesting on August 31, 2022 and the second, third and fourth 25% vest on August 31, 2023, 2024 and 2025, respectively.</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January 31, 2022, the Company granted an aggregate of 1,300,000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January 31, 2023 and the second, third and fourth 25% vest on January 31, 2024, 2025 and 2026, respectively.</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On November 14, 2022, the Company granted an aggregate of 1,023,531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November 14, 2023, and the second, third and fourth 25% vest on November 14, 2024, 2025 and 2026, respectively.</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On August 16, 2023, the Company granted an aggregate of 1,535,000 stock options to key employees and senior executives under the 2020 plan. The stock options contain service condition only. The stock options are valid for a period of 5 years from the grant date and vest 25% each year in equal annual installments at the end of each anniversary over a four-year period, with the first 25% vesting on August 16, 2024 and the second, third and fourth 25% vest on August 16, 2025, 2026 and 2027, respectively.</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On July 11, 2024, the Company granted an aggregate of 1,472,000 stock options to key employees and senior executives under the 2023 plan. The stock options are valid for a period of 5 years from the grant date and vest 25% per year in equal annual installments at the end of each anniversary over a four-year period, with the first 25% vesting on July 11, 2025 and the second, third and fourth 25% vest on July 11, 2026, 2027 and 2028, respectively.</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options granted to employees are accounted for as equity awards and measured at their grant date fair value using binomial lattice model. The Company recognizes the compensation expenses over the service requisite periods using the accelerated method. Share-based compensation costs of $657,878, $1,186,806 and $1,000,105 were recognized for the years ended June 30, 2025, 2024 and 2023, respectively. The weighted-average grant-date fair value per share of options granted was $0.16 for senior executives and $0.16 for key employees during the years ended June 30, 2025, $0.46 for senior executives and $0.44 for key employees during the years ended June 30, 2024, $0.58 for senior executives and $0.57 for key employees during the years ended June 30, 2023, respectively.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18 – SHARE-BASED PAYMENT - continued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 - continued</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assumptions used to value the Company’s stock options grants were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24"/>
                <w:szCs w:val="2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24"/>
                <w:szCs w:val="24"/>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4.42%</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multiples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2.2~2.8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2.2~2.8</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 rates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Fair market value per common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0.81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0.98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is the market value of the Company’s stocks on the grant date. The shares of common stock to be issued and/or sold upon the exercise of stock options are made available from authorized and unissued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summary of stock options activities: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Number of stock</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 Grant-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5"/>
        </w:trPr>
        <w:tc>
          <w:tcPr>
            <w:tcW w:w="46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Fair Value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Life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192"/>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July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6,372,427</w:t>
            </w: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3"/>
              </w:rPr>
              <w:t>2.3 years</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175,494</w:t>
            </w:r>
          </w:p>
        </w:tc>
        <w:tc>
          <w:tcPr>
            <w:tcW w:w="120" w:type="dxa"/>
            <w:vAlign w:val="bottom"/>
            <w:tcBorders>
              <w:top w:val="single" w:sz="8" w:color="CCEEFF"/>
            </w:tcBorders>
            <w:shd w:val="clear" w:color="auto" w:fill="CCEEFF"/>
          </w:tcPr>
          <w:p>
            <w:pPr>
              <w:spacing w:after="0"/>
              <w:rPr>
                <w:sz w:val="16"/>
                <w:szCs w:val="16"/>
                <w:color w:val="auto"/>
              </w:rPr>
            </w:pPr>
          </w:p>
        </w:tc>
      </w:tr>
      <w:tr>
        <w:trPr>
          <w:trHeight w:val="19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1,472,000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(313,736)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(40,786)</w:t>
            </w:r>
          </w:p>
        </w:tc>
      </w:tr>
      <w:tr>
        <w:trPr>
          <w:trHeight w:val="19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(1,081,873)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0.94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6,448,818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 years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401,095</w:t>
            </w:r>
          </w:p>
        </w:tc>
      </w:tr>
      <w:tr>
        <w:trPr>
          <w:trHeight w:val="192"/>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Outstanding and exercisable as of June 30, 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2,698,895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52,913</w:t>
            </w:r>
          </w:p>
        </w:tc>
      </w:tr>
      <w:tr>
        <w:trPr>
          <w:trHeight w:val="19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and expected to vest as of June 30, 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5,610,358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 years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403,476</w:t>
            </w:r>
          </w:p>
        </w:tc>
      </w:tr>
      <w:tr>
        <w:trPr>
          <w:trHeight w:val="581"/>
        </w:trPr>
        <w:tc>
          <w:tcPr>
            <w:tcW w:w="4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F-46</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5" w:right="31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18 – SHARE-BASED PAYMENT - continued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 Options - continued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total fair value of options vested during the years ended June 30, 2025, 2024 and 2023 was $953,513, $1,098,566 and $1,152,356, respectively.</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As of June 30, 2025, there was $283,886 of unrecognized compensation cost, adjusted for estimated forfeitures based on historical data, related to non-vested stock options granted to the Company’s employees and directors. Total unrecognized compensation cost is expected to be recognized over a period of 1.51 years as of June 30, 2025. Total unrecognized compensation cost may be adjusted for future changes in estimated forfeitures.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 Units</w:t>
      </w:r>
    </w:p>
    <w:p>
      <w:pPr>
        <w:spacing w:after="0" w:line="20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During the year ended June 30, 2023, the Company granted 1,161,000 RSUs to key employees under the 2020 Plan. The RSUs granted to the employees fully vest on grant date.</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During the year ended June 30, 2024, the Company granted 1,934,000 RSUs to key employees under the 2023 Plan. The RSUs granted to the employees fully vest on grant date.</w:t>
      </w:r>
    </w:p>
    <w:p>
      <w:pPr>
        <w:spacing w:after="0" w:line="1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During the year ended June 30, 2025, the Company granted 2,200,000 RSUs to key employees under the 2023 Plan. The RSUs granted to the employees fully vest on granted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fair value of the RSU is the fair value of the Company’s ordinary shares at their respective grant dates.</w:t>
      </w:r>
    </w:p>
    <w:p>
      <w:pPr>
        <w:spacing w:after="0" w:line="2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 Company recognizes the compensation expenses over the service requisite periods using the accelerated method. Share-based compensation costs of $1,810,033, $1,981,210 and $1,478,190 were recognized for the years ended June 30, 2025, 2024 and 2023, respectively.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18 – SHARE-BASED PAYMENT - continued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 Units - continued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sets forth the summary of RSUs activities: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July 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60,600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2,200,000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(2,219,300)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Forfeited or expired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41,300</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As of June 30, 2025, there was $5,270 of unrecognized compensation cost, adjusted for estimated forfeitures based on historical data, related to non-vested, service-based RSUs granted to the Company’s employees and directors. The RSUs are expected to be recognized over a weighted-average period of 0.37 years. The total fair value of the restricted share units vested was $1,786,633, $1,935,396 and $3,870,449 during the years ended June 30, 2025, 2024 and 2023, respectively. The weighted-average grant-date fair value per share of RSUs granted was $0.81, $0.98 and $1.14 during the years ended June 30, 2025, 2024 and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total share-based compensation expense recognized by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4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4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2,280,470</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2,880,987</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2,333,023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47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179,938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275,562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129,060</w:t>
            </w:r>
          </w:p>
        </w:tc>
        <w:tc>
          <w:tcPr>
            <w:tcW w:w="0" w:type="dxa"/>
            <w:vAlign w:val="bottom"/>
          </w:tcPr>
          <w:p>
            <w:pPr>
              <w:spacing w:after="0"/>
              <w:rPr>
                <w:sz w:val="1"/>
                <w:szCs w:val="1"/>
                <w:color w:val="auto"/>
              </w:rPr>
            </w:pPr>
          </w:p>
        </w:tc>
      </w:tr>
      <w:tr>
        <w:trPr>
          <w:trHeight w:val="20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3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11,467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16,212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3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20" w:type="dxa"/>
            <w:vAlign w:val="bottom"/>
            <w:vMerge w:val="continue"/>
          </w:tcPr>
          <w:p>
            <w:pPr>
              <w:spacing w:after="0"/>
              <w:rPr>
                <w:sz w:val="17"/>
                <w:szCs w:val="17"/>
                <w:color w:val="auto"/>
              </w:rPr>
            </w:pPr>
          </w:p>
        </w:tc>
        <w:tc>
          <w:tcPr>
            <w:tcW w:w="3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2,467,911</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3,168,016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2,478,295</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39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3"/>
          </w:tcPr>
          <w:p>
            <w:pPr>
              <w:ind w:left="1560"/>
              <w:spacing w:after="0"/>
              <w:rPr>
                <w:sz w:val="20"/>
                <w:szCs w:val="20"/>
                <w:color w:val="auto"/>
              </w:rPr>
            </w:pPr>
            <w:r>
              <w:rPr>
                <w:rFonts w:ascii="Times New Roman" w:cs="Times New Roman" w:eastAsia="Times New Roman" w:hAnsi="Times New Roman"/>
                <w:sz w:val="16"/>
                <w:szCs w:val="16"/>
                <w:color w:val="auto"/>
              </w:rPr>
              <w:t>F-48</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SHAREHOLDERS’ EQUITY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shares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February 23, 2021, the Company entered into an agreement with Maxim Group LLC (“Maxim”) that Maxim would serve as a Placement Agent for the Company in connection with the proposed offering of registered securities of the Company, including the Company’s common shares. On February 28, 2021, the Company entered into a securities purchase agreement (“SPA”) with certain accredited investors. According to the SPA, the Company agreed to sell 2,666,666 of the Company’s common shares and issue unregistered warrants to purchase up to an additional 2,666,666 common shares in the concurrent private placement transaction. On March 3, 2021, the Company issued 2,666,666 common shares at $6.00 per share to those investors, with a par value of $0.0001 per share, and issued 2,666,666 warrants, generating total gross proceeds of $15,999,996. Net proceeds from the transaction after issuance cost of $1,317,119 were $14,682,877 which was allocated to common shares and warrants issued on their relative fair value basis of $11,131,829 and $3,551,048,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On October 24, 2024, the Company announced a cash dividend of $0.13 per common share with an aggregate amount of $3.64 million. The dividend was paid in full in January 2025.</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On November 22, 2023, the Company announced a cash dividend of $0.1 per common share with an aggregate amount of $2.56 million. The dividend was paid in full in December 2023.</w:t>
      </w:r>
    </w:p>
    <w:p>
      <w:pPr>
        <w:spacing w:after="0" w:line="1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On January 10, 2023, the Company announced a cash dividend of $0.05 per common share with an aggregate amount of $1.18 million. The dividend was paid in full in January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Statutory reserve and restricted net assets</w:t>
      </w:r>
    </w:p>
    <w:p>
      <w:pPr>
        <w:spacing w:after="0" w:line="20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mainland China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$300,341, $196,276 and $284,952 to statutory reserves during the years ended June 30, 2025, 2024, and 2023, respectively in accordance with PRC GAAP.</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China Company laws and regulations permit payments of dividends by the Company’s subsidiaries incorporated in mainland China only out of their retained earnings, if any, as determined in accordance with mainland China accounting standards and regulations. In addition, the Company’s subsidiaries incorporated in mainland China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China Company laws and regulations, the Company’s subsidiaries incorporated in mainland China are restricted in their ability to transfer a portion of their net assets to the Company in the form of dividends payments, loans or advances. Amounts of net assets restricted amounted to $26,795,306 and $26,494,945 as of June 30, 2025 and 2024, respectively. Except for the above or disclosed elsewhere, there is no other restriction on the use of proceeds generated by the Company’s subsidiaries to satisfy any obligations of the Company.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5" w:right="319" w:bottom="1440" w:gutter="0" w:footer="0" w:header="0"/>
        </w:sectPr>
      </w:pPr>
    </w:p>
    <w:bookmarkStart w:id="185" w:name="page186"/>
    <w:bookmarkEnd w:id="185"/>
    <w:p>
      <w:pPr>
        <w:jc w:val="center"/>
        <w:ind w:left="174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 (Continued)</w:t>
      </w:r>
    </w:p>
    <w:p>
      <w:pPr>
        <w:spacing w:after="0" w:line="20"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19 – SHAREHOLDERS’ EQUITY - continued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accumulated other comprehensive (loss) income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748665</wp:posOffset>
            </wp:positionV>
            <wp:extent cx="714756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75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June 30,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Current-period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7560" cy="1219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loss attribute to noncontrolling interests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47560" cy="153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7560" cy="15303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Current-period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7560" cy="1219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income attribute to noncontrolling interests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7147560" cy="168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75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p>
      <w:pPr>
        <w:spacing w:after="0" w:line="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translation</w:t>
      </w:r>
    </w:p>
    <w:p>
      <w:pPr>
        <w:spacing w:after="0" w:line="2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income</w:t>
      </w:r>
    </w:p>
    <w:p>
      <w:pPr>
        <w:spacing w:after="0" w:line="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(3,990,594)</w:t>
      </w:r>
    </w:p>
    <w:p>
      <w:pPr>
        <w:spacing w:after="0" w:line="20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(355,386)</w:t>
      </w:r>
    </w:p>
    <w:p>
      <w:pPr>
        <w:spacing w:after="0" w:line="2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(4,345,902)</w:t>
      </w:r>
    </w:p>
    <w:p>
      <w:pPr>
        <w:spacing w:after="0" w:line="2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1,265,061</w:t>
      </w:r>
    </w:p>
    <w:p>
      <w:pPr>
        <w:spacing w:after="0" w:line="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(14,666)</w:t>
      </w:r>
    </w:p>
    <w:p>
      <w:pPr>
        <w:spacing w:after="0" w:line="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(3,095,507</w:t>
      </w:r>
      <w:r>
        <w:rPr>
          <w:rFonts w:ascii="Times New Roman" w:cs="Times New Roman" w:eastAsia="Times New Roman" w:hAnsi="Times New Roman"/>
          <w:sz w:val="32"/>
          <w:szCs w:val="3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-57150</wp:posOffset>
            </wp:positionV>
            <wp:extent cx="709930"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9930" cy="1524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9500" w:space="720"/>
            <w:col w:w="1020"/>
          </w:cols>
          <w:pgMar w:left="320" w:top="794" w:right="339" w:bottom="1440" w:gutter="0" w:footer="0" w:header="0"/>
        </w:sectPr>
      </w:pPr>
    </w:p>
    <w:p>
      <w:pPr>
        <w:spacing w:after="0" w:line="283" w:lineRule="auto"/>
        <w:rPr>
          <w:sz w:val="20"/>
          <w:szCs w:val="20"/>
          <w:color w:val="auto"/>
        </w:rPr>
      </w:pPr>
      <w:r>
        <w:rPr>
          <w:rFonts w:ascii="Times New Roman" w:cs="Times New Roman" w:eastAsia="Times New Roman" w:hAnsi="Times New Roman"/>
          <w:sz w:val="16"/>
          <w:szCs w:val="16"/>
          <w:color w:val="auto"/>
        </w:rPr>
        <w:t>There was nil tax expense or benefit recognized related to the changes of each component of accumulated other comprehensive (loss) income for the years ended June 30, 2025, 2024 and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20 – NONCONTROLLING INTERESTS</w:t>
      </w:r>
    </w:p>
    <w:p>
      <w:pPr>
        <w:spacing w:after="0" w:line="20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On April 19, 2023, Growth Ring and Brightech (BRD) Ltd. (BVI) incorporated JAJI Global Incorporation (Cayman Islands) (“JAJI Global”). Growth Ring held an 60% equity interest in JAJI Global and Brightech (BRD) Ltd. (BVI) held the remaining 40% equity interest.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type w:val="continuous"/>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21 – SEGMENT INFORMATION</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The Company follows ASC Topic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which requires that companies to disclose segment data based on how the chief operating decision maker (“CODM”) makes decision about allocating resources to each segment and evaluating their performances. The Company’s CODM has been identified as the Chief Executive Officer. The Company has two operating and reportable segments, consisting of IT services and academic education service. The reportable segments align with the manner in which the CODM currently receives and uses financial information to allocate resource and evaluate the performance of the segments.</w:t>
      </w:r>
    </w:p>
    <w:p>
      <w:pPr>
        <w:spacing w:after="0" w:line="16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Company presents segment information after elimination of inter-company transactions. In general, revenue, cost of revenue and operating expenses are directly attributable to each segment. The CODM uses gross profit, gross profit margin, operating income (loss), operating margin, and income (loss) before tax to assess financial performance and allocate resources. The CODM considers budget to actual comparisons on a regular basis when assessing the operating results and making resource decisions to improve profitability. The CODM also uses the budget to actual comparisons to make decisions aligned with the Company’s strategic initiatives and capital allocation priorities.</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 Company’s CODM does not evaluate its operating segments using discrete asset information. There is no asset information that are supplemental to those disclosed in these consolidated financial statements, that are regularly provided to the CODM.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provides a summary of the Company’s operating segment operating results for the year ended June 30,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For the year ended June 30, 2025</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74"/>
        </w:trPr>
        <w:tc>
          <w:tcPr>
            <w:tcW w:w="3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6"/>
                <w:szCs w:val="16"/>
                <w:b w:val="1"/>
                <w:bCs w:val="1"/>
                <w:color w:val="auto"/>
              </w:rPr>
              <w:t>Academic</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2"/>
        </w:trPr>
        <w:tc>
          <w:tcPr>
            <w:tcW w:w="3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education</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5"/>
        </w:trPr>
        <w:tc>
          <w:tcPr>
            <w:tcW w:w="39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IT services</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2"/>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8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162,467,057</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2,047,049</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(32,692)</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164,481,414</w:t>
            </w:r>
          </w:p>
        </w:tc>
        <w:tc>
          <w:tcPr>
            <w:tcW w:w="200" w:type="dxa"/>
            <w:vAlign w:val="bottom"/>
            <w:tcBorders>
              <w:top w:val="single" w:sz="8" w:color="CCEEFF"/>
            </w:tcBorders>
            <w:shd w:val="clear" w:color="auto" w:fill="CCEEFF"/>
          </w:tcPr>
          <w:p>
            <w:pPr>
              <w:spacing w:after="0"/>
              <w:rPr>
                <w:sz w:val="16"/>
                <w:szCs w:val="16"/>
                <w:color w:val="auto"/>
              </w:rPr>
            </w:pPr>
          </w:p>
        </w:tc>
      </w:tr>
      <w:tr>
        <w:trPr>
          <w:trHeight w:val="192"/>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127,362,787</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819,260</w:t>
            </w: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(6,051)</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128,175,996</w:t>
            </w:r>
          </w:p>
        </w:tc>
      </w:tr>
      <w:tr>
        <w:trPr>
          <w:trHeight w:val="208"/>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35,104,270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1,227,789</w:t>
            </w: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(26,641)</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36,305,418</w:t>
            </w:r>
          </w:p>
        </w:tc>
      </w:tr>
      <w:tr>
        <w:trPr>
          <w:trHeight w:val="212"/>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r>
      <w:tr>
        <w:trPr>
          <w:trHeight w:val="176"/>
        </w:trPr>
        <w:tc>
          <w:tcPr>
            <w:tcW w:w="392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Selling and marketing expenses</w:t>
            </w:r>
          </w:p>
        </w:tc>
        <w:tc>
          <w:tcPr>
            <w:tcW w:w="184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4,939,341</w:t>
            </w:r>
          </w:p>
        </w:tc>
        <w:tc>
          <w:tcPr>
            <w:tcW w:w="3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241,341</w:t>
            </w:r>
          </w:p>
        </w:tc>
        <w:tc>
          <w:tcPr>
            <w:tcW w:w="3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5,180,682</w:t>
            </w:r>
          </w:p>
        </w:tc>
        <w:tc>
          <w:tcPr>
            <w:tcW w:w="200" w:type="dxa"/>
            <w:vAlign w:val="bottom"/>
          </w:tcPr>
          <w:p>
            <w:pPr>
              <w:spacing w:after="0"/>
              <w:rPr>
                <w:sz w:val="15"/>
                <w:szCs w:val="15"/>
                <w:color w:val="auto"/>
              </w:rPr>
            </w:pPr>
          </w:p>
        </w:tc>
      </w:tr>
      <w:tr>
        <w:trPr>
          <w:trHeight w:val="19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30,229,878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1,622,301</w:t>
            </w:r>
          </w:p>
        </w:tc>
        <w:tc>
          <w:tcPr>
            <w:tcW w:w="3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31,852,179</w:t>
            </w:r>
          </w:p>
        </w:tc>
      </w:tr>
      <w:tr>
        <w:trPr>
          <w:trHeight w:val="192"/>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5,815,555</w:t>
            </w:r>
          </w:p>
        </w:tc>
        <w:tc>
          <w:tcPr>
            <w:tcW w:w="3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5,815,555</w:t>
            </w:r>
          </w:p>
        </w:tc>
      </w:tr>
      <w:tr>
        <w:trPr>
          <w:trHeight w:val="22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segment operating income*</w:t>
            </w:r>
          </w:p>
        </w:tc>
        <w:tc>
          <w:tcPr>
            <w:tcW w:w="3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(1,165,694)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(1,165,694)</w:t>
            </w:r>
          </w:p>
        </w:tc>
      </w:tr>
      <w:tr>
        <w:trPr>
          <w:trHeight w:val="181"/>
        </w:trPr>
        <w:tc>
          <w:tcPr>
            <w:tcW w:w="392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Operating loss</w:t>
            </w:r>
          </w:p>
        </w:tc>
        <w:tc>
          <w:tcPr>
            <w:tcW w:w="18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(4,714,810</w:t>
            </w:r>
          </w:p>
        </w:tc>
        <w:tc>
          <w:tcPr>
            <w:tcW w:w="30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(635,853</w:t>
            </w:r>
          </w:p>
        </w:tc>
        <w:tc>
          <w:tcPr>
            <w:tcW w:w="30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(26,641</w:t>
            </w:r>
          </w:p>
        </w:tc>
        <w:tc>
          <w:tcPr>
            <w:tcW w:w="220" w:type="dxa"/>
            <w:vAlign w:val="bottom"/>
            <w:tcBorders>
              <w:top w:val="single" w:sz="8" w:color="CCEEFF"/>
              <w:bottom w:val="single" w:sz="8" w:color="CCEEFF"/>
            </w:tcBorders>
          </w:tcPr>
          <w:p>
            <w:pPr>
              <w:jc w:val="right"/>
              <w:ind w:right="80"/>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(5,377,304</w:t>
            </w:r>
          </w:p>
        </w:tc>
        <w:tc>
          <w:tcPr>
            <w:tcW w:w="20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w:t>
            </w:r>
          </w:p>
        </w:tc>
      </w:tr>
      <w:tr>
        <w:trPr>
          <w:trHeight w:val="21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18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w:t>
            </w:r>
          </w:p>
        </w:tc>
      </w:tr>
      <w:tr>
        <w:trPr>
          <w:trHeight w:val="176"/>
        </w:trPr>
        <w:tc>
          <w:tcPr>
            <w:tcW w:w="392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Total other income (loss), net</w:t>
            </w:r>
          </w:p>
        </w:tc>
        <w:tc>
          <w:tcPr>
            <w:tcW w:w="184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310,617</w:t>
            </w:r>
          </w:p>
        </w:tc>
        <w:tc>
          <w:tcPr>
            <w:tcW w:w="3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(8,927)</w:t>
            </w:r>
          </w:p>
        </w:tc>
        <w:tc>
          <w:tcPr>
            <w:tcW w:w="30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301,690</w:t>
            </w:r>
          </w:p>
        </w:tc>
        <w:tc>
          <w:tcPr>
            <w:tcW w:w="200" w:type="dxa"/>
            <w:vAlign w:val="bottom"/>
          </w:tcPr>
          <w:p>
            <w:pPr>
              <w:spacing w:after="0"/>
              <w:rPr>
                <w:sz w:val="15"/>
                <w:szCs w:val="15"/>
                <w:color w:val="auto"/>
              </w:rPr>
            </w:pPr>
          </w:p>
        </w:tc>
      </w:tr>
      <w:tr>
        <w:trPr>
          <w:trHeight w:val="22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(4,404,195)</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(644,778)</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(26,641)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(5,075,614)</w:t>
            </w:r>
          </w:p>
        </w:tc>
      </w:tr>
      <w:tr>
        <w:trPr>
          <w:trHeight w:val="176"/>
        </w:trPr>
        <w:tc>
          <w:tcPr>
            <w:tcW w:w="39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Other segment (loss) income, net**</w:t>
            </w:r>
          </w:p>
        </w:tc>
        <w:tc>
          <w:tcPr>
            <w:tcW w:w="18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(1,473,609)</w:t>
            </w:r>
          </w:p>
        </w:tc>
        <w:tc>
          <w:tcPr>
            <w:tcW w:w="3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122,659</w:t>
            </w:r>
          </w:p>
        </w:tc>
        <w:tc>
          <w:tcPr>
            <w:tcW w:w="3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(1,350,950)</w:t>
            </w:r>
          </w:p>
        </w:tc>
        <w:tc>
          <w:tcPr>
            <w:tcW w:w="200" w:type="dxa"/>
            <w:vAlign w:val="bottom"/>
            <w:tcBorders>
              <w:top w:val="single" w:sz="8" w:color="CCEEFF"/>
            </w:tcBorders>
          </w:tcPr>
          <w:p>
            <w:pPr>
              <w:spacing w:after="0"/>
              <w:rPr>
                <w:sz w:val="15"/>
                <w:szCs w:val="15"/>
                <w:color w:val="auto"/>
              </w:rPr>
            </w:pPr>
          </w:p>
        </w:tc>
      </w:tr>
      <w:tr>
        <w:trPr>
          <w:trHeight w:val="23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260" w:type="dxa"/>
            <w:vAlign w:val="bottom"/>
            <w:gridSpan w:val="3"/>
            <w:shd w:val="clear" w:color="auto" w:fill="CCEEFF"/>
          </w:tcPr>
          <w:p>
            <w:pPr>
              <w:jc w:val="right"/>
              <w:ind w:right="160"/>
              <w:spacing w:after="0" w:line="228" w:lineRule="exact"/>
              <w:rPr>
                <w:sz w:val="20"/>
                <w:szCs w:val="20"/>
                <w:color w:val="auto"/>
              </w:rPr>
            </w:pPr>
            <w:r>
              <w:rPr>
                <w:rFonts w:ascii="Times New Roman" w:cs="Times New Roman" w:eastAsia="Times New Roman" w:hAnsi="Times New Roman"/>
                <w:sz w:val="14"/>
                <w:szCs w:val="14"/>
                <w:color w:val="auto"/>
              </w:rPr>
              <w:t>(5,877,804</w:t>
            </w:r>
            <w:r>
              <w:rPr>
                <w:rFonts w:ascii="Times New Roman" w:cs="Times New Roman" w:eastAsia="Times New Roman" w:hAnsi="Times New Roman"/>
                <w:sz w:val="26"/>
                <w:szCs w:val="26"/>
                <w:color w:val="auto"/>
                <w:vertAlign w:val="superscript"/>
              </w:rPr>
              <w:t>)</w:t>
            </w:r>
          </w:p>
        </w:tc>
        <w:tc>
          <w:tcPr>
            <w:tcW w:w="1420" w:type="dxa"/>
            <w:vAlign w:val="bottom"/>
            <w:gridSpan w:val="2"/>
            <w:shd w:val="clear" w:color="auto" w:fill="CCEEFF"/>
          </w:tcPr>
          <w:p>
            <w:pPr>
              <w:jc w:val="right"/>
              <w:ind w:right="160"/>
              <w:spacing w:after="0" w:line="228" w:lineRule="exact"/>
              <w:rPr>
                <w:sz w:val="20"/>
                <w:szCs w:val="20"/>
                <w:color w:val="auto"/>
              </w:rPr>
            </w:pPr>
            <w:r>
              <w:rPr>
                <w:rFonts w:ascii="Times New Roman" w:cs="Times New Roman" w:eastAsia="Times New Roman" w:hAnsi="Times New Roman"/>
                <w:sz w:val="14"/>
                <w:szCs w:val="14"/>
                <w:color w:val="auto"/>
              </w:rPr>
              <w:t>(522,119</w:t>
            </w:r>
            <w:r>
              <w:rPr>
                <w:rFonts w:ascii="Times New Roman" w:cs="Times New Roman" w:eastAsia="Times New Roman" w:hAnsi="Times New Roman"/>
                <w:sz w:val="26"/>
                <w:szCs w:val="26"/>
                <w:color w:val="auto"/>
                <w:vertAlign w:val="superscript"/>
              </w:rPr>
              <w:t>)</w:t>
            </w:r>
          </w:p>
        </w:tc>
        <w:tc>
          <w:tcPr>
            <w:tcW w:w="1340" w:type="dxa"/>
            <w:vAlign w:val="bottom"/>
            <w:gridSpan w:val="2"/>
            <w:shd w:val="clear" w:color="auto" w:fill="CCEEFF"/>
          </w:tcPr>
          <w:p>
            <w:pPr>
              <w:jc w:val="right"/>
              <w:ind w:right="80"/>
              <w:spacing w:after="0" w:line="228" w:lineRule="exact"/>
              <w:rPr>
                <w:sz w:val="20"/>
                <w:szCs w:val="20"/>
                <w:color w:val="auto"/>
              </w:rPr>
            </w:pPr>
            <w:r>
              <w:rPr>
                <w:rFonts w:ascii="Times New Roman" w:cs="Times New Roman" w:eastAsia="Times New Roman" w:hAnsi="Times New Roman"/>
                <w:sz w:val="14"/>
                <w:szCs w:val="14"/>
                <w:color w:val="auto"/>
              </w:rPr>
              <w:t>(26,641</w:t>
            </w:r>
            <w:r>
              <w:rPr>
                <w:rFonts w:ascii="Times New Roman" w:cs="Times New Roman" w:eastAsia="Times New Roman" w:hAnsi="Times New Roman"/>
                <w:sz w:val="26"/>
                <w:szCs w:val="26"/>
                <w:color w:val="auto"/>
                <w:vertAlign w:val="superscript"/>
              </w:rPr>
              <w:t>)</w:t>
            </w:r>
          </w:p>
        </w:tc>
        <w:tc>
          <w:tcPr>
            <w:tcW w:w="1320" w:type="dxa"/>
            <w:vAlign w:val="bottom"/>
            <w:gridSpan w:val="2"/>
            <w:shd w:val="clear" w:color="auto" w:fill="CCEEFF"/>
          </w:tcPr>
          <w:p>
            <w:pPr>
              <w:jc w:val="right"/>
              <w:ind w:right="60"/>
              <w:spacing w:after="0" w:line="228" w:lineRule="exact"/>
              <w:rPr>
                <w:sz w:val="20"/>
                <w:szCs w:val="20"/>
                <w:color w:val="auto"/>
              </w:rPr>
            </w:pPr>
            <w:r>
              <w:rPr>
                <w:rFonts w:ascii="Times New Roman" w:cs="Times New Roman" w:eastAsia="Times New Roman" w:hAnsi="Times New Roman"/>
                <w:sz w:val="14"/>
                <w:szCs w:val="14"/>
                <w:color w:val="auto"/>
              </w:rPr>
              <w:t>(6,426,564</w:t>
            </w:r>
            <w:r>
              <w:rPr>
                <w:rFonts w:ascii="Times New Roman" w:cs="Times New Roman" w:eastAsia="Times New Roman" w:hAnsi="Times New Roman"/>
                <w:sz w:val="26"/>
                <w:szCs w:val="26"/>
                <w:color w:val="auto"/>
                <w:vertAlign w:val="superscript"/>
              </w:rPr>
              <w:t>)</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577"/>
        </w:trPr>
        <w:tc>
          <w:tcPr>
            <w:tcW w:w="39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right"/>
              <w:ind w:right="1320"/>
              <w:spacing w:after="0"/>
              <w:rPr>
                <w:sz w:val="20"/>
                <w:szCs w:val="20"/>
                <w:color w:val="auto"/>
              </w:rPr>
            </w:pPr>
            <w:r>
              <w:rPr>
                <w:rFonts w:ascii="Times New Roman" w:cs="Times New Roman" w:eastAsia="Times New Roman" w:hAnsi="Times New Roman"/>
                <w:sz w:val="16"/>
                <w:szCs w:val="16"/>
                <w:color w:val="auto"/>
              </w:rPr>
              <w:t>F-51</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5" w:right="319" w:bottom="1440" w:gutter="0" w:footer="0" w:header="0"/>
        </w:sectPr>
      </w:pPr>
    </w:p>
    <w:bookmarkStart w:id="187" w:name="page188"/>
    <w:bookmarkEnd w:id="187"/>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NOTE 21 – SEGMENT INFORMATION - continued</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table below provides a summary of the Company’s operating segment operating results for the year ended</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year ended June 30, 2024</w:t>
            </w: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4"/>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500"/>
              <w:spacing w:after="0" w:line="174" w:lineRule="exact"/>
              <w:rPr>
                <w:sz w:val="20"/>
                <w:szCs w:val="20"/>
                <w:color w:val="auto"/>
              </w:rPr>
            </w:pPr>
            <w:r>
              <w:rPr>
                <w:rFonts w:ascii="Times New Roman" w:cs="Times New Roman" w:eastAsia="Times New Roman" w:hAnsi="Times New Roman"/>
                <w:sz w:val="16"/>
                <w:szCs w:val="16"/>
                <w:b w:val="1"/>
                <w:bCs w:val="1"/>
                <w:color w:val="auto"/>
                <w:w w:val="97"/>
              </w:rPr>
              <w:t>Academic</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education</w:t>
            </w:r>
          </w:p>
        </w:tc>
        <w:tc>
          <w:tcPr>
            <w:tcW w:w="1420" w:type="dxa"/>
            <w:vAlign w:val="bottom"/>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5700" w:type="dxa"/>
            <w:vAlign w:val="bottom"/>
          </w:tcPr>
          <w:p>
            <w:pPr>
              <w:spacing w:after="0"/>
              <w:rPr>
                <w:sz w:val="18"/>
                <w:szCs w:val="18"/>
                <w:color w:val="auto"/>
              </w:rPr>
            </w:pPr>
          </w:p>
        </w:tc>
        <w:tc>
          <w:tcPr>
            <w:tcW w:w="152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IT services</w:t>
            </w:r>
          </w:p>
        </w:tc>
        <w:tc>
          <w:tcPr>
            <w:tcW w:w="100" w:type="dxa"/>
            <w:vAlign w:val="bottom"/>
          </w:tcPr>
          <w:p>
            <w:pPr>
              <w:spacing w:after="0"/>
              <w:rPr>
                <w:sz w:val="18"/>
                <w:szCs w:val="18"/>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140" w:type="dxa"/>
            <w:vAlign w:val="bottom"/>
          </w:tcPr>
          <w:p>
            <w:pPr>
              <w:spacing w:after="0"/>
              <w:rPr>
                <w:sz w:val="18"/>
                <w:szCs w:val="18"/>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w w:val="98"/>
              </w:rPr>
              <w:t>eliminations</w:t>
            </w:r>
          </w:p>
        </w:tc>
        <w:tc>
          <w:tcPr>
            <w:tcW w:w="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2"/>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141,818,338</w:t>
            </w: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1,042,832</w:t>
            </w: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(48,444)</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142,812,726</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r>
      <w:tr>
        <w:trPr>
          <w:trHeight w:val="19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109,506,676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367,886</w:t>
            </w:r>
          </w:p>
        </w:tc>
        <w:tc>
          <w:tcPr>
            <w:tcW w:w="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109,865,595</w:t>
            </w:r>
          </w:p>
        </w:tc>
        <w:tc>
          <w:tcPr>
            <w:tcW w:w="160" w:type="dxa"/>
            <w:vAlign w:val="bottom"/>
            <w:shd w:val="clear" w:color="auto" w:fill="CCEEFF"/>
          </w:tcPr>
          <w:p>
            <w:pPr>
              <w:spacing w:after="0"/>
              <w:rPr>
                <w:sz w:val="16"/>
                <w:szCs w:val="16"/>
                <w:color w:val="auto"/>
              </w:rPr>
            </w:pPr>
          </w:p>
        </w:tc>
      </w:tr>
      <w:tr>
        <w:trPr>
          <w:trHeight w:val="20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32,311,662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674,946</w:t>
            </w:r>
          </w:p>
        </w:tc>
        <w:tc>
          <w:tcPr>
            <w:tcW w:w="8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(39,477)</w:t>
            </w:r>
          </w:p>
        </w:tc>
        <w:tc>
          <w:tcPr>
            <w:tcW w:w="1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32,947,131</w:t>
            </w:r>
          </w:p>
        </w:tc>
        <w:tc>
          <w:tcPr>
            <w:tcW w:w="160" w:type="dxa"/>
            <w:vAlign w:val="bottom"/>
          </w:tcPr>
          <w:p>
            <w:pPr>
              <w:spacing w:after="0"/>
              <w:rPr>
                <w:sz w:val="18"/>
                <w:szCs w:val="18"/>
                <w:color w:val="auto"/>
              </w:rPr>
            </w:pPr>
          </w:p>
        </w:tc>
      </w:tr>
      <w:tr>
        <w:trPr>
          <w:trHeight w:val="212"/>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76"/>
        </w:trPr>
        <w:tc>
          <w:tcPr>
            <w:tcW w:w="5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Selling and marketing expenses</w:t>
            </w: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4,573,344</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4,573,344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24,500,116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619,894</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25,120,010</w:t>
            </w:r>
          </w:p>
        </w:tc>
        <w:tc>
          <w:tcPr>
            <w:tcW w:w="160" w:type="dxa"/>
            <w:vAlign w:val="bottom"/>
            <w:shd w:val="clear" w:color="auto" w:fill="CCEEFF"/>
          </w:tcPr>
          <w:p>
            <w:pPr>
              <w:spacing w:after="0"/>
              <w:rPr>
                <w:sz w:val="16"/>
                <w:szCs w:val="16"/>
                <w:color w:val="auto"/>
              </w:rPr>
            </w:pPr>
          </w:p>
        </w:tc>
      </w:tr>
      <w:tr>
        <w:trPr>
          <w:trHeight w:val="19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7,155,949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7,155,949</w:t>
            </w:r>
          </w:p>
        </w:tc>
        <w:tc>
          <w:tcPr>
            <w:tcW w:w="160" w:type="dxa"/>
            <w:vAlign w:val="bottom"/>
          </w:tcPr>
          <w:p>
            <w:pPr>
              <w:spacing w:after="0"/>
              <w:rPr>
                <w:sz w:val="16"/>
                <w:szCs w:val="16"/>
                <w:color w:val="auto"/>
              </w:rPr>
            </w:pPr>
          </w:p>
        </w:tc>
      </w:tr>
      <w:tr>
        <w:trPr>
          <w:trHeight w:val="22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segment operating income*</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(1,363,757)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(1,363,757)</w:t>
            </w:r>
          </w:p>
        </w:tc>
      </w:tr>
      <w:tr>
        <w:trPr>
          <w:trHeight w:val="181"/>
        </w:trPr>
        <w:tc>
          <w:tcPr>
            <w:tcW w:w="570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Operating (loss) income</w:t>
            </w: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(2,553,990</w:t>
            </w:r>
          </w:p>
        </w:tc>
        <w:tc>
          <w:tcPr>
            <w:tcW w:w="24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55,052</w:t>
            </w:r>
          </w:p>
        </w:tc>
        <w:tc>
          <w:tcPr>
            <w:tcW w:w="2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(39,477</w:t>
            </w:r>
          </w:p>
        </w:tc>
        <w:tc>
          <w:tcPr>
            <w:tcW w:w="14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(2,538,415</w:t>
            </w:r>
          </w:p>
        </w:tc>
        <w:tc>
          <w:tcPr>
            <w:tcW w:w="200" w:type="dxa"/>
            <w:vAlign w:val="bottom"/>
            <w:tcBorders>
              <w:top w:val="single" w:sz="8" w:color="CCEEFF"/>
              <w:bottom w:val="single" w:sz="8" w:color="CCEEFF"/>
            </w:tcBorders>
            <w:gridSpan w:val="2"/>
          </w:tcPr>
          <w:p>
            <w:pPr>
              <w:jc w:val="right"/>
              <w:ind w:right="60"/>
              <w:spacing w:after="0" w:line="177" w:lineRule="exact"/>
              <w:rPr>
                <w:sz w:val="20"/>
                <w:szCs w:val="20"/>
                <w:color w:val="auto"/>
              </w:rPr>
            </w:pPr>
            <w:r>
              <w:rPr>
                <w:rFonts w:ascii="Times New Roman" w:cs="Times New Roman" w:eastAsia="Times New Roman" w:hAnsi="Times New Roman"/>
                <w:sz w:val="16"/>
                <w:szCs w:val="16"/>
                <w:color w:val="auto"/>
                <w:w w:val="74"/>
              </w:rPr>
              <w:t>)</w:t>
            </w:r>
          </w:p>
        </w:tc>
      </w:tr>
      <w:tr>
        <w:trPr>
          <w:trHeight w:val="212"/>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5"/>
              </w:rPr>
              <w:t>)%</w:t>
            </w:r>
          </w:p>
        </w:tc>
      </w:tr>
      <w:tr>
        <w:trPr>
          <w:trHeight w:val="176"/>
        </w:trPr>
        <w:tc>
          <w:tcPr>
            <w:tcW w:w="5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Total other income, net</w:t>
            </w: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686,051</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8,999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695,050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2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(1,867,939)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64,051</w:t>
            </w: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(39,477)</w:t>
            </w:r>
          </w:p>
        </w:tc>
        <w:tc>
          <w:tcPr>
            <w:tcW w:w="16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(1,843,365)</w:t>
            </w:r>
          </w:p>
        </w:tc>
      </w:tr>
      <w:tr>
        <w:trPr>
          <w:trHeight w:val="176"/>
        </w:trPr>
        <w:tc>
          <w:tcPr>
            <w:tcW w:w="570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Other segment (loss) income, net **</w:t>
            </w: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(16,712)</w:t>
            </w:r>
          </w:p>
        </w:tc>
        <w:tc>
          <w:tcPr>
            <w:tcW w:w="2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12,767</w:t>
            </w: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(3,945)</w:t>
            </w: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3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360" w:type="dxa"/>
            <w:vAlign w:val="bottom"/>
            <w:gridSpan w:val="3"/>
            <w:shd w:val="clear" w:color="auto" w:fill="CCEEFF"/>
          </w:tcPr>
          <w:p>
            <w:pPr>
              <w:jc w:val="right"/>
              <w:ind w:right="120"/>
              <w:spacing w:after="0" w:line="228" w:lineRule="exact"/>
              <w:rPr>
                <w:sz w:val="20"/>
                <w:szCs w:val="20"/>
                <w:color w:val="auto"/>
              </w:rPr>
            </w:pPr>
            <w:r>
              <w:rPr>
                <w:rFonts w:ascii="Times New Roman" w:cs="Times New Roman" w:eastAsia="Times New Roman" w:hAnsi="Times New Roman"/>
                <w:sz w:val="14"/>
                <w:szCs w:val="14"/>
                <w:color w:val="auto"/>
              </w:rPr>
              <w:t>(1,884,651</w:t>
            </w:r>
            <w:r>
              <w:rPr>
                <w:rFonts w:ascii="Times New Roman" w:cs="Times New Roman" w:eastAsia="Times New Roman" w:hAnsi="Times New Roman"/>
                <w:sz w:val="26"/>
                <w:szCs w:val="26"/>
                <w:color w:val="auto"/>
                <w:vertAlign w:val="superscript"/>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76,818</w:t>
            </w: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spacing w:after="0" w:line="228" w:lineRule="exact"/>
              <w:rPr>
                <w:sz w:val="20"/>
                <w:szCs w:val="20"/>
                <w:color w:val="auto"/>
              </w:rPr>
            </w:pPr>
            <w:r>
              <w:rPr>
                <w:rFonts w:ascii="Times New Roman" w:cs="Times New Roman" w:eastAsia="Times New Roman" w:hAnsi="Times New Roman"/>
                <w:sz w:val="14"/>
                <w:szCs w:val="14"/>
                <w:color w:val="auto"/>
              </w:rPr>
              <w:t>(39,477</w:t>
            </w:r>
            <w:r>
              <w:rPr>
                <w:rFonts w:ascii="Times New Roman" w:cs="Times New Roman" w:eastAsia="Times New Roman" w:hAnsi="Times New Roman"/>
                <w:sz w:val="26"/>
                <w:szCs w:val="26"/>
                <w:color w:val="auto"/>
                <w:vertAlign w:val="superscript"/>
              </w:rPr>
              <w:t>)</w:t>
            </w:r>
          </w:p>
        </w:tc>
        <w:tc>
          <w:tcPr>
            <w:tcW w:w="16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60"/>
              <w:spacing w:after="0" w:line="228" w:lineRule="exact"/>
              <w:rPr>
                <w:sz w:val="20"/>
                <w:szCs w:val="20"/>
                <w:color w:val="auto"/>
              </w:rPr>
            </w:pPr>
            <w:r>
              <w:rPr>
                <w:rFonts w:ascii="Times New Roman" w:cs="Times New Roman" w:eastAsia="Times New Roman" w:hAnsi="Times New Roman"/>
                <w:sz w:val="14"/>
                <w:szCs w:val="14"/>
                <w:color w:val="auto"/>
              </w:rPr>
              <w:t>(1,847,310</w:t>
            </w:r>
            <w:r>
              <w:rPr>
                <w:rFonts w:ascii="Times New Roman" w:cs="Times New Roman" w:eastAsia="Times New Roman" w:hAnsi="Times New Roman"/>
                <w:sz w:val="26"/>
                <w:szCs w:val="26"/>
                <w:color w:val="auto"/>
                <w:vertAlign w:val="superscript"/>
              </w:rPr>
              <w:t>)</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81"/>
        </w:trPr>
        <w:tc>
          <w:tcPr>
            <w:tcW w:w="85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table below provides a summary of the Company’s operating segment operating results for the year ended June 30, 2023:</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1"/>
        </w:trPr>
        <w:tc>
          <w:tcPr>
            <w:tcW w:w="5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For the year ended June 30, 2023</w:t>
            </w: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74"/>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rPr>
              <w:t>Academic</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1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5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IT services</w:t>
            </w:r>
          </w:p>
        </w:tc>
        <w:tc>
          <w:tcPr>
            <w:tcW w:w="1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services</w:t>
            </w:r>
          </w:p>
        </w:tc>
        <w:tc>
          <w:tcPr>
            <w:tcW w:w="140" w:type="dxa"/>
            <w:vAlign w:val="bottom"/>
          </w:tcPr>
          <w:p>
            <w:pPr>
              <w:spacing w:after="0"/>
              <w:rPr>
                <w:sz w:val="18"/>
                <w:szCs w:val="18"/>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2"/>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150,356,539</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150,356,539</w:t>
            </w:r>
          </w:p>
        </w:tc>
        <w:tc>
          <w:tcPr>
            <w:tcW w:w="160" w:type="dxa"/>
            <w:vAlign w:val="bottom"/>
            <w:tcBorders>
              <w:top w:val="single" w:sz="8" w:color="CCEEFF"/>
            </w:tcBorders>
            <w:shd w:val="clear" w:color="auto" w:fill="CCEEFF"/>
          </w:tcPr>
          <w:p>
            <w:pPr>
              <w:spacing w:after="0"/>
              <w:rPr>
                <w:sz w:val="16"/>
                <w:szCs w:val="16"/>
                <w:color w:val="auto"/>
              </w:rPr>
            </w:pPr>
          </w:p>
        </w:tc>
      </w:tr>
      <w:tr>
        <w:trPr>
          <w:trHeight w:val="19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115,874,809</w:t>
            </w:r>
          </w:p>
        </w:tc>
        <w:tc>
          <w:tcPr>
            <w:tcW w:w="10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115,874,809</w:t>
            </w:r>
          </w:p>
        </w:tc>
      </w:tr>
      <w:tr>
        <w:trPr>
          <w:trHeight w:val="208"/>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34,481,730</w:t>
            </w:r>
          </w:p>
        </w:tc>
        <w:tc>
          <w:tcPr>
            <w:tcW w:w="10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34,481,730</w:t>
            </w:r>
          </w:p>
        </w:tc>
      </w:tr>
      <w:tr>
        <w:trPr>
          <w:trHeight w:val="212"/>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margin</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76"/>
        </w:trPr>
        <w:tc>
          <w:tcPr>
            <w:tcW w:w="5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Selling and marketing expenses</w:t>
            </w:r>
          </w:p>
        </w:tc>
        <w:tc>
          <w:tcPr>
            <w:tcW w:w="24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3,300,555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3,300,555</w:t>
            </w:r>
          </w:p>
        </w:tc>
        <w:tc>
          <w:tcPr>
            <w:tcW w:w="160" w:type="dxa"/>
            <w:vAlign w:val="bottom"/>
          </w:tcPr>
          <w:p>
            <w:pPr>
              <w:spacing w:after="0"/>
              <w:rPr>
                <w:sz w:val="15"/>
                <w:szCs w:val="15"/>
                <w:color w:val="auto"/>
              </w:rPr>
            </w:pPr>
          </w:p>
        </w:tc>
      </w:tr>
      <w:tr>
        <w:trPr>
          <w:trHeight w:val="19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21,641,317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21,641,317</w:t>
            </w:r>
          </w:p>
        </w:tc>
      </w:tr>
      <w:tr>
        <w:trPr>
          <w:trHeight w:val="19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8,336,999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8,336,999</w:t>
            </w:r>
          </w:p>
        </w:tc>
      </w:tr>
      <w:tr>
        <w:trPr>
          <w:trHeight w:val="22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segment operating loss *</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1,126,468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1,126,468</w:t>
            </w:r>
          </w:p>
        </w:tc>
      </w:tr>
      <w:tr>
        <w:trPr>
          <w:trHeight w:val="181"/>
        </w:trPr>
        <w:tc>
          <w:tcPr>
            <w:tcW w:w="570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Operating loss</w:t>
            </w:r>
          </w:p>
        </w:tc>
        <w:tc>
          <w:tcPr>
            <w:tcW w:w="2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76,391</w:t>
            </w:r>
          </w:p>
        </w:tc>
        <w:tc>
          <w:tcPr>
            <w:tcW w:w="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tcPr>
          <w:p>
            <w:pPr>
              <w:spacing w:after="0"/>
              <w:rPr>
                <w:sz w:val="15"/>
                <w:szCs w:val="15"/>
                <w:color w:val="auto"/>
              </w:rPr>
            </w:pPr>
          </w:p>
        </w:tc>
        <w:tc>
          <w:tcPr>
            <w:tcW w:w="40" w:type="dxa"/>
            <w:vAlign w:val="bottom"/>
            <w:tcBorders>
              <w:top w:val="single" w:sz="8" w:color="CCEEFF"/>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76,391</w:t>
            </w:r>
          </w:p>
        </w:tc>
        <w:tc>
          <w:tcPr>
            <w:tcW w:w="160" w:type="dxa"/>
            <w:vAlign w:val="bottom"/>
            <w:tcBorders>
              <w:top w:val="single" w:sz="8" w:color="CCEEFF"/>
              <w:bottom w:val="single" w:sz="8" w:color="CCEEFF"/>
            </w:tcBorders>
          </w:tcPr>
          <w:p>
            <w:pPr>
              <w:spacing w:after="0"/>
              <w:rPr>
                <w:sz w:val="15"/>
                <w:szCs w:val="15"/>
                <w:color w:val="auto"/>
              </w:rPr>
            </w:pPr>
          </w:p>
        </w:tc>
      </w:tr>
      <w:tr>
        <w:trPr>
          <w:trHeight w:val="212"/>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176"/>
        </w:trPr>
        <w:tc>
          <w:tcPr>
            <w:tcW w:w="570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Total other income, net</w:t>
            </w:r>
          </w:p>
        </w:tc>
        <w:tc>
          <w:tcPr>
            <w:tcW w:w="24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693,255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693,255</w:t>
            </w:r>
          </w:p>
        </w:tc>
        <w:tc>
          <w:tcPr>
            <w:tcW w:w="160" w:type="dxa"/>
            <w:vAlign w:val="bottom"/>
          </w:tcPr>
          <w:p>
            <w:pPr>
              <w:spacing w:after="0"/>
              <w:rPr>
                <w:sz w:val="15"/>
                <w:szCs w:val="15"/>
                <w:color w:val="auto"/>
              </w:rPr>
            </w:pPr>
          </w:p>
        </w:tc>
      </w:tr>
      <w:tr>
        <w:trPr>
          <w:trHeight w:val="22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769,646</w:t>
            </w:r>
          </w:p>
        </w:tc>
      </w:tr>
      <w:tr>
        <w:trPr>
          <w:trHeight w:val="176"/>
        </w:trPr>
        <w:tc>
          <w:tcPr>
            <w:tcW w:w="570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Other segment loss, net **</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(604,081)</w:t>
            </w:r>
          </w:p>
        </w:tc>
        <w:tc>
          <w:tcPr>
            <w:tcW w:w="16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gridSpan w:val="2"/>
          </w:tcPr>
          <w:p>
            <w:pPr>
              <w:jc w:val="right"/>
              <w:spacing w:after="0" w:line="177" w:lineRule="exact"/>
              <w:rPr>
                <w:sz w:val="20"/>
                <w:szCs w:val="20"/>
                <w:color w:val="auto"/>
              </w:rPr>
            </w:pPr>
            <w:r>
              <w:rPr>
                <w:rFonts w:ascii="Times New Roman" w:cs="Times New Roman" w:eastAsia="Times New Roman" w:hAnsi="Times New Roman"/>
                <w:sz w:val="16"/>
                <w:szCs w:val="16"/>
                <w:color w:val="auto"/>
              </w:rPr>
              <w:t>(604,081)</w:t>
            </w:r>
          </w:p>
        </w:tc>
        <w:tc>
          <w:tcPr>
            <w:tcW w:w="160" w:type="dxa"/>
            <w:vAlign w:val="bottom"/>
            <w:tcBorders>
              <w:top w:val="single" w:sz="8" w:color="CCEEFF"/>
            </w:tcBorders>
          </w:tcPr>
          <w:p>
            <w:pPr>
              <w:spacing w:after="0"/>
              <w:rPr>
                <w:sz w:val="15"/>
                <w:szCs w:val="15"/>
                <w:color w:val="auto"/>
              </w:rPr>
            </w:pPr>
          </w:p>
        </w:tc>
      </w:tr>
      <w:tr>
        <w:trPr>
          <w:trHeight w:val="23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165,565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165,565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left="284" w:hanging="284"/>
        <w:spacing w:after="0"/>
        <w:tabs>
          <w:tab w:leader="none" w:pos="28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operating income includes impairment of goodwill and subsidies and other operating income.</w:t>
      </w:r>
    </w:p>
    <w:p>
      <w:pPr>
        <w:spacing w:after="0" w:line="201" w:lineRule="exact"/>
        <w:rPr>
          <w:sz w:val="20"/>
          <w:szCs w:val="20"/>
          <w:color w:val="auto"/>
        </w:rPr>
      </w:pPr>
    </w:p>
    <w:p>
      <w:pPr>
        <w:ind w:left="5484" w:right="3280" w:hanging="5484"/>
        <w:spacing w:after="0" w:line="785" w:lineRule="auto"/>
        <w:tabs>
          <w:tab w:leader="none" w:pos="29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(loss) income includes provision for income taxes and share of income (loss) in equity method investees. 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7560" cy="152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5" w:right="31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21 – SEGMENT INFORMATION - continued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5"/>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revenues by the service lines for the years ended June 30, 2025, 2024 and 2023: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7340" w:type="dxa"/>
            <w:vAlign w:val="bottom"/>
          </w:tcPr>
          <w:p>
            <w:pPr>
              <w:spacing w:after="0"/>
              <w:rPr>
                <w:sz w:val="24"/>
                <w:szCs w:val="24"/>
                <w:color w:val="auto"/>
              </w:rPr>
            </w:pPr>
          </w:p>
        </w:tc>
        <w:tc>
          <w:tcPr>
            <w:tcW w:w="29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7340" w:type="dxa"/>
            <w:vAlign w:val="bottom"/>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IT consulting service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158,790,921</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136,844,784</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144,286,502</w:t>
            </w:r>
          </w:p>
        </w:tc>
        <w:tc>
          <w:tcPr>
            <w:tcW w:w="100" w:type="dxa"/>
            <w:vAlign w:val="bottom"/>
            <w:shd w:val="clear" w:color="auto" w:fill="CCEEFF"/>
          </w:tcPr>
          <w:p>
            <w:pPr>
              <w:spacing w:after="0"/>
              <w:rPr>
                <w:sz w:val="16"/>
                <w:szCs w:val="16"/>
                <w:color w:val="auto"/>
              </w:rPr>
            </w:pPr>
          </w:p>
        </w:tc>
      </w:tr>
      <w:tr>
        <w:trPr>
          <w:trHeight w:val="192"/>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Customized IT solution service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2,781,538</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3,147,593</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4,554,200</w:t>
            </w:r>
          </w:p>
        </w:tc>
        <w:tc>
          <w:tcPr>
            <w:tcW w:w="100" w:type="dxa"/>
            <w:vAlign w:val="bottom"/>
          </w:tcPr>
          <w:p>
            <w:pPr>
              <w:spacing w:after="0"/>
              <w:rPr>
                <w:sz w:val="16"/>
                <w:szCs w:val="16"/>
                <w:color w:val="auto"/>
              </w:rPr>
            </w:pPr>
          </w:p>
        </w:tc>
      </w:tr>
      <w:tr>
        <w:trPr>
          <w:trHeight w:val="224"/>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894,598</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1,825,961</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1,515,837</w:t>
            </w:r>
          </w:p>
        </w:tc>
        <w:tc>
          <w:tcPr>
            <w:tcW w:w="100" w:type="dxa"/>
            <w:vAlign w:val="bottom"/>
            <w:shd w:val="clear" w:color="auto" w:fill="CCEEFF"/>
          </w:tcPr>
          <w:p>
            <w:pPr>
              <w:spacing w:after="0"/>
              <w:rPr>
                <w:sz w:val="19"/>
                <w:szCs w:val="19"/>
                <w:color w:val="auto"/>
              </w:rPr>
            </w:pPr>
          </w:p>
        </w:tc>
      </w:tr>
      <w:tr>
        <w:trPr>
          <w:trHeight w:val="176"/>
        </w:trPr>
        <w:tc>
          <w:tcPr>
            <w:tcW w:w="734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IT services subtotal</w:t>
            </w:r>
          </w:p>
        </w:tc>
        <w:tc>
          <w:tcPr>
            <w:tcW w:w="11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162,467,057</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141,818,338</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150,356,539</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2"/>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8"/>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Academic education service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2,047,049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1,042,832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12"/>
        </w:trPr>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(32,692</w:t>
            </w:r>
          </w:p>
        </w:tc>
        <w:tc>
          <w:tcPr>
            <w:tcW w:w="22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5"/>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164,481,414</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142,812,726</w:t>
            </w: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150,356,539</w:t>
            </w:r>
          </w:p>
        </w:tc>
        <w:tc>
          <w:tcPr>
            <w:tcW w:w="100" w:type="dxa"/>
            <w:vAlign w:val="bottom"/>
          </w:tcPr>
          <w:p>
            <w:pPr>
              <w:spacing w:after="0"/>
              <w:rPr>
                <w:sz w:val="17"/>
                <w:szCs w:val="17"/>
                <w:color w:val="auto"/>
              </w:rPr>
            </w:pPr>
          </w:p>
        </w:tc>
      </w:tr>
      <w:tr>
        <w:trPr>
          <w:trHeight w:val="20"/>
        </w:trPr>
        <w:tc>
          <w:tcPr>
            <w:tcW w:w="7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The Company’s operations are primarily based in China, where the Company derives a substantial portion of their revenues. The following table presents revenues generated in domestic and overseas markets for the years ended June 30, 2025, 2024 and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9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Mainland China</w:t>
            </w:r>
          </w:p>
        </w:tc>
        <w:tc>
          <w:tcPr>
            <w:tcW w:w="2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121,989,818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120,510,430</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134,185,815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3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21,882,041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10,987,527</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8,733,344</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w:t>
            </w:r>
          </w:p>
        </w:tc>
        <w:tc>
          <w:tcPr>
            <w:tcW w:w="3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14,397,386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6,245,523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4,311,182</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3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3,881,511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4,367,813</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2,779,313</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Japan</w:t>
            </w:r>
          </w:p>
        </w:tc>
        <w:tc>
          <w:tcPr>
            <w:tcW w:w="3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2,000,817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566,410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254,601</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3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213,851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8,512</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26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115,990</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126,511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92,284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4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164,481,414</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142,812,726</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150,356,539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Long-lived assets by geographic area are presented as follows:</w:t>
            </w:r>
          </w:p>
        </w:tc>
        <w:tc>
          <w:tcPr>
            <w:tcW w:w="2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74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7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92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740" w:type="dxa"/>
            <w:vAlign w:val="bottom"/>
            <w:tcBorders>
              <w:bottom w:val="single" w:sz="8" w:color="CCEEFF"/>
            </w:tcBorders>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w:t>
            </w:r>
          </w:p>
        </w:tc>
        <w:tc>
          <w:tcPr>
            <w:tcW w:w="2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14,573,383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7"/>
              </w:rPr>
              <w:t>15,290,412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15,124,060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Singapore</w:t>
            </w:r>
          </w:p>
        </w:tc>
        <w:tc>
          <w:tcPr>
            <w:tcW w:w="3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5,108,371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4,861,111</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4,665,463</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Mainland China</w:t>
            </w:r>
          </w:p>
        </w:tc>
        <w:tc>
          <w:tcPr>
            <w:tcW w:w="3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1,512,594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1,010,449</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315,347</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India</w:t>
            </w:r>
          </w:p>
        </w:tc>
        <w:tc>
          <w:tcPr>
            <w:tcW w:w="3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15,841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4,052</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6,857</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Malaysia</w:t>
            </w:r>
          </w:p>
        </w:tc>
        <w:tc>
          <w:tcPr>
            <w:tcW w:w="3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2,373</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Japan</w:t>
            </w:r>
          </w:p>
        </w:tc>
        <w:tc>
          <w:tcPr>
            <w:tcW w:w="26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4"/>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6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vMerge w:val="continue"/>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21,212,463</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21,168,524</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20,112,305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47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color w:val="auto"/>
              </w:rPr>
              <w:t>F-53</w:t>
            </w: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89" w:name="page190"/>
    <w:bookmarkEnd w:id="189"/>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NOTE 22 – FAIR VALUE MEASUREMENT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ASC 820 establishes a three-tier fair value hierarchy, which prioritizes the inputs used in measuring fair value as follows: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Level 2 — Includes other inputs that are directly or indirectly observable in the marketplace.</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Level 3 — Unobservable inputs which are supported by little or no market activity.</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determination of where assets and liabilities fall within this hierarchy is based upon the lowest level of input that is significant to the fair value measurement.</w:t>
      </w:r>
    </w:p>
    <w:p>
      <w:pPr>
        <w:spacing w:after="0" w:line="201"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The following is the Company’s assets required to be measured at fair value on a recurring basis and where they are classified within the fair value hierarchy as of June 30, 2025:</w:t>
      </w:r>
    </w:p>
    <w:p>
      <w:pPr>
        <w:spacing w:after="0" w:line="346"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As of June 30, 2025</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9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5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Equity investments without readily determinable fair value using NAV practical</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expedient*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equity securities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59,998</w:t>
            </w:r>
          </w:p>
        </w:tc>
        <w:tc>
          <w:tcPr>
            <w:tcW w:w="9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59,998</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 w:right="1380" w:hanging="4"/>
        <w:spacing w:after="0" w:line="534" w:lineRule="auto"/>
        <w:tabs>
          <w:tab w:leader="none" w:pos="12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ASC 820, investments that are measured at fair value using the NAV practical expedient are not classified in the fair value hierarchy. There are no assets or liabilities required to be measured at fair value on a recurring basis as of June 30, 2025.</w:t>
      </w:r>
    </w:p>
    <w:p>
      <w:pPr>
        <w:spacing w:after="0" w:line="1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94" w:right="319" w:bottom="1440" w:gutter="0" w:footer="0" w:header="0"/>
        </w:sectPr>
      </w:pPr>
    </w:p>
    <w:bookmarkStart w:id="190" w:name="page191"/>
    <w:bookmarkEnd w:id="19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23 – PARENT COMPANY ONLY CONDENSED FINANCIAL INFORMATION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balance sheets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7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w w:val="97"/>
              </w:rPr>
              <w:t>As of June 30,</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68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61,092</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4,262,968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subsidiaries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34,820,125</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36,169,086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deposits and other assets,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53,161</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shd w:val="clear" w:color="auto" w:fill="CCEEFF"/>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34,934,378</w:t>
            </w:r>
          </w:p>
        </w:tc>
        <w:tc>
          <w:tcPr>
            <w:tcW w:w="3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40,485,761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subsidiaries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43,942,900</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46,861,460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shd w:val="clear" w:color="auto" w:fill="CCEEFF"/>
          </w:tcPr>
          <w:p>
            <w:pPr>
              <w:spacing w:after="0" w:line="20" w:lineRule="exact"/>
              <w:rPr>
                <w:sz w:val="1"/>
                <w:szCs w:val="1"/>
                <w:color w:val="auto"/>
              </w:rPr>
            </w:pPr>
          </w:p>
        </w:tc>
        <w:tc>
          <w:tcPr>
            <w:tcW w:w="11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78,877,278</w:t>
            </w:r>
          </w:p>
        </w:tc>
        <w:tc>
          <w:tcPr>
            <w:tcW w:w="3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87,347,221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866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subsidiaries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23,340,493</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24,836,295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60" w:type="dxa"/>
            <w:vAlign w:val="bottom"/>
            <w:tcBorders>
              <w:top w:val="single" w:sz="8" w:color="CCEEFF"/>
              <w:bottom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120" w:type="dxa"/>
            <w:vAlign w:val="bottom"/>
            <w:tcBorders>
              <w:top w:val="single" w:sz="8" w:color="auto"/>
              <w:bottom w:val="single" w:sz="8" w:color="auto"/>
            </w:tcBorders>
          </w:tcPr>
          <w:p>
            <w:pPr>
              <w:ind w:left="400"/>
              <w:spacing w:after="0" w:line="177" w:lineRule="exact"/>
              <w:rPr>
                <w:sz w:val="20"/>
                <w:szCs w:val="20"/>
                <w:color w:val="auto"/>
              </w:rPr>
            </w:pPr>
            <w:r>
              <w:rPr>
                <w:rFonts w:ascii="Times New Roman" w:cs="Times New Roman" w:eastAsia="Times New Roman" w:hAnsi="Times New Roman"/>
                <w:sz w:val="16"/>
                <w:szCs w:val="16"/>
                <w:color w:val="auto"/>
                <w:w w:val="97"/>
              </w:rPr>
              <w:t>23,340,493</w:t>
            </w:r>
          </w:p>
        </w:tc>
        <w:tc>
          <w:tcPr>
            <w:tcW w:w="220" w:type="dxa"/>
            <w:vAlign w:val="bottom"/>
            <w:tcBorders>
              <w:top w:val="single" w:sz="8" w:color="CCEEFF"/>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24,837,983</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23,340,493</w:t>
            </w: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24,837,983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6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Common shares, $0.0001 par value, 100,000,000 shares authorized; 27,988,452 shares issued and outstanding as of June 30, 2025;</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25,640,056 shares issued and outstanding as of June 30, 2024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2,799</w:t>
            </w: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2,564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60,177,851</w:t>
            </w: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61,351,200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(1,548,358)</w:t>
            </w: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5,501,376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(3,095,507)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(4,345,902)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66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55,536,785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62,509,238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78,877,278</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87,347,221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6"/>
                <w:szCs w:val="16"/>
                <w:color w:val="auto"/>
              </w:rPr>
              <w:t>F-55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86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94" w:right="31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(Amounts in U.S. dollars (“$”), except for number of shares)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23 – PARENT COMPANY ONLY CONDENSED FINANCIAL INFORMATION - continued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comprehensive loss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960" w:type="dxa"/>
            <w:vAlign w:val="bottom"/>
            <w:tcBorders>
              <w:bottom w:val="single" w:sz="8" w:color="auto"/>
            </w:tcBorders>
            <w:gridSpan w:val="5"/>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(3,138,420)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(3,325,805)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(3,308,445)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in subsidiaries, net (Note a)</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(4,220,986)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428,620</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3,023,065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413,038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567,220</w:t>
            </w: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477,909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(103,366)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3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(Loss) income before income tax</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(7,049,734)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(2,329,965)</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360" w:type="dxa"/>
            <w:vAlign w:val="bottom"/>
            <w:gridSpan w:val="2"/>
            <w:shd w:val="clear" w:color="auto" w:fill="CCEEFF"/>
          </w:tcPr>
          <w:p>
            <w:pPr>
              <w:jc w:val="right"/>
              <w:ind w:right="180"/>
              <w:spacing w:after="0" w:line="228" w:lineRule="exact"/>
              <w:rPr>
                <w:sz w:val="20"/>
                <w:szCs w:val="20"/>
                <w:color w:val="auto"/>
              </w:rPr>
            </w:pPr>
            <w:r>
              <w:rPr>
                <w:rFonts w:ascii="Times New Roman" w:cs="Times New Roman" w:eastAsia="Times New Roman" w:hAnsi="Times New Roman"/>
                <w:sz w:val="14"/>
                <w:szCs w:val="14"/>
                <w:color w:val="auto"/>
              </w:rPr>
              <w:t>(7,049,734</w:t>
            </w:r>
            <w:r>
              <w:rPr>
                <w:rFonts w:ascii="Times New Roman" w:cs="Times New Roman" w:eastAsia="Times New Roman" w:hAnsi="Times New Roman"/>
                <w:sz w:val="26"/>
                <w:szCs w:val="26"/>
                <w:color w:val="auto"/>
                <w:vertAlign w:val="superscript"/>
              </w:rPr>
              <w:t>)</w:t>
            </w:r>
          </w:p>
        </w:tc>
        <w:tc>
          <w:tcPr>
            <w:tcW w:w="1320" w:type="dxa"/>
            <w:vAlign w:val="bottom"/>
            <w:gridSpan w:val="2"/>
            <w:shd w:val="clear" w:color="auto" w:fill="CCEEFF"/>
          </w:tcPr>
          <w:p>
            <w:pPr>
              <w:jc w:val="right"/>
              <w:ind w:right="160"/>
              <w:spacing w:after="0" w:line="228" w:lineRule="exact"/>
              <w:rPr>
                <w:sz w:val="20"/>
                <w:szCs w:val="20"/>
                <w:color w:val="auto"/>
              </w:rPr>
            </w:pPr>
            <w:r>
              <w:rPr>
                <w:rFonts w:ascii="Times New Roman" w:cs="Times New Roman" w:eastAsia="Times New Roman" w:hAnsi="Times New Roman"/>
                <w:sz w:val="14"/>
                <w:szCs w:val="14"/>
                <w:color w:val="auto"/>
              </w:rPr>
              <w:t>(2,329,965</w:t>
            </w:r>
            <w:r>
              <w:rPr>
                <w:rFonts w:ascii="Times New Roman" w:cs="Times New Roman" w:eastAsia="Times New Roman" w:hAnsi="Times New Roman"/>
                <w:sz w:val="26"/>
                <w:szCs w:val="26"/>
                <w:color w:val="auto"/>
                <w:vertAlign w:val="superscript"/>
              </w:rPr>
              <w:t>)</w:t>
            </w:r>
          </w:p>
        </w:tc>
        <w:tc>
          <w:tcPr>
            <w:tcW w:w="28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1,250,395</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(355,308)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(3,440,346)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1360" w:type="dxa"/>
            <w:vAlign w:val="bottom"/>
            <w:gridSpan w:val="2"/>
            <w:shd w:val="clear" w:color="auto" w:fill="CCEEFF"/>
          </w:tcPr>
          <w:p>
            <w:pPr>
              <w:jc w:val="right"/>
              <w:ind w:right="180"/>
              <w:spacing w:after="0" w:line="228" w:lineRule="exact"/>
              <w:rPr>
                <w:sz w:val="20"/>
                <w:szCs w:val="20"/>
                <w:color w:val="auto"/>
              </w:rPr>
            </w:pPr>
            <w:r>
              <w:rPr>
                <w:rFonts w:ascii="Times New Roman" w:cs="Times New Roman" w:eastAsia="Times New Roman" w:hAnsi="Times New Roman"/>
                <w:sz w:val="14"/>
                <w:szCs w:val="14"/>
                <w:color w:val="auto"/>
              </w:rPr>
              <w:t>(5,799,339</w:t>
            </w:r>
            <w:r>
              <w:rPr>
                <w:rFonts w:ascii="Times New Roman" w:cs="Times New Roman" w:eastAsia="Times New Roman" w:hAnsi="Times New Roman"/>
                <w:sz w:val="26"/>
                <w:szCs w:val="26"/>
                <w:color w:val="auto"/>
                <w:vertAlign w:val="superscript"/>
              </w:rPr>
              <w:t>)</w:t>
            </w:r>
          </w:p>
        </w:tc>
        <w:tc>
          <w:tcPr>
            <w:tcW w:w="1320" w:type="dxa"/>
            <w:vAlign w:val="bottom"/>
            <w:gridSpan w:val="2"/>
            <w:shd w:val="clear" w:color="auto" w:fill="CCEEFF"/>
          </w:tcPr>
          <w:p>
            <w:pPr>
              <w:jc w:val="right"/>
              <w:ind w:right="160"/>
              <w:spacing w:after="0" w:line="228" w:lineRule="exact"/>
              <w:rPr>
                <w:sz w:val="20"/>
                <w:szCs w:val="20"/>
                <w:color w:val="auto"/>
              </w:rPr>
            </w:pPr>
            <w:r>
              <w:rPr>
                <w:rFonts w:ascii="Times New Roman" w:cs="Times New Roman" w:eastAsia="Times New Roman" w:hAnsi="Times New Roman"/>
                <w:sz w:val="14"/>
                <w:szCs w:val="14"/>
                <w:color w:val="auto"/>
              </w:rPr>
              <w:t>(2,685,273</w:t>
            </w:r>
            <w:r>
              <w:rPr>
                <w:rFonts w:ascii="Times New Roman" w:cs="Times New Roman" w:eastAsia="Times New Roman" w:hAnsi="Times New Roman"/>
                <w:sz w:val="26"/>
                <w:szCs w:val="26"/>
                <w:color w:val="auto"/>
                <w:vertAlign w:val="superscript"/>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line="228" w:lineRule="exact"/>
              <w:rPr>
                <w:sz w:val="20"/>
                <w:szCs w:val="20"/>
                <w:color w:val="auto"/>
              </w:rPr>
            </w:pPr>
            <w:r>
              <w:rPr>
                <w:rFonts w:ascii="Times New Roman" w:cs="Times New Roman" w:eastAsia="Times New Roman" w:hAnsi="Times New Roman"/>
                <w:sz w:val="14"/>
                <w:szCs w:val="14"/>
                <w:color w:val="auto"/>
              </w:rPr>
              <w:t>(3,247,817</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cash flows</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3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960" w:type="dxa"/>
            <w:vAlign w:val="bottom"/>
            <w:tcBorders>
              <w:bottom w:val="single" w:sz="8" w:color="auto"/>
            </w:tcBorders>
            <w:gridSpan w:val="5"/>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rPr>
              <w:t>For the year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(508,820)</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5,780,974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1,412,346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(3,641,025)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(2,554,508)</w:t>
            </w:r>
          </w:p>
        </w:tc>
        <w:tc>
          <w:tcPr>
            <w:tcW w:w="2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(404,150)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(52,031)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(8,145)</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(79,450)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2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14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(4,201,876)</w:t>
            </w:r>
          </w:p>
        </w:tc>
        <w:tc>
          <w:tcPr>
            <w:tcW w:w="2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3,218,321</w:t>
            </w: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928,746</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4,262,968</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1,044,647</w:t>
            </w:r>
          </w:p>
        </w:tc>
        <w:tc>
          <w:tcPr>
            <w:tcW w:w="2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shd w:val="clear" w:color="auto" w:fill="CCEEFF"/>
          </w:tcPr>
          <w:p>
            <w:pPr>
              <w:spacing w:after="0" w:line="20" w:lineRule="exact"/>
              <w:rPr>
                <w:sz w:val="1"/>
                <w:szCs w:val="1"/>
                <w:color w:val="auto"/>
              </w:rPr>
            </w:pPr>
          </w:p>
        </w:tc>
        <w:tc>
          <w:tcPr>
            <w:tcW w:w="11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at the end of the year</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61,092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4,262,968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1,044,647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Basis of presentation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Company-only financial statements, the Company’s investment in subsidiaries is stated at cost plus equity in undistributed earnings of subsidiaries since inception.</w:t>
      </w:r>
    </w:p>
    <w:p>
      <w:pPr>
        <w:spacing w:after="0" w:line="1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6"/>
          <w:szCs w:val="16"/>
          <w:color w:val="auto"/>
        </w:rPr>
        <w:t>The Company records its investment in its subsidiaries under the equity method of accounting as prescribed in ASC 323</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Such investments are presented on the balance sheets as “Investments in subsidiaries” and share of the subsidiaries’ profit or loss are shown as “Share of profit in subsidiaries, net” on the statements of comprehensive (loss) income.</w:t>
      </w:r>
    </w:p>
    <w:p>
      <w:pPr>
        <w:spacing w:after="0" w:line="15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94" w:right="319" w:bottom="1440" w:gutter="0" w:footer="0" w:header="0"/>
        </w:sectPr>
      </w:pPr>
    </w:p>
    <w:bookmarkStart w:id="192" w:name="page193"/>
    <w:bookmarkEnd w:id="192"/>
    <w:p>
      <w:pPr>
        <w:ind w:left="4"/>
        <w:spacing w:after="0"/>
        <w:rPr>
          <w:sz w:val="20"/>
          <w:szCs w:val="20"/>
          <w:color w:val="auto"/>
        </w:rPr>
      </w:pPr>
      <w:r>
        <w:rPr>
          <w:rFonts w:ascii="Times New Roman" w:cs="Times New Roman" w:eastAsia="Times New Roman" w:hAnsi="Times New Roman"/>
          <w:sz w:val="16"/>
          <w:szCs w:val="16"/>
          <w:b w:val="1"/>
          <w:bCs w:val="1"/>
          <w:color w:val="auto"/>
        </w:rPr>
        <w:t>ITEM 19. EXHIBITS</w:t>
      </w:r>
    </w:p>
    <w:p>
      <w:pPr>
        <w:spacing w:after="0" w:line="143" w:lineRule="exact"/>
        <w:rPr>
          <w:sz w:val="20"/>
          <w:szCs w:val="20"/>
          <w:color w:val="auto"/>
        </w:rPr>
      </w:pPr>
    </w:p>
    <w:p>
      <w:pPr>
        <w:ind w:left="584"/>
        <w:spacing w:after="0"/>
        <w:rPr>
          <w:sz w:val="20"/>
          <w:szCs w:val="20"/>
          <w:color w:val="auto"/>
        </w:rPr>
      </w:pPr>
      <w:r>
        <w:rPr>
          <w:rFonts w:ascii="Times New Roman" w:cs="Times New Roman" w:eastAsia="Times New Roman" w:hAnsi="Times New Roman"/>
          <w:sz w:val="16"/>
          <w:szCs w:val="16"/>
          <w:color w:val="auto"/>
        </w:rPr>
        <w:t>The financial statements are filed as part of this Annual Report beginning on page F-1.</w:t>
      </w:r>
    </w:p>
    <w:p>
      <w:pPr>
        <w:spacing w:after="0" w:line="139" w:lineRule="exact"/>
        <w:rPr>
          <w:sz w:val="20"/>
          <w:szCs w:val="20"/>
          <w:color w:val="auto"/>
        </w:rPr>
      </w:pPr>
    </w:p>
    <w:p>
      <w:pPr>
        <w:ind w:left="4"/>
        <w:spacing w:after="0"/>
        <w:tabs>
          <w:tab w:leader="none" w:pos="1003" w:val="left"/>
        </w:tabs>
        <w:rPr>
          <w:sz w:val="20"/>
          <w:szCs w:val="20"/>
          <w:color w:val="auto"/>
        </w:rPr>
      </w:pPr>
      <w:r>
        <w:rPr>
          <w:rFonts w:ascii="Times New Roman" w:cs="Times New Roman" w:eastAsia="Times New Roman" w:hAnsi="Times New Roman"/>
          <w:sz w:val="16"/>
          <w:szCs w:val="16"/>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47560"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5" w:lineRule="exact"/>
        <w:rPr>
          <w:sz w:val="20"/>
          <w:szCs w:val="20"/>
          <w:color w:val="auto"/>
        </w:rPr>
      </w:pPr>
    </w:p>
    <w:p>
      <w:pPr>
        <w:ind w:left="4"/>
        <w:spacing w:after="0"/>
        <w:tabs>
          <w:tab w:leader="none" w:pos="1003" w:val="left"/>
        </w:tabs>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color w:val="auto"/>
        </w:rPr>
        <w:t>1.1</w:t>
      </w:r>
      <w:r>
        <w:rPr>
          <w:sz w:val="20"/>
          <w:szCs w:val="20"/>
          <w:color w:val="auto"/>
        </w:rPr>
        <w:tab/>
      </w:r>
      <w:hyperlink r:id="rId334">
        <w:r>
          <w:rPr>
            <w:rFonts w:ascii="Times New Roman" w:cs="Times New Roman" w:eastAsia="Times New Roman" w:hAnsi="Times New Roman"/>
            <w:sz w:val="16"/>
            <w:szCs w:val="16"/>
            <w:b w:val="1"/>
            <w:bCs w:val="1"/>
            <w:u w:val="single" w:color="auto"/>
            <w:color w:val="0000EE"/>
          </w:rPr>
          <w:t>Form of Underwriting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47560" cy="1219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47560" cy="121920"/>
                    </a:xfrm>
                    <a:prstGeom prst="rect">
                      <a:avLst/>
                    </a:prstGeom>
                    <a:noFill/>
                  </pic:spPr>
                </pic:pic>
              </a:graphicData>
            </a:graphic>
          </wp:anchor>
        </w:drawing>
      </w:r>
    </w:p>
    <w:p>
      <w:pPr>
        <w:spacing w:after="0" w:line="7" w:lineRule="exact"/>
        <w:rPr>
          <w:sz w:val="20"/>
          <w:szCs w:val="20"/>
          <w:color w:val="auto"/>
        </w:rPr>
      </w:pPr>
    </w:p>
    <w:p>
      <w:pPr>
        <w:ind w:left="1024" w:hanging="1024"/>
        <w:spacing w:after="0"/>
        <w:tabs>
          <w:tab w:leader="none" w:pos="1024" w:val="left"/>
        </w:tabs>
        <w:numPr>
          <w:ilvl w:val="0"/>
          <w:numId w:val="92"/>
        </w:numPr>
        <w:rPr>
          <w:rFonts w:ascii="Times New Roman" w:cs="Times New Roman" w:eastAsia="Times New Roman" w:hAnsi="Times New Roman"/>
          <w:sz w:val="16"/>
          <w:szCs w:val="16"/>
          <w:b w:val="1"/>
          <w:bCs w:val="1"/>
          <w:u w:val="single" w:color="auto"/>
          <w:color w:val="0000EE"/>
        </w:rPr>
      </w:pPr>
      <w:hyperlink r:id="rId336">
        <w:r>
          <w:rPr>
            <w:rFonts w:ascii="Times New Roman" w:cs="Times New Roman" w:eastAsia="Times New Roman" w:hAnsi="Times New Roman"/>
            <w:sz w:val="16"/>
            <w:szCs w:val="16"/>
            <w:b w:val="1"/>
            <w:bCs w:val="1"/>
            <w:u w:val="single" w:color="auto"/>
            <w:color w:val="0000EE"/>
          </w:rPr>
          <w:t>Description of Securities registered under Section 12 of the Exchange Act (4)</w:t>
        </w:r>
      </w:hyperlink>
    </w:p>
    <w:tbl>
      <w:tblPr>
        <w:tblLayout w:type="fixed"/>
        <w:tblInd w:w="4" w:type="dxa"/>
        <w:tblCellMar>
          <w:top w:w="0" w:type="dxa"/>
          <w:left w:w="0" w:type="dxa"/>
          <w:bottom w:w="0" w:type="dxa"/>
          <w:right w:w="0" w:type="dxa"/>
        </w:tblCellMar>
      </w:tblPr>
      <w:tr>
        <w:trPr>
          <w:trHeight w:val="181"/>
        </w:trPr>
        <w:tc>
          <w:tcPr>
            <w:tcW w:w="1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3.1</w:t>
            </w:r>
          </w:p>
        </w:tc>
        <w:tc>
          <w:tcPr>
            <w:tcW w:w="10240" w:type="dxa"/>
            <w:vAlign w:val="bottom"/>
            <w:gridSpan w:val="26"/>
            <w:shd w:val="clear" w:color="auto" w:fill="CCEEFF"/>
          </w:tcPr>
          <w:p>
            <w:pPr>
              <w:spacing w:after="0" w:line="165" w:lineRule="exact"/>
              <w:rPr>
                <w:rFonts w:ascii="Times New Roman" w:cs="Times New Roman" w:eastAsia="Times New Roman" w:hAnsi="Times New Roman"/>
                <w:sz w:val="16"/>
                <w:szCs w:val="16"/>
                <w:b w:val="1"/>
                <w:bCs w:val="1"/>
                <w:color w:val="0000EE"/>
              </w:rPr>
            </w:pPr>
            <w:hyperlink r:id="rId337">
              <w:r>
                <w:rPr>
                  <w:rFonts w:ascii="Times New Roman" w:cs="Times New Roman" w:eastAsia="Times New Roman" w:hAnsi="Times New Roman"/>
                  <w:sz w:val="16"/>
                  <w:szCs w:val="16"/>
                  <w:b w:val="1"/>
                  <w:bCs w:val="1"/>
                  <w:color w:val="0000EE"/>
                </w:rPr>
                <w:t>Memorandum and Articles of Association (1).</w:t>
              </w:r>
            </w:hyperlink>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4.1</w:t>
            </w:r>
          </w:p>
        </w:tc>
        <w:tc>
          <w:tcPr>
            <w:tcW w:w="2180" w:type="dxa"/>
            <w:vAlign w:val="bottom"/>
            <w:tcBorders>
              <w:top w:val="single" w:sz="8" w:color="0000EE"/>
              <w:bottom w:val="single" w:sz="8" w:color="0000EE"/>
            </w:tcBorders>
            <w:gridSpan w:val="3"/>
          </w:tcPr>
          <w:p>
            <w:pPr>
              <w:spacing w:after="0" w:line="156" w:lineRule="exact"/>
              <w:rPr>
                <w:rFonts w:ascii="Times New Roman" w:cs="Times New Roman" w:eastAsia="Times New Roman" w:hAnsi="Times New Roman"/>
                <w:sz w:val="16"/>
                <w:szCs w:val="16"/>
                <w:b w:val="1"/>
                <w:bCs w:val="1"/>
                <w:color w:val="0000EE"/>
              </w:rPr>
            </w:pPr>
            <w:hyperlink r:id="rId338">
              <w:r>
                <w:rPr>
                  <w:rFonts w:ascii="Times New Roman" w:cs="Times New Roman" w:eastAsia="Times New Roman" w:hAnsi="Times New Roman"/>
                  <w:sz w:val="16"/>
                  <w:szCs w:val="16"/>
                  <w:b w:val="1"/>
                  <w:bCs w:val="1"/>
                  <w:color w:val="0000EE"/>
                </w:rPr>
                <w:t>Specimen Share Certificate (1).</w:t>
              </w:r>
            </w:hyperlink>
          </w:p>
        </w:tc>
        <w:tc>
          <w:tcPr>
            <w:tcW w:w="940" w:type="dxa"/>
            <w:vAlign w:val="bottom"/>
            <w:tcBorders>
              <w:top w:val="single" w:sz="8" w:color="0000EE"/>
            </w:tcBorders>
            <w:gridSpan w:val="6"/>
          </w:tcPr>
          <w:p>
            <w:pPr>
              <w:spacing w:after="0"/>
              <w:rPr>
                <w:sz w:val="13"/>
                <w:szCs w:val="13"/>
                <w:color w:val="auto"/>
              </w:rPr>
            </w:pPr>
          </w:p>
        </w:tc>
        <w:tc>
          <w:tcPr>
            <w:tcW w:w="7120" w:type="dxa"/>
            <w:vAlign w:val="bottom"/>
            <w:tcBorders>
              <w:top w:val="single" w:sz="8" w:color="CCEEFF"/>
            </w:tcBorders>
            <w:gridSpan w:val="17"/>
          </w:tcPr>
          <w:p>
            <w:pPr>
              <w:spacing w:after="0"/>
              <w:rPr>
                <w:sz w:val="13"/>
                <w:szCs w:val="13"/>
                <w:color w:val="auto"/>
              </w:rPr>
            </w:pPr>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10.1</w:t>
            </w:r>
          </w:p>
        </w:tc>
        <w:tc>
          <w:tcPr>
            <w:tcW w:w="2180" w:type="dxa"/>
            <w:vAlign w:val="bottom"/>
            <w:tcBorders>
              <w:bottom w:val="single" w:sz="8" w:color="0000EE"/>
              <w:right w:val="single" w:sz="8" w:color="CCEEFF"/>
            </w:tcBorders>
            <w:gridSpan w:val="3"/>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39">
              <w:r>
                <w:rPr>
                  <w:rFonts w:ascii="Times New Roman" w:cs="Times New Roman" w:eastAsia="Times New Roman" w:hAnsi="Times New Roman"/>
                  <w:sz w:val="16"/>
                  <w:szCs w:val="16"/>
                  <w:b w:val="1"/>
                  <w:bCs w:val="1"/>
                  <w:color w:val="0000EE"/>
                </w:rPr>
                <w:t>2023 Equity Incentive Plan(6)</w:t>
              </w:r>
            </w:hyperlink>
          </w:p>
        </w:tc>
        <w:tc>
          <w:tcPr>
            <w:tcW w:w="8060" w:type="dxa"/>
            <w:vAlign w:val="bottom"/>
            <w:tcBorders>
              <w:bottom w:val="single" w:sz="8" w:color="CCEEFF"/>
            </w:tcBorders>
            <w:gridSpan w:val="23"/>
            <w:shd w:val="clear" w:color="auto" w:fill="CCEEFF"/>
          </w:tcPr>
          <w:p>
            <w:pPr>
              <w:spacing w:after="0"/>
              <w:rPr>
                <w:sz w:val="16"/>
                <w:szCs w:val="16"/>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10.2</w:t>
            </w:r>
          </w:p>
        </w:tc>
        <w:tc>
          <w:tcPr>
            <w:tcW w:w="10240" w:type="dxa"/>
            <w:vAlign w:val="bottom"/>
            <w:gridSpan w:val="26"/>
          </w:tcPr>
          <w:p>
            <w:pPr>
              <w:spacing w:after="0" w:line="156" w:lineRule="exact"/>
              <w:rPr>
                <w:rFonts w:ascii="Times New Roman" w:cs="Times New Roman" w:eastAsia="Times New Roman" w:hAnsi="Times New Roman"/>
                <w:sz w:val="16"/>
                <w:szCs w:val="16"/>
                <w:b w:val="1"/>
                <w:bCs w:val="1"/>
                <w:color w:val="0000EE"/>
              </w:rPr>
            </w:pPr>
            <w:hyperlink r:id="rId340">
              <w:r>
                <w:rPr>
                  <w:rFonts w:ascii="Times New Roman" w:cs="Times New Roman" w:eastAsia="Times New Roman" w:hAnsi="Times New Roman"/>
                  <w:sz w:val="16"/>
                  <w:szCs w:val="16"/>
                  <w:b w:val="1"/>
                  <w:bCs w:val="1"/>
                  <w:color w:val="0000EE"/>
                </w:rPr>
                <w:t>Form Independent Director Agreement (1).</w:t>
              </w:r>
            </w:hyperlink>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10.3</w:t>
            </w:r>
          </w:p>
        </w:tc>
        <w:tc>
          <w:tcPr>
            <w:tcW w:w="10240" w:type="dxa"/>
            <w:vAlign w:val="bottom"/>
            <w:gridSpan w:val="26"/>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41">
              <w:r>
                <w:rPr>
                  <w:rFonts w:ascii="Times New Roman" w:cs="Times New Roman" w:eastAsia="Times New Roman" w:hAnsi="Times New Roman"/>
                  <w:sz w:val="16"/>
                  <w:szCs w:val="16"/>
                  <w:b w:val="1"/>
                  <w:bCs w:val="1"/>
                  <w:color w:val="0000EE"/>
                </w:rPr>
                <w:t>Employment Agreement between the Company and Xiao Feng Yang (1).</w:t>
              </w:r>
            </w:hyperlink>
          </w:p>
        </w:tc>
      </w:tr>
      <w:tr>
        <w:trPr>
          <w:trHeight w:val="36"/>
        </w:trPr>
        <w:tc>
          <w:tcPr>
            <w:tcW w:w="102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6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10.4</w:t>
            </w:r>
          </w:p>
        </w:tc>
        <w:tc>
          <w:tcPr>
            <w:tcW w:w="5500" w:type="dxa"/>
            <w:vAlign w:val="bottom"/>
            <w:tcBorders>
              <w:bottom w:val="single" w:sz="8" w:color="0000EE"/>
            </w:tcBorders>
            <w:gridSpan w:val="20"/>
          </w:tcPr>
          <w:p>
            <w:pPr>
              <w:spacing w:after="0" w:line="156" w:lineRule="exact"/>
              <w:rPr>
                <w:rFonts w:ascii="Times New Roman" w:cs="Times New Roman" w:eastAsia="Times New Roman" w:hAnsi="Times New Roman"/>
                <w:sz w:val="16"/>
                <w:szCs w:val="16"/>
                <w:b w:val="1"/>
                <w:bCs w:val="1"/>
                <w:color w:val="0000EE"/>
                <w:w w:val="99"/>
              </w:rPr>
            </w:pPr>
            <w:hyperlink r:id="rId342">
              <w:r>
                <w:rPr>
                  <w:rFonts w:ascii="Times New Roman" w:cs="Times New Roman" w:eastAsia="Times New Roman" w:hAnsi="Times New Roman"/>
                  <w:sz w:val="16"/>
                  <w:szCs w:val="16"/>
                  <w:b w:val="1"/>
                  <w:bCs w:val="1"/>
                  <w:color w:val="0000EE"/>
                  <w:w w:val="99"/>
                </w:rPr>
                <w:t>Employment Agreement between the Company and Raymond Ming Hui Lin (1).</w:t>
              </w:r>
            </w:hyperlink>
          </w:p>
        </w:tc>
        <w:tc>
          <w:tcPr>
            <w:tcW w:w="4740" w:type="dxa"/>
            <w:vAlign w:val="bottom"/>
            <w:gridSpan w:val="6"/>
          </w:tcPr>
          <w:p>
            <w:pPr>
              <w:spacing w:after="0"/>
              <w:rPr>
                <w:sz w:val="13"/>
                <w:szCs w:val="13"/>
                <w:color w:val="auto"/>
              </w:rPr>
            </w:pPr>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10.5</w:t>
            </w:r>
          </w:p>
        </w:tc>
        <w:tc>
          <w:tcPr>
            <w:tcW w:w="4480" w:type="dxa"/>
            <w:vAlign w:val="bottom"/>
            <w:tcBorders>
              <w:bottom w:val="single" w:sz="8" w:color="0000EE"/>
            </w:tcBorders>
            <w:gridSpan w:val="15"/>
            <w:shd w:val="clear" w:color="auto" w:fill="CCEEFF"/>
          </w:tcPr>
          <w:p>
            <w:pPr>
              <w:spacing w:after="0" w:line="172" w:lineRule="exact"/>
              <w:rPr>
                <w:rFonts w:ascii="Times New Roman" w:cs="Times New Roman" w:eastAsia="Times New Roman" w:hAnsi="Times New Roman"/>
                <w:sz w:val="16"/>
                <w:szCs w:val="16"/>
                <w:b w:val="1"/>
                <w:bCs w:val="1"/>
                <w:color w:val="0000EE"/>
                <w:w w:val="99"/>
              </w:rPr>
            </w:pPr>
            <w:hyperlink r:id="rId343">
              <w:r>
                <w:rPr>
                  <w:rFonts w:ascii="Times New Roman" w:cs="Times New Roman" w:eastAsia="Times New Roman" w:hAnsi="Times New Roman"/>
                  <w:sz w:val="16"/>
                  <w:szCs w:val="16"/>
                  <w:b w:val="1"/>
                  <w:bCs w:val="1"/>
                  <w:color w:val="0000EE"/>
                  <w:w w:val="99"/>
                </w:rPr>
                <w:t>Employment Agreement between the Company and Rui Yang (3).</w:t>
              </w:r>
            </w:hyperlink>
          </w:p>
        </w:tc>
        <w:tc>
          <w:tcPr>
            <w:tcW w:w="5760" w:type="dxa"/>
            <w:vAlign w:val="bottom"/>
            <w:tcBorders>
              <w:bottom w:val="single" w:sz="8" w:color="CCEEFF"/>
            </w:tcBorders>
            <w:gridSpan w:val="11"/>
            <w:shd w:val="clear" w:color="auto" w:fill="CCEEFF"/>
          </w:tcPr>
          <w:p>
            <w:pPr>
              <w:spacing w:after="0"/>
              <w:rPr>
                <w:sz w:val="16"/>
                <w:szCs w:val="16"/>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10.6</w:t>
            </w:r>
          </w:p>
        </w:tc>
        <w:tc>
          <w:tcPr>
            <w:tcW w:w="10240" w:type="dxa"/>
            <w:vAlign w:val="bottom"/>
            <w:gridSpan w:val="26"/>
          </w:tcPr>
          <w:p>
            <w:pPr>
              <w:spacing w:after="0" w:line="156" w:lineRule="exact"/>
              <w:rPr>
                <w:rFonts w:ascii="Times New Roman" w:cs="Times New Roman" w:eastAsia="Times New Roman" w:hAnsi="Times New Roman"/>
                <w:sz w:val="16"/>
                <w:szCs w:val="16"/>
                <w:b w:val="1"/>
                <w:bCs w:val="1"/>
                <w:color w:val="0000EE"/>
              </w:rPr>
            </w:pPr>
            <w:hyperlink r:id="rId344">
              <w:r>
                <w:rPr>
                  <w:rFonts w:ascii="Times New Roman" w:cs="Times New Roman" w:eastAsia="Times New Roman" w:hAnsi="Times New Roman"/>
                  <w:sz w:val="16"/>
                  <w:szCs w:val="16"/>
                  <w:b w:val="1"/>
                  <w:bCs w:val="1"/>
                  <w:color w:val="0000EE"/>
                </w:rPr>
                <w:t>Employment Agreement between the Company and Li Li (5).</w:t>
              </w:r>
            </w:hyperlink>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10.7</w:t>
            </w:r>
          </w:p>
        </w:tc>
        <w:tc>
          <w:tcPr>
            <w:tcW w:w="10240" w:type="dxa"/>
            <w:vAlign w:val="bottom"/>
            <w:gridSpan w:val="26"/>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45">
              <w:r>
                <w:rPr>
                  <w:rFonts w:ascii="Times New Roman" w:cs="Times New Roman" w:eastAsia="Times New Roman" w:hAnsi="Times New Roman"/>
                  <w:sz w:val="16"/>
                  <w:szCs w:val="16"/>
                  <w:b w:val="1"/>
                  <w:bCs w:val="1"/>
                  <w:color w:val="0000EE"/>
                </w:rPr>
                <w:t>ANZ Global Services and Operations (Chengdu) Company Limited Agreement (1).</w:t>
              </w:r>
            </w:hyperlink>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10.8</w:t>
            </w:r>
          </w:p>
        </w:tc>
        <w:tc>
          <w:tcPr>
            <w:tcW w:w="5660" w:type="dxa"/>
            <w:vAlign w:val="bottom"/>
            <w:tcBorders>
              <w:top w:val="single" w:sz="8" w:color="0000EE"/>
            </w:tcBorders>
            <w:gridSpan w:val="21"/>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Master Lease Agreement - Shanghai Pudong Software Park Co., Ltd.</w:t>
            </w:r>
          </w:p>
        </w:tc>
        <w:tc>
          <w:tcPr>
            <w:tcW w:w="4580" w:type="dxa"/>
            <w:vAlign w:val="bottom"/>
            <w:tcBorders>
              <w:top w:val="single" w:sz="8" w:color="CCEEFF"/>
            </w:tcBorders>
            <w:gridSpan w:val="5"/>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10.9</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Master Lease Agreement - Shanghai Pudong Software Park Co., Ltd.</w:t>
            </w:r>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10.10</w:t>
            </w:r>
          </w:p>
        </w:tc>
        <w:tc>
          <w:tcPr>
            <w:tcW w:w="3440" w:type="dxa"/>
            <w:vAlign w:val="bottom"/>
            <w:tcBorders>
              <w:top w:val="single" w:sz="8" w:color="0000EE"/>
              <w:bottom w:val="single" w:sz="8" w:color="0000EE"/>
            </w:tcBorders>
            <w:gridSpan w:val="10"/>
          </w:tcPr>
          <w:p>
            <w:pPr>
              <w:spacing w:after="0" w:line="156" w:lineRule="exact"/>
              <w:rPr>
                <w:sz w:val="20"/>
                <w:szCs w:val="20"/>
                <w:color w:val="auto"/>
              </w:rPr>
            </w:pPr>
            <w:r>
              <w:rPr>
                <w:rFonts w:ascii="Times New Roman" w:cs="Times New Roman" w:eastAsia="Times New Roman" w:hAnsi="Times New Roman"/>
                <w:sz w:val="16"/>
                <w:szCs w:val="16"/>
                <w:b w:val="1"/>
                <w:bCs w:val="1"/>
                <w:color w:val="0000EE"/>
                <w:w w:val="99"/>
              </w:rPr>
              <w:t>Master Lease Agreement - Dalian High-Tech Park</w:t>
            </w:r>
          </w:p>
        </w:tc>
        <w:tc>
          <w:tcPr>
            <w:tcW w:w="1240" w:type="dxa"/>
            <w:vAlign w:val="bottom"/>
            <w:tcBorders>
              <w:top w:val="single" w:sz="8" w:color="0000EE"/>
            </w:tcBorders>
            <w:gridSpan w:val="8"/>
          </w:tcPr>
          <w:p>
            <w:pPr>
              <w:spacing w:after="0"/>
              <w:rPr>
                <w:sz w:val="13"/>
                <w:szCs w:val="13"/>
                <w:color w:val="auto"/>
              </w:rPr>
            </w:pPr>
          </w:p>
        </w:tc>
        <w:tc>
          <w:tcPr>
            <w:tcW w:w="5560" w:type="dxa"/>
            <w:vAlign w:val="bottom"/>
            <w:tcBorders>
              <w:top w:val="single" w:sz="8" w:color="CCEEFF"/>
            </w:tcBorders>
            <w:gridSpan w:val="8"/>
          </w:tcPr>
          <w:p>
            <w:pPr>
              <w:spacing w:after="0"/>
              <w:rPr>
                <w:sz w:val="13"/>
                <w:szCs w:val="13"/>
                <w:color w:val="auto"/>
              </w:rPr>
            </w:pPr>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10.11</w:t>
            </w:r>
          </w:p>
        </w:tc>
        <w:tc>
          <w:tcPr>
            <w:tcW w:w="4180" w:type="dxa"/>
            <w:vAlign w:val="bottom"/>
            <w:tcBorders>
              <w:bottom w:val="single" w:sz="8" w:color="0000EE"/>
              <w:right w:val="single" w:sz="8" w:color="CCEEFF"/>
            </w:tcBorders>
            <w:gridSpan w:val="14"/>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w w:val="99"/>
              </w:rPr>
              <w:t>Master Lease Agreement - Guangzhou Fengxing Plaza-A20F</w:t>
            </w:r>
          </w:p>
        </w:tc>
        <w:tc>
          <w:tcPr>
            <w:tcW w:w="6060" w:type="dxa"/>
            <w:vAlign w:val="bottom"/>
            <w:tcBorders>
              <w:bottom w:val="single" w:sz="8" w:color="CCEEFF"/>
            </w:tcBorders>
            <w:gridSpan w:val="12"/>
            <w:shd w:val="clear" w:color="auto" w:fill="CCEEFF"/>
          </w:tcPr>
          <w:p>
            <w:pPr>
              <w:spacing w:after="0"/>
              <w:rPr>
                <w:sz w:val="16"/>
                <w:szCs w:val="16"/>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10.12</w:t>
            </w:r>
          </w:p>
        </w:tc>
        <w:tc>
          <w:tcPr>
            <w:tcW w:w="4180" w:type="dxa"/>
            <w:vAlign w:val="bottom"/>
            <w:tcBorders>
              <w:bottom w:val="single" w:sz="8" w:color="0000EE"/>
            </w:tcBorders>
            <w:gridSpan w:val="14"/>
          </w:tcPr>
          <w:p>
            <w:pPr>
              <w:spacing w:after="0" w:line="156" w:lineRule="exact"/>
              <w:rPr>
                <w:sz w:val="20"/>
                <w:szCs w:val="20"/>
                <w:color w:val="auto"/>
              </w:rPr>
            </w:pPr>
            <w:r>
              <w:rPr>
                <w:rFonts w:ascii="Times New Roman" w:cs="Times New Roman" w:eastAsia="Times New Roman" w:hAnsi="Times New Roman"/>
                <w:sz w:val="16"/>
                <w:szCs w:val="16"/>
                <w:b w:val="1"/>
                <w:bCs w:val="1"/>
                <w:color w:val="0000EE"/>
                <w:w w:val="99"/>
              </w:rPr>
              <w:t>Master Lease Agreement - Guangzhou Fengxing Plaza-A21F</w:t>
            </w:r>
          </w:p>
        </w:tc>
        <w:tc>
          <w:tcPr>
            <w:tcW w:w="6060" w:type="dxa"/>
            <w:vAlign w:val="bottom"/>
            <w:gridSpan w:val="12"/>
          </w:tcPr>
          <w:p>
            <w:pPr>
              <w:spacing w:after="0"/>
              <w:rPr>
                <w:sz w:val="13"/>
                <w:szCs w:val="13"/>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10.13</w:t>
            </w:r>
          </w:p>
        </w:tc>
        <w:tc>
          <w:tcPr>
            <w:tcW w:w="10240" w:type="dxa"/>
            <w:vAlign w:val="bottom"/>
            <w:gridSpan w:val="26"/>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46">
              <w:r>
                <w:rPr>
                  <w:rFonts w:ascii="Times New Roman" w:cs="Times New Roman" w:eastAsia="Times New Roman" w:hAnsi="Times New Roman"/>
                  <w:sz w:val="16"/>
                  <w:szCs w:val="16"/>
                  <w:b w:val="1"/>
                  <w:bCs w:val="1"/>
                  <w:color w:val="0000EE"/>
                </w:rPr>
                <w:t>Form of Framework Contract for Subcontracting (1).</w:t>
              </w:r>
            </w:hyperlink>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10.14</w:t>
            </w:r>
          </w:p>
        </w:tc>
        <w:tc>
          <w:tcPr>
            <w:tcW w:w="2180" w:type="dxa"/>
            <w:vAlign w:val="bottom"/>
            <w:tcBorders>
              <w:top w:val="single" w:sz="8" w:color="0000EE"/>
              <w:bottom w:val="single" w:sz="8" w:color="0000EE"/>
            </w:tcBorders>
            <w:gridSpan w:val="3"/>
          </w:tcPr>
          <w:p>
            <w:pPr>
              <w:spacing w:after="0" w:line="156" w:lineRule="exact"/>
              <w:rPr>
                <w:rFonts w:ascii="Times New Roman" w:cs="Times New Roman" w:eastAsia="Times New Roman" w:hAnsi="Times New Roman"/>
                <w:sz w:val="16"/>
                <w:szCs w:val="16"/>
                <w:b w:val="1"/>
                <w:bCs w:val="1"/>
                <w:color w:val="0000EE"/>
              </w:rPr>
            </w:pPr>
            <w:hyperlink r:id="rId347">
              <w:r>
                <w:rPr>
                  <w:rFonts w:ascii="Times New Roman" w:cs="Times New Roman" w:eastAsia="Times New Roman" w:hAnsi="Times New Roman"/>
                  <w:sz w:val="16"/>
                  <w:szCs w:val="16"/>
                  <w:b w:val="1"/>
                  <w:bCs w:val="1"/>
                  <w:color w:val="0000EE"/>
                </w:rPr>
                <w:t>Form Warrant Agreement (2).</w:t>
              </w:r>
            </w:hyperlink>
          </w:p>
        </w:tc>
        <w:tc>
          <w:tcPr>
            <w:tcW w:w="1480" w:type="dxa"/>
            <w:vAlign w:val="bottom"/>
            <w:tcBorders>
              <w:top w:val="single" w:sz="8" w:color="0000EE"/>
            </w:tcBorders>
            <w:gridSpan w:val="8"/>
          </w:tcPr>
          <w:p>
            <w:pPr>
              <w:spacing w:after="0"/>
              <w:rPr>
                <w:sz w:val="13"/>
                <w:szCs w:val="13"/>
                <w:color w:val="auto"/>
              </w:rPr>
            </w:pPr>
          </w:p>
        </w:tc>
        <w:tc>
          <w:tcPr>
            <w:tcW w:w="6580" w:type="dxa"/>
            <w:vAlign w:val="bottom"/>
            <w:tcBorders>
              <w:top w:val="single" w:sz="8" w:color="CCEEFF"/>
            </w:tcBorders>
            <w:gridSpan w:val="15"/>
          </w:tcPr>
          <w:p>
            <w:pPr>
              <w:spacing w:after="0"/>
              <w:rPr>
                <w:sz w:val="13"/>
                <w:szCs w:val="13"/>
                <w:color w:val="auto"/>
              </w:rPr>
            </w:pP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10.15</w:t>
            </w:r>
          </w:p>
        </w:tc>
        <w:tc>
          <w:tcPr>
            <w:tcW w:w="10240" w:type="dxa"/>
            <w:vAlign w:val="bottom"/>
            <w:gridSpan w:val="26"/>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48">
              <w:r>
                <w:rPr>
                  <w:rFonts w:ascii="Times New Roman" w:cs="Times New Roman" w:eastAsia="Times New Roman" w:hAnsi="Times New Roman"/>
                  <w:sz w:val="16"/>
                  <w:szCs w:val="16"/>
                  <w:b w:val="1"/>
                  <w:bCs w:val="1"/>
                  <w:color w:val="0000EE"/>
                </w:rPr>
                <w:t>Form Lockup Agreement (2).</w:t>
              </w:r>
            </w:hyperlink>
          </w:p>
        </w:tc>
      </w:tr>
      <w:tr>
        <w:trPr>
          <w:trHeight w:val="36"/>
        </w:trPr>
        <w:tc>
          <w:tcPr>
            <w:tcW w:w="102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6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10.16</w:t>
            </w:r>
          </w:p>
        </w:tc>
        <w:tc>
          <w:tcPr>
            <w:tcW w:w="2700" w:type="dxa"/>
            <w:vAlign w:val="bottom"/>
            <w:tcBorders>
              <w:bottom w:val="single" w:sz="8" w:color="0000EE"/>
            </w:tcBorders>
            <w:gridSpan w:val="5"/>
          </w:tcPr>
          <w:p>
            <w:pPr>
              <w:spacing w:after="0" w:line="156" w:lineRule="exact"/>
              <w:rPr>
                <w:rFonts w:ascii="Times New Roman" w:cs="Times New Roman" w:eastAsia="Times New Roman" w:hAnsi="Times New Roman"/>
                <w:sz w:val="16"/>
                <w:szCs w:val="16"/>
                <w:b w:val="1"/>
                <w:bCs w:val="1"/>
                <w:color w:val="0000EE"/>
                <w:w w:val="99"/>
              </w:rPr>
            </w:pPr>
            <w:hyperlink r:id="rId349">
              <w:r>
                <w:rPr>
                  <w:rFonts w:ascii="Times New Roman" w:cs="Times New Roman" w:eastAsia="Times New Roman" w:hAnsi="Times New Roman"/>
                  <w:sz w:val="16"/>
                  <w:szCs w:val="16"/>
                  <w:b w:val="1"/>
                  <w:bCs w:val="1"/>
                  <w:color w:val="0000EE"/>
                  <w:w w:val="99"/>
                </w:rPr>
                <w:t>Escrow Indemnification Agreement (2).</w:t>
              </w:r>
            </w:hyperlink>
          </w:p>
        </w:tc>
        <w:tc>
          <w:tcPr>
            <w:tcW w:w="7540" w:type="dxa"/>
            <w:vAlign w:val="bottom"/>
            <w:gridSpan w:val="21"/>
          </w:tcPr>
          <w:p>
            <w:pPr>
              <w:spacing w:after="0"/>
              <w:rPr>
                <w:sz w:val="13"/>
                <w:szCs w:val="13"/>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10.17</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Credit Agreement with Bank of Shanghai Pudong Development Bank Co. Ltd-15 million</w:t>
            </w:r>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10.18</w:t>
            </w:r>
          </w:p>
        </w:tc>
        <w:tc>
          <w:tcPr>
            <w:tcW w:w="6040" w:type="dxa"/>
            <w:vAlign w:val="bottom"/>
            <w:tcBorders>
              <w:top w:val="single" w:sz="8" w:color="0000EE"/>
            </w:tcBorders>
            <w:gridSpan w:val="23"/>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Credit Agreement with Bank of Shanghai Pudong Development Bank Co. Ltd-23million</w:t>
            </w:r>
          </w:p>
        </w:tc>
        <w:tc>
          <w:tcPr>
            <w:tcW w:w="4200" w:type="dxa"/>
            <w:vAlign w:val="bottom"/>
            <w:tcBorders>
              <w:top w:val="single" w:sz="8" w:color="CCEEFF"/>
            </w:tcBorders>
            <w:gridSpan w:val="3"/>
          </w:tcPr>
          <w:p>
            <w:pPr>
              <w:spacing w:after="0"/>
              <w:rPr>
                <w:sz w:val="13"/>
                <w:szCs w:val="13"/>
                <w:color w:val="auto"/>
              </w:rPr>
            </w:pPr>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10.19</w:t>
            </w:r>
          </w:p>
        </w:tc>
        <w:tc>
          <w:tcPr>
            <w:tcW w:w="4600" w:type="dxa"/>
            <w:vAlign w:val="bottom"/>
            <w:tcBorders>
              <w:top w:val="single" w:sz="8" w:color="0000EE"/>
              <w:bottom w:val="single" w:sz="8" w:color="0000EE"/>
            </w:tcBorders>
            <w:gridSpan w:val="17"/>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w w:val="99"/>
              </w:rPr>
              <w:t>Credit Agreement with China Merchants Bank Co., Ltd.-10 million</w:t>
            </w:r>
          </w:p>
        </w:tc>
        <w:tc>
          <w:tcPr>
            <w:tcW w:w="1400" w:type="dxa"/>
            <w:vAlign w:val="bottom"/>
            <w:tcBorders>
              <w:top w:val="single" w:sz="8" w:color="0000EE"/>
              <w:bottom w:val="single" w:sz="8" w:color="CCEEFF"/>
            </w:tcBorders>
            <w:gridSpan w:val="5"/>
            <w:shd w:val="clear" w:color="auto" w:fill="CCEEFF"/>
          </w:tcPr>
          <w:p>
            <w:pPr>
              <w:spacing w:after="0"/>
              <w:rPr>
                <w:sz w:val="16"/>
                <w:szCs w:val="16"/>
                <w:color w:val="auto"/>
              </w:rPr>
            </w:pPr>
          </w:p>
        </w:tc>
        <w:tc>
          <w:tcPr>
            <w:tcW w:w="4240" w:type="dxa"/>
            <w:vAlign w:val="bottom"/>
            <w:tcBorders>
              <w:bottom w:val="single" w:sz="8" w:color="CCEEFF"/>
            </w:tcBorders>
            <w:gridSpan w:val="4"/>
            <w:shd w:val="clear" w:color="auto" w:fill="CCEEFF"/>
          </w:tcPr>
          <w:p>
            <w:pPr>
              <w:spacing w:after="0"/>
              <w:rPr>
                <w:sz w:val="16"/>
                <w:szCs w:val="16"/>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10.20</w:t>
            </w:r>
          </w:p>
        </w:tc>
        <w:tc>
          <w:tcPr>
            <w:tcW w:w="4600" w:type="dxa"/>
            <w:vAlign w:val="bottom"/>
            <w:tcBorders>
              <w:bottom w:val="single" w:sz="8" w:color="0000EE"/>
            </w:tcBorders>
            <w:gridSpan w:val="17"/>
          </w:tcPr>
          <w:p>
            <w:pPr>
              <w:spacing w:after="0" w:line="156" w:lineRule="exact"/>
              <w:rPr>
                <w:sz w:val="20"/>
                <w:szCs w:val="20"/>
                <w:color w:val="auto"/>
              </w:rPr>
            </w:pPr>
            <w:r>
              <w:rPr>
                <w:rFonts w:ascii="Times New Roman" w:cs="Times New Roman" w:eastAsia="Times New Roman" w:hAnsi="Times New Roman"/>
                <w:sz w:val="16"/>
                <w:szCs w:val="16"/>
                <w:b w:val="1"/>
                <w:bCs w:val="1"/>
                <w:color w:val="0000EE"/>
                <w:w w:val="99"/>
              </w:rPr>
              <w:t>Credit Agreement with China Merchants Bank Co., Ltd.-10 million</w:t>
            </w:r>
          </w:p>
        </w:tc>
        <w:tc>
          <w:tcPr>
            <w:tcW w:w="5640" w:type="dxa"/>
            <w:vAlign w:val="bottom"/>
            <w:gridSpan w:val="9"/>
          </w:tcPr>
          <w:p>
            <w:pPr>
              <w:spacing w:after="0"/>
              <w:rPr>
                <w:sz w:val="13"/>
                <w:szCs w:val="13"/>
                <w:color w:val="auto"/>
              </w:rPr>
            </w:pPr>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10.21</w:t>
            </w:r>
          </w:p>
        </w:tc>
        <w:tc>
          <w:tcPr>
            <w:tcW w:w="4600" w:type="dxa"/>
            <w:vAlign w:val="bottom"/>
            <w:tcBorders>
              <w:bottom w:val="single" w:sz="8" w:color="0000EE"/>
            </w:tcBorders>
            <w:gridSpan w:val="17"/>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w w:val="99"/>
              </w:rPr>
              <w:t>Credit Agreement with China Merchants Bank Co., Ltd.-60 million</w:t>
            </w:r>
          </w:p>
        </w:tc>
        <w:tc>
          <w:tcPr>
            <w:tcW w:w="5640" w:type="dxa"/>
            <w:vAlign w:val="bottom"/>
            <w:tcBorders>
              <w:bottom w:val="single" w:sz="8" w:color="CCEEFF"/>
            </w:tcBorders>
            <w:gridSpan w:val="9"/>
            <w:shd w:val="clear" w:color="auto" w:fill="CCEEFF"/>
          </w:tcPr>
          <w:p>
            <w:pPr>
              <w:spacing w:after="0"/>
              <w:rPr>
                <w:sz w:val="16"/>
                <w:szCs w:val="16"/>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10.22</w:t>
            </w:r>
          </w:p>
        </w:tc>
        <w:tc>
          <w:tcPr>
            <w:tcW w:w="10240" w:type="dxa"/>
            <w:vAlign w:val="bottom"/>
            <w:gridSpan w:val="26"/>
          </w:tcPr>
          <w:p>
            <w:pPr>
              <w:spacing w:after="0" w:line="156" w:lineRule="exact"/>
              <w:rPr>
                <w:rFonts w:ascii="Times New Roman" w:cs="Times New Roman" w:eastAsia="Times New Roman" w:hAnsi="Times New Roman"/>
                <w:sz w:val="16"/>
                <w:szCs w:val="16"/>
                <w:b w:val="1"/>
                <w:bCs w:val="1"/>
                <w:color w:val="0000EE"/>
              </w:rPr>
            </w:pPr>
            <w:hyperlink r:id="rId350">
              <w:r>
                <w:rPr>
                  <w:rFonts w:ascii="Times New Roman" w:cs="Times New Roman" w:eastAsia="Times New Roman" w:hAnsi="Times New Roman"/>
                  <w:sz w:val="16"/>
                  <w:szCs w:val="16"/>
                  <w:b w:val="1"/>
                  <w:bCs w:val="1"/>
                  <w:color w:val="0000EE"/>
                </w:rPr>
                <w:t>Credit Agreement with HSBC Bank (China) Limited- 10 million(7)</w:t>
              </w:r>
            </w:hyperlink>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10.23</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Credit Agreement with Bank of Communication Co., Ltd.-10 million</w:t>
            </w:r>
          </w:p>
        </w:tc>
      </w:tr>
      <w:tr>
        <w:trPr>
          <w:trHeight w:val="36"/>
        </w:trPr>
        <w:tc>
          <w:tcPr>
            <w:tcW w:w="102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6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10.24</w:t>
            </w:r>
          </w:p>
        </w:tc>
        <w:tc>
          <w:tcPr>
            <w:tcW w:w="10240" w:type="dxa"/>
            <w:vAlign w:val="bottom"/>
            <w:gridSpan w:val="26"/>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Credit Agreement with Bank of Communication Co., Ltd.-10 million</w:t>
            </w:r>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10.25</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Credit Agreement with Bank of Communication Co., Ltd.-10 million</w:t>
            </w:r>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10.26</w:t>
            </w:r>
          </w:p>
        </w:tc>
        <w:tc>
          <w:tcPr>
            <w:tcW w:w="4680" w:type="dxa"/>
            <w:vAlign w:val="bottom"/>
            <w:tcBorders>
              <w:top w:val="single" w:sz="8" w:color="0000EE"/>
            </w:tcBorders>
            <w:gridSpan w:val="18"/>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Credit Agreement with Industrial Bank Co., Ltd.- 4 million</w:t>
            </w:r>
          </w:p>
        </w:tc>
        <w:tc>
          <w:tcPr>
            <w:tcW w:w="5560" w:type="dxa"/>
            <w:vAlign w:val="bottom"/>
            <w:tcBorders>
              <w:top w:val="single" w:sz="8" w:color="CCEEFF"/>
            </w:tcBorders>
            <w:gridSpan w:val="8"/>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10.27</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Credit Agreement with Industrial Bank Co., Ltd.- 6 million</w:t>
            </w:r>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10.28</w:t>
            </w:r>
          </w:p>
        </w:tc>
        <w:tc>
          <w:tcPr>
            <w:tcW w:w="3680" w:type="dxa"/>
            <w:vAlign w:val="bottom"/>
            <w:tcBorders>
              <w:top w:val="single" w:sz="8" w:color="0000EE"/>
              <w:bottom w:val="single" w:sz="8" w:color="0000EE"/>
            </w:tcBorders>
            <w:gridSpan w:val="12"/>
          </w:tcPr>
          <w:p>
            <w:pPr>
              <w:spacing w:after="0" w:line="156" w:lineRule="exact"/>
              <w:rPr>
                <w:sz w:val="20"/>
                <w:szCs w:val="20"/>
                <w:color w:val="auto"/>
              </w:rPr>
            </w:pPr>
            <w:r>
              <w:rPr>
                <w:rFonts w:ascii="Times New Roman" w:cs="Times New Roman" w:eastAsia="Times New Roman" w:hAnsi="Times New Roman"/>
                <w:sz w:val="16"/>
                <w:szCs w:val="16"/>
                <w:b w:val="1"/>
                <w:bCs w:val="1"/>
                <w:color w:val="0000EE"/>
                <w:w w:val="99"/>
              </w:rPr>
              <w:t>Credit Agreement with China CITIC Bank-15 million</w:t>
            </w:r>
          </w:p>
        </w:tc>
        <w:tc>
          <w:tcPr>
            <w:tcW w:w="360" w:type="dxa"/>
            <w:vAlign w:val="bottom"/>
            <w:tcBorders>
              <w:top w:val="single" w:sz="8" w:color="0000EE"/>
            </w:tcBorders>
          </w:tcPr>
          <w:p>
            <w:pPr>
              <w:spacing w:after="0"/>
              <w:rPr>
                <w:sz w:val="13"/>
                <w:szCs w:val="13"/>
                <w:color w:val="auto"/>
              </w:rPr>
            </w:pPr>
          </w:p>
        </w:tc>
        <w:tc>
          <w:tcPr>
            <w:tcW w:w="6200" w:type="dxa"/>
            <w:vAlign w:val="bottom"/>
            <w:tcBorders>
              <w:top w:val="single" w:sz="8" w:color="CCEEFF"/>
            </w:tcBorders>
            <w:gridSpan w:val="13"/>
          </w:tcPr>
          <w:p>
            <w:pPr>
              <w:spacing w:after="0"/>
              <w:rPr>
                <w:sz w:val="13"/>
                <w:szCs w:val="13"/>
                <w:color w:val="auto"/>
              </w:rPr>
            </w:pP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11.1</w:t>
            </w:r>
          </w:p>
        </w:tc>
        <w:tc>
          <w:tcPr>
            <w:tcW w:w="10240" w:type="dxa"/>
            <w:vAlign w:val="bottom"/>
            <w:gridSpan w:val="26"/>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51">
              <w:r>
                <w:rPr>
                  <w:rFonts w:ascii="Times New Roman" w:cs="Times New Roman" w:eastAsia="Times New Roman" w:hAnsi="Times New Roman"/>
                  <w:sz w:val="16"/>
                  <w:szCs w:val="16"/>
                  <w:b w:val="1"/>
                  <w:bCs w:val="1"/>
                  <w:color w:val="0000EE"/>
                </w:rPr>
                <w:t>Insider Trading Policy(7)</w:t>
              </w:r>
            </w:hyperlink>
          </w:p>
        </w:tc>
      </w:tr>
      <w:tr>
        <w:trPr>
          <w:trHeight w:val="36"/>
        </w:trPr>
        <w:tc>
          <w:tcPr>
            <w:tcW w:w="102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6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12.1</w:t>
            </w:r>
          </w:p>
        </w:tc>
        <w:tc>
          <w:tcPr>
            <w:tcW w:w="9900" w:type="dxa"/>
            <w:vAlign w:val="bottom"/>
            <w:tcBorders>
              <w:bottom w:val="single" w:sz="8" w:color="0000EE"/>
            </w:tcBorders>
            <w:gridSpan w:val="24"/>
          </w:tcPr>
          <w:p>
            <w:pPr>
              <w:spacing w:after="0" w:line="156" w:lineRule="exact"/>
              <w:rPr>
                <w:sz w:val="20"/>
                <w:szCs w:val="20"/>
                <w:color w:val="auto"/>
              </w:rPr>
            </w:pPr>
            <w:r>
              <w:rPr>
                <w:rFonts w:ascii="Times New Roman" w:cs="Times New Roman" w:eastAsia="Times New Roman" w:hAnsi="Times New Roman"/>
                <w:sz w:val="16"/>
                <w:szCs w:val="16"/>
                <w:b w:val="1"/>
                <w:bCs w:val="1"/>
                <w:color w:val="0000EE"/>
                <w:w w:val="99"/>
              </w:rPr>
              <w:t>Certification of the Chief Executive Officer (Principal Executive Officer) pursuant to Rule 13a-14(a) of the Securities Exchange Act, as amended.</w:t>
            </w:r>
          </w:p>
        </w:tc>
        <w:tc>
          <w:tcPr>
            <w:tcW w:w="340" w:type="dxa"/>
            <w:vAlign w:val="bottom"/>
            <w:gridSpan w:val="2"/>
          </w:tcPr>
          <w:p>
            <w:pPr>
              <w:spacing w:after="0"/>
              <w:rPr>
                <w:sz w:val="13"/>
                <w:szCs w:val="13"/>
                <w:color w:val="auto"/>
              </w:rPr>
            </w:pP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12.2</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Certification of the Chief Financial Officer (Principal Financial Officer) pursuant to Rule 13a-14(a) of the Securities Exchange Act, as amended.</w:t>
            </w:r>
          </w:p>
        </w:tc>
      </w:tr>
      <w:tr>
        <w:trPr>
          <w:trHeight w:val="36"/>
        </w:trPr>
        <w:tc>
          <w:tcPr>
            <w:tcW w:w="102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36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60" w:type="dxa"/>
            <w:vAlign w:val="bottom"/>
            <w:tcBorders>
              <w:right w:val="single" w:sz="8" w:color="CCEEFF"/>
            </w:tcBorders>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13.1</w:t>
            </w:r>
          </w:p>
        </w:tc>
        <w:tc>
          <w:tcPr>
            <w:tcW w:w="10240" w:type="dxa"/>
            <w:vAlign w:val="bottom"/>
            <w:gridSpan w:val="26"/>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Certification of the Chief Executive Officer and Chief Financial Officer pursuant to 18 U.S.C. 1350, as adopted pursuant to Section 906 of the</w:t>
            </w:r>
          </w:p>
        </w:tc>
      </w:tr>
      <w:tr>
        <w:trPr>
          <w:trHeight w:val="172"/>
        </w:trPr>
        <w:tc>
          <w:tcPr>
            <w:tcW w:w="102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3"/>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Sarbanes-Oxley Act of 2002.</w:t>
            </w:r>
          </w:p>
        </w:tc>
        <w:tc>
          <w:tcPr>
            <w:tcW w:w="8040" w:type="dxa"/>
            <w:vAlign w:val="bottom"/>
            <w:tcBorders>
              <w:top w:val="single" w:sz="8" w:color="0000EE"/>
            </w:tcBorders>
            <w:gridSpan w:val="22"/>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14.1</w:t>
            </w:r>
          </w:p>
        </w:tc>
        <w:tc>
          <w:tcPr>
            <w:tcW w:w="10240" w:type="dxa"/>
            <w:vAlign w:val="bottom"/>
            <w:gridSpan w:val="26"/>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52">
              <w:r>
                <w:rPr>
                  <w:rFonts w:ascii="Times New Roman" w:cs="Times New Roman" w:eastAsia="Times New Roman" w:hAnsi="Times New Roman"/>
                  <w:sz w:val="16"/>
                  <w:szCs w:val="16"/>
                  <w:b w:val="1"/>
                  <w:bCs w:val="1"/>
                  <w:color w:val="0000EE"/>
                </w:rPr>
                <w:t>Code of Conduct and Ethics (1).</w:t>
              </w:r>
            </w:hyperlink>
          </w:p>
        </w:tc>
      </w:tr>
      <w:tr>
        <w:trPr>
          <w:trHeight w:val="36"/>
        </w:trPr>
        <w:tc>
          <w:tcPr>
            <w:tcW w:w="102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6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21.1</w:t>
            </w:r>
          </w:p>
        </w:tc>
        <w:tc>
          <w:tcPr>
            <w:tcW w:w="10240" w:type="dxa"/>
            <w:vAlign w:val="bottom"/>
            <w:gridSpan w:val="26"/>
          </w:tcPr>
          <w:p>
            <w:pPr>
              <w:spacing w:after="0" w:line="156" w:lineRule="exact"/>
              <w:rPr>
                <w:sz w:val="20"/>
                <w:szCs w:val="20"/>
                <w:color w:val="auto"/>
              </w:rPr>
            </w:pPr>
            <w:r>
              <w:rPr>
                <w:rFonts w:ascii="Times New Roman" w:cs="Times New Roman" w:eastAsia="Times New Roman" w:hAnsi="Times New Roman"/>
                <w:sz w:val="16"/>
                <w:szCs w:val="16"/>
                <w:b w:val="1"/>
                <w:bCs w:val="1"/>
                <w:color w:val="0000EE"/>
              </w:rPr>
              <w:t>List of Subsidiaries of the Registrant.</w:t>
            </w:r>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23.1</w:t>
            </w:r>
          </w:p>
        </w:tc>
        <w:tc>
          <w:tcPr>
            <w:tcW w:w="10240" w:type="dxa"/>
            <w:vAlign w:val="bottom"/>
            <w:gridSpan w:val="26"/>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0000EE"/>
              </w:rPr>
              <w:t>Consent of Ernst &amp; Young Hua Ming LLP.</w:t>
            </w:r>
          </w:p>
        </w:tc>
      </w:tr>
      <w:tr>
        <w:trPr>
          <w:trHeight w:val="156"/>
        </w:trPr>
        <w:tc>
          <w:tcPr>
            <w:tcW w:w="102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97.1</w:t>
            </w:r>
          </w:p>
        </w:tc>
        <w:tc>
          <w:tcPr>
            <w:tcW w:w="2960" w:type="dxa"/>
            <w:vAlign w:val="bottom"/>
            <w:tcBorders>
              <w:top w:val="single" w:sz="8" w:color="0000EE"/>
            </w:tcBorders>
            <w:gridSpan w:val="7"/>
          </w:tcPr>
          <w:p>
            <w:pPr>
              <w:spacing w:after="0" w:line="156" w:lineRule="exact"/>
              <w:rPr>
                <w:rFonts w:ascii="Times New Roman" w:cs="Times New Roman" w:eastAsia="Times New Roman" w:hAnsi="Times New Roman"/>
                <w:sz w:val="16"/>
                <w:szCs w:val="16"/>
                <w:b w:val="1"/>
                <w:bCs w:val="1"/>
                <w:color w:val="0000EE"/>
              </w:rPr>
            </w:pPr>
            <w:hyperlink r:id="rId353">
              <w:r>
                <w:rPr>
                  <w:rFonts w:ascii="Times New Roman" w:cs="Times New Roman" w:eastAsia="Times New Roman" w:hAnsi="Times New Roman"/>
                  <w:sz w:val="16"/>
                  <w:szCs w:val="16"/>
                  <w:b w:val="1"/>
                  <w:bCs w:val="1"/>
                  <w:color w:val="0000EE"/>
                </w:rPr>
                <w:t>Clawback Policy(7)</w:t>
              </w:r>
            </w:hyperlink>
          </w:p>
        </w:tc>
        <w:tc>
          <w:tcPr>
            <w:tcW w:w="7280" w:type="dxa"/>
            <w:vAlign w:val="bottom"/>
            <w:tcBorders>
              <w:top w:val="single" w:sz="8" w:color="CCEEFF"/>
            </w:tcBorders>
            <w:gridSpan w:val="19"/>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99.1</w:t>
            </w:r>
          </w:p>
        </w:tc>
        <w:tc>
          <w:tcPr>
            <w:tcW w:w="2540" w:type="dxa"/>
            <w:vAlign w:val="bottom"/>
            <w:tcBorders>
              <w:bottom w:val="single" w:sz="8" w:color="0000EE"/>
              <w:right w:val="single" w:sz="8" w:color="CCEEFF"/>
            </w:tcBorders>
            <w:gridSpan w:val="4"/>
            <w:shd w:val="clear" w:color="auto" w:fill="CCEEFF"/>
          </w:tcPr>
          <w:p>
            <w:pPr>
              <w:spacing w:after="0" w:line="172" w:lineRule="exact"/>
              <w:rPr>
                <w:rFonts w:ascii="Times New Roman" w:cs="Times New Roman" w:eastAsia="Times New Roman" w:hAnsi="Times New Roman"/>
                <w:sz w:val="16"/>
                <w:szCs w:val="16"/>
                <w:b w:val="1"/>
                <w:bCs w:val="1"/>
                <w:color w:val="0000EE"/>
              </w:rPr>
            </w:pPr>
            <w:hyperlink r:id="rId354">
              <w:r>
                <w:rPr>
                  <w:rFonts w:ascii="Times New Roman" w:cs="Times New Roman" w:eastAsia="Times New Roman" w:hAnsi="Times New Roman"/>
                  <w:sz w:val="16"/>
                  <w:szCs w:val="16"/>
                  <w:b w:val="1"/>
                  <w:bCs w:val="1"/>
                  <w:color w:val="0000EE"/>
                </w:rPr>
                <w:t>Charter of the Audit Committee (1).</w:t>
              </w:r>
            </w:hyperlink>
          </w:p>
        </w:tc>
        <w:tc>
          <w:tcPr>
            <w:tcW w:w="7700" w:type="dxa"/>
            <w:vAlign w:val="bottom"/>
            <w:tcBorders>
              <w:bottom w:val="single" w:sz="8" w:color="CCEEFF"/>
            </w:tcBorders>
            <w:gridSpan w:val="22"/>
            <w:shd w:val="clear" w:color="auto" w:fill="CCEEFF"/>
          </w:tcPr>
          <w:p>
            <w:pPr>
              <w:spacing w:after="0"/>
              <w:rPr>
                <w:sz w:val="16"/>
                <w:szCs w:val="16"/>
                <w:color w:val="auto"/>
              </w:rPr>
            </w:pP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6"/>
                <w:szCs w:val="16"/>
                <w:b w:val="1"/>
                <w:bCs w:val="1"/>
                <w:color w:val="auto"/>
              </w:rPr>
              <w:t>99.2</w:t>
            </w:r>
          </w:p>
        </w:tc>
        <w:tc>
          <w:tcPr>
            <w:tcW w:w="10240" w:type="dxa"/>
            <w:vAlign w:val="bottom"/>
            <w:gridSpan w:val="26"/>
          </w:tcPr>
          <w:p>
            <w:pPr>
              <w:spacing w:after="0" w:line="156" w:lineRule="exact"/>
              <w:rPr>
                <w:rFonts w:ascii="Times New Roman" w:cs="Times New Roman" w:eastAsia="Times New Roman" w:hAnsi="Times New Roman"/>
                <w:sz w:val="16"/>
                <w:szCs w:val="16"/>
                <w:b w:val="1"/>
                <w:bCs w:val="1"/>
                <w:color w:val="0000EE"/>
              </w:rPr>
            </w:pPr>
            <w:hyperlink r:id="rId355">
              <w:r>
                <w:rPr>
                  <w:rFonts w:ascii="Times New Roman" w:cs="Times New Roman" w:eastAsia="Times New Roman" w:hAnsi="Times New Roman"/>
                  <w:sz w:val="16"/>
                  <w:szCs w:val="16"/>
                  <w:b w:val="1"/>
                  <w:bCs w:val="1"/>
                  <w:color w:val="0000EE"/>
                </w:rPr>
                <w:t>Charter of the Compensation Committee (1).</w:t>
              </w:r>
            </w:hyperlink>
          </w:p>
        </w:tc>
      </w:tr>
      <w:tr>
        <w:trPr>
          <w:trHeight w:val="188"/>
        </w:trPr>
        <w:tc>
          <w:tcPr>
            <w:tcW w:w="1020" w:type="dxa"/>
            <w:vAlign w:val="bottom"/>
            <w:tcBorders>
              <w:bottom w:val="single" w:sz="8" w:color="CCEEFF"/>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99.3</w:t>
            </w:r>
          </w:p>
        </w:tc>
        <w:tc>
          <w:tcPr>
            <w:tcW w:w="2900" w:type="dxa"/>
            <w:vAlign w:val="bottom"/>
            <w:tcBorders>
              <w:top w:val="single" w:sz="8" w:color="0000EE"/>
              <w:bottom w:val="single" w:sz="8" w:color="0000EE"/>
            </w:tcBorders>
            <w:gridSpan w:val="6"/>
            <w:shd w:val="clear" w:color="auto" w:fill="CCEEFF"/>
          </w:tcPr>
          <w:p>
            <w:pPr>
              <w:spacing w:after="0" w:line="172" w:lineRule="exact"/>
              <w:rPr>
                <w:rFonts w:ascii="Times New Roman" w:cs="Times New Roman" w:eastAsia="Times New Roman" w:hAnsi="Times New Roman"/>
                <w:sz w:val="16"/>
                <w:szCs w:val="16"/>
                <w:b w:val="1"/>
                <w:bCs w:val="1"/>
                <w:color w:val="0000EE"/>
                <w:w w:val="99"/>
              </w:rPr>
            </w:pPr>
            <w:hyperlink r:id="rId356">
              <w:r>
                <w:rPr>
                  <w:rFonts w:ascii="Times New Roman" w:cs="Times New Roman" w:eastAsia="Times New Roman" w:hAnsi="Times New Roman"/>
                  <w:sz w:val="16"/>
                  <w:szCs w:val="16"/>
                  <w:b w:val="1"/>
                  <w:bCs w:val="1"/>
                  <w:color w:val="0000EE"/>
                  <w:w w:val="99"/>
                </w:rPr>
                <w:t>Charter of the Nominating Committee (1).</w:t>
              </w:r>
            </w:hyperlink>
          </w:p>
        </w:tc>
        <w:tc>
          <w:tcPr>
            <w:tcW w:w="160" w:type="dxa"/>
            <w:vAlign w:val="bottom"/>
            <w:tcBorders>
              <w:top w:val="single" w:sz="8" w:color="0000EE"/>
              <w:bottom w:val="single" w:sz="8" w:color="CCEEFF"/>
            </w:tcBorders>
            <w:gridSpan w:val="2"/>
            <w:shd w:val="clear" w:color="auto" w:fill="CCEEFF"/>
          </w:tcPr>
          <w:p>
            <w:pPr>
              <w:spacing w:after="0"/>
              <w:rPr>
                <w:sz w:val="16"/>
                <w:szCs w:val="16"/>
                <w:color w:val="auto"/>
              </w:rPr>
            </w:pPr>
          </w:p>
        </w:tc>
        <w:tc>
          <w:tcPr>
            <w:tcW w:w="7180" w:type="dxa"/>
            <w:vAlign w:val="bottom"/>
            <w:tcBorders>
              <w:bottom w:val="single" w:sz="8" w:color="CCEEFF"/>
            </w:tcBorders>
            <w:gridSpan w:val="18"/>
            <w:shd w:val="clear" w:color="auto" w:fill="CCEEFF"/>
          </w:tcPr>
          <w:p>
            <w:pPr>
              <w:spacing w:after="0"/>
              <w:rPr>
                <w:sz w:val="16"/>
                <w:szCs w:val="16"/>
                <w:color w:val="auto"/>
              </w:rPr>
            </w:pPr>
          </w:p>
        </w:tc>
      </w:tr>
      <w:tr>
        <w:trPr>
          <w:trHeight w:val="19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101.INS</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Inline XBRL Instance Document.</w:t>
            </w:r>
          </w:p>
        </w:tc>
      </w:tr>
      <w:tr>
        <w:trPr>
          <w:trHeight w:val="19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101.SCH</w:t>
            </w:r>
          </w:p>
        </w:tc>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Inline XBRL Taxonomy Extension Schema Document.</w:t>
            </w:r>
          </w:p>
        </w:tc>
      </w:tr>
      <w:tr>
        <w:trPr>
          <w:trHeight w:val="19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101.CAL</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Inline XBRL Taxonomy Extension Calculation Linkbase Document.</w:t>
            </w:r>
          </w:p>
        </w:tc>
      </w:tr>
      <w:tr>
        <w:trPr>
          <w:trHeight w:val="19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101.DEF</w:t>
            </w:r>
          </w:p>
        </w:tc>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Inline XBRL Taxonomy Extension Definition Linkbase Document.</w:t>
            </w:r>
          </w:p>
        </w:tc>
      </w:tr>
      <w:tr>
        <w:trPr>
          <w:trHeight w:val="19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101.LAB</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Inline XBRL Taxonomy Extension Label Linkbase Document.</w:t>
            </w:r>
          </w:p>
        </w:tc>
      </w:tr>
      <w:tr>
        <w:trPr>
          <w:trHeight w:val="19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101.PRE</w:t>
            </w:r>
          </w:p>
        </w:tc>
        <w:tc>
          <w:tcPr>
            <w:tcW w:w="10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Inline XBRL Taxonomy Extension Presentation Linkbase Document.</w:t>
            </w:r>
          </w:p>
        </w:tc>
      </w:tr>
      <w:tr>
        <w:trPr>
          <w:trHeight w:val="21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104</w:t>
            </w:r>
          </w:p>
        </w:tc>
        <w:tc>
          <w:tcPr>
            <w:tcW w:w="1024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Cover Page Interactive Data File (formatted as Inline XBRL and contained in Exhibit 101).</w:t>
            </w:r>
          </w:p>
        </w:tc>
      </w:tr>
    </w:tbl>
    <w:p>
      <w:pPr>
        <w:spacing w:after="0" w:line="97" w:lineRule="exact"/>
        <w:rPr>
          <w:sz w:val="20"/>
          <w:szCs w:val="20"/>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part of the registration statement filed with the SEC on March 27, 2018 and incorporated by reference herein.</w:t>
      </w:r>
    </w:p>
    <w:p>
      <w:pPr>
        <w:spacing w:after="0" w:line="24"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the SEC as exhibit to Form F-1/A filed on May 18, 2018 and incorporated by reference herein.</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exhibit to Form 6-K filed with the SEC on November 4, 2019 and incorporated by reference herein.</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the SEC on Form 8-A 12B on May 22, 2018 and incorporated by reference herein.</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the SEC as an exhibit to Form 20-F on October 22, 2020 and incorporated by reference herein.</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part of the registration statement filed with the SEC on May 12, 2023 and incorporated by reference herein.</w:t>
      </w:r>
    </w:p>
    <w:p>
      <w:pPr>
        <w:spacing w:after="0" w:line="8"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with the SEC as an exhibit to Form 20-F on October 18, 2024 and incorporated by reference herein.</w:t>
      </w:r>
    </w:p>
    <w:p>
      <w:pPr>
        <w:spacing w:after="0" w:line="3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22" w:right="31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3" w:lineRule="exact"/>
        <w:rPr>
          <w:sz w:val="20"/>
          <w:szCs w:val="20"/>
          <w:color w:val="auto"/>
        </w:rPr>
      </w:pPr>
    </w:p>
    <w:p>
      <w:pPr>
        <w:ind w:right="20" w:firstLine="577"/>
        <w:spacing w:after="0" w:line="283"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300" w:type="dxa"/>
            <w:vAlign w:val="bottom"/>
          </w:tcPr>
          <w:p>
            <w:pPr>
              <w:spacing w:after="0"/>
              <w:rPr>
                <w:sz w:val="18"/>
                <w:szCs w:val="18"/>
                <w:color w:val="auto"/>
              </w:rPr>
            </w:pPr>
          </w:p>
        </w:tc>
        <w:tc>
          <w:tcPr>
            <w:tcW w:w="7960" w:type="dxa"/>
            <w:vAlign w:val="bottom"/>
            <w:gridSpan w:val="3"/>
          </w:tcPr>
          <w:p>
            <w:pPr>
              <w:ind w:left="3460"/>
              <w:spacing w:after="0"/>
              <w:rPr>
                <w:sz w:val="20"/>
                <w:szCs w:val="20"/>
                <w:color w:val="auto"/>
              </w:rPr>
            </w:pPr>
            <w:r>
              <w:rPr>
                <w:rFonts w:ascii="Times New Roman" w:cs="Times New Roman" w:eastAsia="Times New Roman" w:hAnsi="Times New Roman"/>
                <w:sz w:val="16"/>
                <w:szCs w:val="16"/>
                <w:b w:val="1"/>
                <w:bCs w:val="1"/>
                <w:color w:val="auto"/>
              </w:rPr>
              <w:t>CLPS Incorporation</w:t>
            </w:r>
          </w:p>
        </w:tc>
      </w:tr>
      <w:tr>
        <w:trPr>
          <w:trHeight w:val="38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October 17, 2025</w:t>
            </w:r>
          </w:p>
        </w:tc>
        <w:tc>
          <w:tcPr>
            <w:tcW w:w="380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Raymond Ming Hui Lin</w:t>
            </w:r>
          </w:p>
        </w:tc>
      </w:tr>
      <w:tr>
        <w:trPr>
          <w:trHeight w:val="176"/>
        </w:trPr>
        <w:tc>
          <w:tcPr>
            <w:tcW w:w="33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Name:  Raymond Ming Hui Lin</w:t>
            </w:r>
          </w:p>
        </w:tc>
      </w:tr>
      <w:tr>
        <w:trPr>
          <w:trHeight w:val="192"/>
        </w:trPr>
        <w:tc>
          <w:tcPr>
            <w:tcW w:w="3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9"/>
        </w:trPr>
        <w:tc>
          <w:tcPr>
            <w:tcW w:w="3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8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October 17, 2025</w:t>
            </w:r>
          </w:p>
        </w:tc>
        <w:tc>
          <w:tcPr>
            <w:tcW w:w="380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Rui Yang</w:t>
            </w:r>
          </w:p>
        </w:tc>
      </w:tr>
      <w:tr>
        <w:trPr>
          <w:trHeight w:val="176"/>
        </w:trPr>
        <w:tc>
          <w:tcPr>
            <w:tcW w:w="33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Name:</w:t>
            </w:r>
          </w:p>
        </w:tc>
        <w:tc>
          <w:tcPr>
            <w:tcW w:w="3660" w:type="dxa"/>
            <w:vAlign w:val="bottom"/>
          </w:tcPr>
          <w:p>
            <w:pPr>
              <w:ind w:left="60"/>
              <w:spacing w:after="0" w:line="176" w:lineRule="exact"/>
              <w:rPr>
                <w:sz w:val="20"/>
                <w:szCs w:val="20"/>
                <w:color w:val="auto"/>
              </w:rPr>
            </w:pPr>
            <w:r>
              <w:rPr>
                <w:rFonts w:ascii="Times New Roman" w:cs="Times New Roman" w:eastAsia="Times New Roman" w:hAnsi="Times New Roman"/>
                <w:sz w:val="16"/>
                <w:szCs w:val="16"/>
                <w:color w:val="auto"/>
              </w:rPr>
              <w:t>Rui Yang</w:t>
            </w:r>
          </w:p>
        </w:tc>
      </w:tr>
      <w:tr>
        <w:trPr>
          <w:trHeight w:val="192"/>
        </w:trPr>
        <w:tc>
          <w:tcPr>
            <w:tcW w:w="3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9"/>
        </w:trPr>
        <w:tc>
          <w:tcPr>
            <w:tcW w:w="33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581"/>
        </w:trPr>
        <w:tc>
          <w:tcPr>
            <w:tcW w:w="33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1280"/>
              <w:spacing w:after="0"/>
              <w:rPr>
                <w:sz w:val="20"/>
                <w:szCs w:val="20"/>
                <w:color w:val="auto"/>
              </w:rPr>
            </w:pPr>
            <w:r>
              <w:rPr>
                <w:rFonts w:ascii="Times New Roman" w:cs="Times New Roman" w:eastAsia="Times New Roman" w:hAnsi="Times New Roman"/>
                <w:sz w:val="16"/>
                <w:szCs w:val="16"/>
                <w:color w:val="auto"/>
              </w:rPr>
              <w:t>130</w:t>
            </w:r>
          </w:p>
        </w:tc>
        <w:tc>
          <w:tcPr>
            <w:tcW w:w="5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94" w:right="319" w:bottom="1440" w:gutter="0" w:footer="0" w:header="0"/>
        </w:sectPr>
      </w:pPr>
    </w:p>
    <w:bookmarkStart w:id="194" w:name="page195"/>
    <w:bookmarkEnd w:id="194"/>
    <w:p>
      <w:pPr>
        <w:ind w:left="10260"/>
        <w:spacing w:after="0"/>
        <w:rPr>
          <w:sz w:val="20"/>
          <w:szCs w:val="20"/>
          <w:color w:val="auto"/>
        </w:rPr>
      </w:pPr>
      <w:r>
        <w:rPr>
          <w:rFonts w:ascii="Times New Roman" w:cs="Times New Roman" w:eastAsia="Times New Roman" w:hAnsi="Times New Roman"/>
          <w:sz w:val="19"/>
          <w:szCs w:val="19"/>
          <w:b w:val="1"/>
          <w:bCs w:val="1"/>
          <w:color w:val="auto"/>
        </w:rPr>
        <w:t>Exhibit 10.8</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Rental Contract for Shanghai Pudong Software Park Guo Shoujing Park</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Contract No: ZL (N) 20230061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Both parties to this contract: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 (Lessor): Shanghai Pudong Software Park Co., Ltd.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B (Lessee): Shanghai Chenqin Information Technology Services Co., Ltd.</w:t>
      </w:r>
    </w:p>
    <w:p>
      <w:pPr>
        <w:spacing w:after="0" w:line="19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According to </w:t>
      </w:r>
      <w:r>
        <w:rPr>
          <w:rFonts w:ascii="Times New Roman" w:cs="Times New Roman" w:eastAsia="Times New Roman" w:hAnsi="Times New Roman"/>
          <w:sz w:val="16"/>
          <w:szCs w:val="16"/>
          <w:b w:val="1"/>
          <w:bCs w:val="1"/>
          <w:i w:val="1"/>
          <w:iCs w:val="1"/>
          <w:color w:val="auto"/>
        </w:rPr>
        <w:t>Contract Law of the People’s Republic of China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Regulations of Shanghai Municipality on House Leasing</w:t>
      </w:r>
      <w:r>
        <w:rPr>
          <w:rFonts w:ascii="Times New Roman" w:cs="Times New Roman" w:eastAsia="Times New Roman" w:hAnsi="Times New Roman"/>
          <w:sz w:val="16"/>
          <w:szCs w:val="16"/>
          <w:color w:val="auto"/>
        </w:rPr>
        <w:t>, both parties conclude the contract on the basis of equality, voluntariness, fairness, honesty and credibility, for consenting that Party B should lease the house that Party A can lease according to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w:t>
      </w:r>
    </w:p>
    <w:p>
      <w:pPr>
        <w:spacing w:after="0" w:line="201"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The house which is rented to Party B by Party A is located in Room 18101/18102/18103/18104, Building 17, Guo Shoujing Road No.498, Zhang Jiang High Tech Park, Pudong, Shanghai (hereinafter referred to as “the House”). The building area of the House is 914.62 square meters. The House should be used for research and development and office. The structure of the House is reinforced concrete structure. The plan of the house is shown in Annex I of this contract.</w:t>
      </w:r>
    </w:p>
    <w:p>
      <w:pPr>
        <w:spacing w:after="0" w:line="156" w:lineRule="exact"/>
        <w:rPr>
          <w:sz w:val="20"/>
          <w:szCs w:val="20"/>
          <w:color w:val="auto"/>
        </w:rPr>
      </w:pPr>
    </w:p>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Party A establishes a leasing relationship with Party B as the real estate owner of the House. Party A has told Party B and Party B has fully known that the House has been mortgaged before the contract is signed.</w:t>
      </w:r>
    </w:p>
    <w:p>
      <w:pPr>
        <w:spacing w:after="0" w:line="143" w:lineRule="exact"/>
        <w:rPr>
          <w:sz w:val="20"/>
          <w:szCs w:val="20"/>
          <w:color w:val="auto"/>
        </w:rPr>
      </w:pPr>
    </w:p>
    <w:p>
      <w:pPr>
        <w:jc w:val="both"/>
        <w:ind w:left="58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62" w:lineRule="exact"/>
        <w:rPr>
          <w:sz w:val="20"/>
          <w:szCs w:val="20"/>
          <w:color w:val="auto"/>
        </w:rPr>
      </w:pPr>
    </w:p>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47560"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color w:val="auto"/>
        </w:rPr>
        <w:t>2. Rental Purposes</w:t>
      </w:r>
    </w:p>
    <w:p>
      <w:pPr>
        <w:spacing w:after="0" w:line="201" w:lineRule="exact"/>
        <w:rPr>
          <w:sz w:val="20"/>
          <w:szCs w:val="20"/>
          <w:color w:val="auto"/>
        </w:rPr>
      </w:pPr>
    </w:p>
    <w:p>
      <w:pPr>
        <w:jc w:val="both"/>
        <w:ind w:left="58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43" w:lineRule="exact"/>
        <w:rPr>
          <w:sz w:val="20"/>
          <w:szCs w:val="20"/>
          <w:color w:val="auto"/>
        </w:rPr>
      </w:pPr>
    </w:p>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Lease Term</w:t>
      </w:r>
    </w:p>
    <w:p>
      <w:pPr>
        <w:spacing w:after="0" w:line="201" w:lineRule="exact"/>
        <w:rPr>
          <w:sz w:val="20"/>
          <w:szCs w:val="20"/>
          <w:color w:val="auto"/>
        </w:rPr>
      </w:pPr>
    </w:p>
    <w:p>
      <w:pPr>
        <w:jc w:val="both"/>
        <w:ind w:left="58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lease term of the house starts from September 16, 2023 (hereinafter referred to as the lease commencement date) to September 15, 2026 (hereinafter referred to as the lease expiration date).</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delivery date of the house is September 16, 2023.</w:t>
      </w:r>
    </w:p>
    <w:p>
      <w:pPr>
        <w:spacing w:after="0" w:line="201" w:lineRule="exact"/>
        <w:rPr>
          <w:sz w:val="20"/>
          <w:szCs w:val="20"/>
          <w:color w:val="auto"/>
        </w:rPr>
      </w:pPr>
    </w:p>
    <w:p>
      <w:pPr>
        <w:jc w:val="both"/>
        <w:ind w:left="58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Party A shall notify Party B of the acceptance and handover of the house at least one day in advance and no later than the delivery date. Party B shall send a representative to jointly accept the house with Party A and / or the property management company entrusted by Party A at the time notified by Party A.After the acceptance, Party B shall sign the written House acceptance handover certificate to show that Party A has delivered the house to Party B.</w:t>
      </w:r>
    </w:p>
    <w:p>
      <w:pPr>
        <w:spacing w:after="0" w:line="156" w:lineRule="exact"/>
        <w:rPr>
          <w:sz w:val="20"/>
          <w:szCs w:val="20"/>
          <w:color w:val="auto"/>
        </w:rPr>
      </w:pPr>
    </w:p>
    <w:p>
      <w:pPr>
        <w:jc w:val="both"/>
        <w:ind w:left="580" w:right="20"/>
        <w:spacing w:after="0" w:line="267" w:lineRule="auto"/>
        <w:rPr>
          <w:sz w:val="20"/>
          <w:szCs w:val="20"/>
          <w:color w:val="auto"/>
        </w:rPr>
      </w:pPr>
      <w:r>
        <w:rPr>
          <w:rFonts w:ascii="Times New Roman" w:cs="Times New Roman" w:eastAsia="Times New Roman" w:hAnsi="Times New Roman"/>
          <w:sz w:val="16"/>
          <w:szCs w:val="16"/>
          <w:color w:val="auto"/>
        </w:rPr>
        <w:t>If both parties check that the house and its ancillary facilities do not meet the delivery standards agreed in this contract, Party A shall correct them within 3 days or within a reasonable period agreed by both parties to meet the delivery standards, and notify Party B and Party A to jointly accept the house again.After the re acceptance, Party B shall sign the written House acceptance handover letter to show that Party A has delivered the house to Party B.</w:t>
      </w:r>
    </w:p>
    <w:p>
      <w:pPr>
        <w:spacing w:after="0" w:line="156"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6"/>
          <w:szCs w:val="16"/>
          <w:color w:val="auto"/>
        </w:rPr>
        <w:t>If Party A fails to deliver the house to Party B as of the lease commencement date of Article 31, Party A shall extend the lease commencement date of Party B, and the new lease commencement date shall be calculated from the actual delivery date.From the lease date of Article 3.1, if the delivery of the house is delayed for more than 10 working days due to Party A, Party A shall pay Party B 10% of the daily rent of the house as liquidated damages for each delayed delivery day from the first working day after the lease date of Article 3.1, and postpone Party B&amp;apos;s lease date. The new lease date shall be calculated from the actual delivery date.If the starting date of rent is postponed according to this paragraph, the starting date of rent shall be postponed accordingly.If the aforesaid breach of contract by Party A lasts for more than 30 days, Party B has the right to terminate this contract.</w:t>
      </w:r>
    </w:p>
    <w:p>
      <w:pPr>
        <w:spacing w:after="0" w:line="165"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3-4</w:t>
      </w:r>
      <w:r>
        <w:rPr>
          <w:sz w:val="20"/>
          <w:szCs w:val="20"/>
          <w:color w:val="auto"/>
        </w:rPr>
        <w:tab/>
      </w:r>
      <w:r>
        <w:rPr>
          <w:rFonts w:ascii="Times New Roman" w:cs="Times New Roman" w:eastAsia="Times New Roman" w:hAnsi="Times New Roman"/>
          <w:sz w:val="16"/>
          <w:szCs w:val="16"/>
          <w:color w:val="auto"/>
        </w:rPr>
        <w:t>Party B shall handle the relevant handover procedures of the leased house no later than the delivery date. Party B&amp;apos;s delay in handling the handover procedures will not affect the rent payable by Party B from the date of rent payment and other expenses borne by Party B.If the relevant handover procedures are not completed within 30 days after the delivery date agreed in the contract due to Party B, Party A has the right to terminate the contract.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color w:val="auto"/>
        </w:rPr>
        <w:t>4. Rent and Payment Methods</w:t>
      </w:r>
    </w:p>
    <w:p>
      <w:pPr>
        <w:spacing w:after="0" w:line="201" w:lineRule="exact"/>
        <w:rPr>
          <w:sz w:val="20"/>
          <w:szCs w:val="20"/>
          <w:color w:val="auto"/>
        </w:rPr>
      </w:pPr>
    </w:p>
    <w:p>
      <w:pPr>
        <w:jc w:val="both"/>
        <w:ind w:left="58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Party A and Party B agree that the rental unit price of the house is calculated according to the construction area per square meter per day, and Party A will issue a valid invoice after receiving Party B’s monthly rent. Within the lease term agreed in this Contract,Since October 16, 2023 Until the rent deadline it’s the rental period.</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Within the lease term in this contract,Rent-free period from September 16, 2023 to October 15,2023</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Within the lease term in this contract,Rent-free period from September 16, 2024 to October 15,2024</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Within the lease term in this contract,Rent-free period from September 16, 2025 to October 15,2025</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From October 16</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,2023 to December 15</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,2024, the unit rental price is RMB 4.08 yuan</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From October 16</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,2024 to December 15</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,2025, the unit rental price is RMB 4.16 yuan</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From October 16</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,2025 to December 15</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color w:val="auto"/>
        </w:rPr>
        <w:t xml:space="preserve"> ,2026, the unit rental price is RMB 4.24 yuan</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above unit rental prices are tax-inclusive prices)</w:t>
      </w:r>
    </w:p>
    <w:p>
      <w:pPr>
        <w:spacing w:after="0" w:line="201" w:lineRule="exact"/>
        <w:rPr>
          <w:sz w:val="20"/>
          <w:szCs w:val="20"/>
          <w:color w:val="auto"/>
        </w:rPr>
      </w:pPr>
    </w:p>
    <w:p>
      <w:pPr>
        <w:jc w:val="both"/>
        <w:ind w:left="580" w:hanging="576"/>
        <w:spacing w:after="0" w:line="198" w:lineRule="exact"/>
        <w:tabs>
          <w:tab w:leader="none" w:pos="56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unit rental price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calendar days of the month. The monthly rental amount is rounded to one decimal place). Party B should pay the rent to</w:t>
      </w:r>
    </w:p>
    <w:p>
      <w:pPr>
        <w:spacing w:after="0" w:line="2" w:lineRule="exact"/>
        <w:rPr>
          <w:sz w:val="20"/>
          <w:szCs w:val="20"/>
          <w:color w:val="auto"/>
        </w:rPr>
      </w:pPr>
    </w:p>
    <w:p>
      <w:pPr>
        <w:ind w:left="580"/>
        <w:spacing w:after="0" w:line="208" w:lineRule="auto"/>
        <w:rPr>
          <w:sz w:val="20"/>
          <w:szCs w:val="20"/>
          <w:color w:val="auto"/>
        </w:rPr>
      </w:pPr>
      <w:r>
        <w:rPr>
          <w:rFonts w:ascii="Times New Roman" w:cs="Times New Roman" w:eastAsia="Times New Roman" w:hAnsi="Times New Roman"/>
          <w:sz w:val="16"/>
          <w:szCs w:val="16"/>
          <w:color w:val="auto"/>
        </w:rPr>
        <w:t>Party A before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w:t>
      </w:r>
    </w:p>
    <w:p>
      <w:pPr>
        <w:spacing w:after="0" w:line="1" w:lineRule="exact"/>
        <w:rPr>
          <w:sz w:val="20"/>
          <w:szCs w:val="20"/>
          <w:color w:val="auto"/>
        </w:rPr>
      </w:pPr>
    </w:p>
    <w:p>
      <w:pPr>
        <w:ind w:left="580" w:right="20"/>
        <w:spacing w:after="0" w:line="209" w:lineRule="auto"/>
        <w:rPr>
          <w:sz w:val="20"/>
          <w:szCs w:val="20"/>
          <w:color w:val="auto"/>
        </w:rPr>
      </w:pPr>
      <w:r>
        <w:rPr>
          <w:rFonts w:ascii="Times New Roman" w:cs="Times New Roman" w:eastAsia="Times New Roman" w:hAnsi="Times New Roman"/>
          <w:sz w:val="16"/>
          <w:szCs w:val="16"/>
          <w:color w:val="auto"/>
        </w:rPr>
        <w:t>month are not less than 10, the last month’s rent should be paid before the10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7" w:name="page198"/>
    <w:bookmarkEnd w:id="197"/>
    <w:p>
      <w:pPr>
        <w:jc w:val="both"/>
        <w:ind w:left="58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5"/>
          <w:szCs w:val="15"/>
          <w:color w:val="auto"/>
        </w:rPr>
        <w:t>Party B pays the rent to Party A’s following account by check or transfer: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Shanghai Pudong Software Park Co., Ltd.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1001194909004601783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ICBC Shanghai Zhangjiang sub branch</w:t>
      </w:r>
    </w:p>
    <w:p>
      <w:pPr>
        <w:spacing w:after="0" w:line="184"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color w:val="auto"/>
        </w:rPr>
        <w:t>Party A may entrust a property management company to assist in collecting the rent.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Rental Deposit and Other Fees</w:t>
      </w:r>
    </w:p>
    <w:p>
      <w:pPr>
        <w:spacing w:after="0" w:line="201" w:lineRule="exact"/>
        <w:rPr>
          <w:sz w:val="20"/>
          <w:szCs w:val="20"/>
          <w:color w:val="auto"/>
        </w:rPr>
      </w:pPr>
    </w:p>
    <w:p>
      <w:pPr>
        <w:jc w:val="both"/>
        <w:ind w:left="580" w:right="2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RMB349,019 yuan. Party A shall issue a receipt to Party B after receiving the deposit. If Party B fails to pay the lease deposit in full to Party A in accordance with the provisions of this contract, Party B shall pay Party A late payment fee of 0.03% of the outstanding amount per day, until the full payment is completed. If Party B delays or fails to pay more than 15 working days, Party A has the right to rescind the contract.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198" w:name="page199"/>
    <w:bookmarkEnd w:id="198"/>
    <w:p>
      <w:pPr>
        <w:jc w:val="both"/>
        <w:ind w:left="580" w:right="20"/>
        <w:spacing w:after="0" w:line="259" w:lineRule="auto"/>
        <w:rPr>
          <w:sz w:val="20"/>
          <w:szCs w:val="20"/>
          <w:color w:val="auto"/>
        </w:rPr>
      </w:pPr>
      <w:r>
        <w:rPr>
          <w:rFonts w:ascii="Times New Roman" w:cs="Times New Roman" w:eastAsia="Times New Roman" w:hAnsi="Times New Roman"/>
          <w:sz w:val="16"/>
          <w:szCs w:val="16"/>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62" w:lineRule="exact"/>
        <w:rPr>
          <w:sz w:val="20"/>
          <w:szCs w:val="20"/>
          <w:color w:val="auto"/>
        </w:rPr>
      </w:pPr>
    </w:p>
    <w:p>
      <w:pPr>
        <w:jc w:val="both"/>
        <w:ind w:left="580" w:right="20"/>
        <w:spacing w:after="0" w:line="259" w:lineRule="auto"/>
        <w:rPr>
          <w:sz w:val="20"/>
          <w:szCs w:val="20"/>
          <w:color w:val="auto"/>
        </w:rPr>
      </w:pPr>
      <w:r>
        <w:rPr>
          <w:rFonts w:ascii="Times New Roman" w:cs="Times New Roman" w:eastAsia="Times New Roman" w:hAnsi="Times New Roman"/>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62" w:lineRule="exact"/>
        <w:rPr>
          <w:sz w:val="20"/>
          <w:szCs w:val="20"/>
          <w:color w:val="auto"/>
        </w:rPr>
      </w:pPr>
    </w:p>
    <w:p>
      <w:pPr>
        <w:jc w:val="both"/>
        <w:ind w:left="58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162" w:lineRule="exact"/>
        <w:rPr>
          <w:sz w:val="20"/>
          <w:szCs w:val="20"/>
          <w:color w:val="auto"/>
        </w:rPr>
      </w:pPr>
    </w:p>
    <w:p>
      <w:pPr>
        <w:jc w:val="both"/>
        <w:ind w:left="58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color w:val="auto"/>
        </w:rPr>
        <w:t>6. Housing Requirements and Maintenance Responsibilities</w:t>
      </w:r>
    </w:p>
    <w:p>
      <w:pPr>
        <w:spacing w:after="0" w:line="201" w:lineRule="exact"/>
        <w:rPr>
          <w:sz w:val="20"/>
          <w:szCs w:val="20"/>
          <w:color w:val="auto"/>
        </w:rPr>
      </w:pPr>
    </w:p>
    <w:p>
      <w:pPr>
        <w:jc w:val="both"/>
        <w:ind w:left="58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62" w:lineRule="exact"/>
        <w:rPr>
          <w:sz w:val="20"/>
          <w:szCs w:val="20"/>
          <w:color w:val="auto"/>
        </w:rPr>
      </w:pPr>
    </w:p>
    <w:p>
      <w:pPr>
        <w:jc w:val="both"/>
        <w:ind w:left="58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162" w:lineRule="exact"/>
        <w:rPr>
          <w:sz w:val="20"/>
          <w:szCs w:val="20"/>
          <w:color w:val="auto"/>
        </w:rPr>
      </w:pPr>
    </w:p>
    <w:p>
      <w:pPr>
        <w:jc w:val="both"/>
        <w:ind w:left="580" w:right="2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62" w:lineRule="exact"/>
        <w:rPr>
          <w:sz w:val="20"/>
          <w:szCs w:val="20"/>
          <w:color w:val="auto"/>
        </w:rPr>
      </w:pPr>
    </w:p>
    <w:p>
      <w:pPr>
        <w:jc w:val="both"/>
        <w:ind w:left="58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6"/>
          <w:szCs w:val="16"/>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00" w:name="page201"/>
    <w:bookmarkEnd w:id="200"/>
    <w:p>
      <w:pPr>
        <w:jc w:val="both"/>
        <w:ind w:left="58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6-5</w:t>
      </w:r>
      <w:r>
        <w:rPr>
          <w:sz w:val="20"/>
          <w:szCs w:val="20"/>
          <w:color w:val="auto"/>
        </w:rPr>
        <w:tab/>
      </w:r>
      <w:r>
        <w:rPr>
          <w:rFonts w:ascii="Times New Roman" w:cs="Times New Roman" w:eastAsia="Times New Roman" w:hAnsi="Times New Roman"/>
          <w:sz w:val="16"/>
          <w:szCs w:val="16"/>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Decoration and Accretion</w:t>
      </w:r>
    </w:p>
    <w:p>
      <w:pPr>
        <w:spacing w:after="0" w:line="201" w:lineRule="exact"/>
        <w:rPr>
          <w:sz w:val="20"/>
          <w:szCs w:val="20"/>
          <w:color w:val="auto"/>
        </w:rPr>
      </w:pPr>
    </w:p>
    <w:p>
      <w:pPr>
        <w:jc w:val="both"/>
        <w:ind w:left="58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62" w:lineRule="exact"/>
        <w:rPr>
          <w:sz w:val="20"/>
          <w:szCs w:val="20"/>
          <w:color w:val="auto"/>
        </w:rPr>
      </w:pPr>
    </w:p>
    <w:p>
      <w:pPr>
        <w:jc w:val="both"/>
        <w:ind w:left="58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62" w:lineRule="exact"/>
        <w:rPr>
          <w:sz w:val="20"/>
          <w:szCs w:val="20"/>
          <w:color w:val="auto"/>
        </w:rPr>
      </w:pPr>
    </w:p>
    <w:p>
      <w:pPr>
        <w:jc w:val="both"/>
        <w:ind w:left="58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01" w:name="page202"/>
    <w:bookmarkEnd w:id="201"/>
    <w:p>
      <w:pPr>
        <w:spacing w:after="0"/>
        <w:tabs>
          <w:tab w:leader="none" w:pos="560"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6"/>
          <w:szCs w:val="16"/>
          <w:color w:val="auto"/>
        </w:rPr>
        <w:t>Party A’s written consent to the decoration of Party B shall not be construed as Party A’s obligation or responsibility to Party B’s decoration and its consequences.</w:t>
      </w:r>
    </w:p>
    <w:p>
      <w:pPr>
        <w:spacing w:after="0" w:line="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Party B shall guarantee that its decoration and other facilities for its own addition are safe and will not cause any potential safety hazard for the House or its users.</w:t>
      </w:r>
    </w:p>
    <w:p>
      <w:pPr>
        <w:spacing w:after="0" w:line="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Party B shall assume complete legal, technical and economic responsibility for its own decoration and its consequences.</w:t>
      </w:r>
    </w:p>
    <w:p>
      <w:pPr>
        <w:spacing w:after="0" w:line="184" w:lineRule="exact"/>
        <w:rPr>
          <w:sz w:val="20"/>
          <w:szCs w:val="20"/>
          <w:color w:val="auto"/>
        </w:rPr>
      </w:pPr>
    </w:p>
    <w:p>
      <w:pPr>
        <w:jc w:val="both"/>
        <w:ind w:left="580" w:hanging="576"/>
        <w:spacing w:after="0" w:line="260" w:lineRule="auto"/>
        <w:tabs>
          <w:tab w:leader="none" w:pos="560" w:val="left"/>
        </w:tabs>
        <w:rPr>
          <w:sz w:val="20"/>
          <w:szCs w:val="20"/>
          <w:color w:val="auto"/>
        </w:rPr>
      </w:pPr>
      <w:r>
        <w:rPr>
          <w:rFonts w:ascii="Times New Roman" w:cs="Times New Roman" w:eastAsia="Times New Roman" w:hAnsi="Times New Roman"/>
          <w:sz w:val="16"/>
          <w:szCs w:val="16"/>
          <w:color w:val="auto"/>
        </w:rPr>
        <w:t>7-5</w:t>
      </w:r>
      <w:r>
        <w:rPr>
          <w:sz w:val="20"/>
          <w:szCs w:val="20"/>
          <w:color w:val="auto"/>
        </w:rPr>
        <w:tab/>
      </w:r>
      <w:r>
        <w:rPr>
          <w:rFonts w:ascii="Times New Roman" w:cs="Times New Roman" w:eastAsia="Times New Roman" w:hAnsi="Times New Roman"/>
          <w:sz w:val="16"/>
          <w:szCs w:val="16"/>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Enter and Check</w:t>
      </w:r>
    </w:p>
    <w:p>
      <w:pPr>
        <w:spacing w:after="0" w:line="201" w:lineRule="exact"/>
        <w:rPr>
          <w:sz w:val="20"/>
          <w:szCs w:val="20"/>
          <w:color w:val="auto"/>
        </w:rPr>
      </w:pPr>
    </w:p>
    <w:p>
      <w:pPr>
        <w:jc w:val="both"/>
        <w:ind w:left="580" w:right="2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6"/>
          <w:szCs w:val="16"/>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62"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6"/>
          <w:szCs w:val="16"/>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color w:val="auto"/>
        </w:rPr>
        <w:t>9. Sublet, Mix, Transfer and Exchange</w:t>
      </w:r>
    </w:p>
    <w:p>
      <w:pPr>
        <w:spacing w:after="0" w:line="201" w:lineRule="exact"/>
        <w:rPr>
          <w:sz w:val="20"/>
          <w:szCs w:val="20"/>
          <w:color w:val="auto"/>
        </w:rPr>
      </w:pPr>
    </w:p>
    <w:p>
      <w:pPr>
        <w:jc w:val="both"/>
        <w:ind w:left="58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56" w:lineRule="exact"/>
        <w:rPr>
          <w:sz w:val="20"/>
          <w:szCs w:val="20"/>
          <w:color w:val="auto"/>
        </w:rPr>
      </w:pPr>
    </w:p>
    <w:p>
      <w:pPr>
        <w:jc w:val="both"/>
        <w:ind w:left="58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Priority Renewal Rights</w:t>
      </w:r>
    </w:p>
    <w:p>
      <w:pPr>
        <w:spacing w:after="0" w:line="201" w:lineRule="exact"/>
        <w:rPr>
          <w:sz w:val="20"/>
          <w:szCs w:val="20"/>
          <w:color w:val="auto"/>
        </w:rPr>
      </w:pPr>
    </w:p>
    <w:p>
      <w:pPr>
        <w:jc w:val="both"/>
        <w:ind w:left="58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color w:val="auto"/>
        </w:rPr>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62" w:lineRule="exact"/>
        <w:rPr>
          <w:sz w:val="20"/>
          <w:szCs w:val="20"/>
          <w:color w:val="auto"/>
        </w:rPr>
      </w:pPr>
    </w:p>
    <w:p>
      <w:pPr>
        <w:jc w:val="both"/>
        <w:ind w:left="58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color w:val="auto"/>
        </w:rPr>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 Return</w:t>
      </w:r>
    </w:p>
    <w:p>
      <w:pPr>
        <w:spacing w:after="0" w:line="20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5"/>
          <w:szCs w:val="15"/>
          <w:color w:val="auto"/>
        </w:rPr>
        <w:t>Party B shall return the House to Party A no later than the expiry date of the lease or the date on which the Contract is terminated prematurely.</w:t>
      </w:r>
    </w:p>
    <w:p>
      <w:pPr>
        <w:spacing w:after="0" w:line="201" w:lineRule="exact"/>
        <w:rPr>
          <w:sz w:val="20"/>
          <w:szCs w:val="20"/>
          <w:color w:val="auto"/>
        </w:rPr>
      </w:pPr>
    </w:p>
    <w:p>
      <w:pPr>
        <w:jc w:val="both"/>
        <w:ind w:left="580" w:hanging="576"/>
        <w:spacing w:after="0" w:line="261" w:lineRule="auto"/>
        <w:tabs>
          <w:tab w:leader="none" w:pos="560" w:val="left"/>
        </w:tabs>
        <w:rPr>
          <w:sz w:val="20"/>
          <w:szCs w:val="20"/>
          <w:color w:val="auto"/>
        </w:rPr>
      </w:pPr>
      <w:r>
        <w:rPr>
          <w:rFonts w:ascii="Times New Roman" w:cs="Times New Roman" w:eastAsia="Times New Roman" w:hAnsi="Times New Roman"/>
          <w:sz w:val="16"/>
          <w:szCs w:val="16"/>
          <w:color w:val="auto"/>
        </w:rPr>
        <w:t>11-2</w:t>
      </w:r>
      <w:r>
        <w:rPr>
          <w:sz w:val="20"/>
          <w:szCs w:val="20"/>
          <w:color w:val="auto"/>
        </w:rPr>
        <w:tab/>
      </w:r>
      <w:r>
        <w:rPr>
          <w:rFonts w:ascii="Times New Roman" w:cs="Times New Roman" w:eastAsia="Times New Roman" w:hAnsi="Times New Roman"/>
          <w:sz w:val="16"/>
          <w:szCs w:val="16"/>
          <w:color w:val="auto"/>
        </w:rPr>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203" w:name="page204"/>
    <w:bookmarkEnd w:id="203"/>
    <w:p>
      <w:pPr>
        <w:jc w:val="both"/>
        <w:ind w:left="580" w:hanging="576"/>
        <w:spacing w:after="0" w:line="259" w:lineRule="auto"/>
        <w:tabs>
          <w:tab w:leader="none" w:pos="560" w:val="left"/>
        </w:tabs>
        <w:rPr>
          <w:sz w:val="20"/>
          <w:szCs w:val="20"/>
          <w:color w:val="auto"/>
        </w:rPr>
      </w:pPr>
      <w:r>
        <w:rPr>
          <w:rFonts w:ascii="Times New Roman" w:cs="Times New Roman" w:eastAsia="Times New Roman" w:hAnsi="Times New Roman"/>
          <w:sz w:val="16"/>
          <w:szCs w:val="16"/>
          <w:color w:val="auto"/>
        </w:rPr>
        <w:t>11-3</w:t>
      </w:r>
      <w:r>
        <w:rPr>
          <w:sz w:val="20"/>
          <w:szCs w:val="20"/>
          <w:color w:val="auto"/>
        </w:rPr>
        <w:tab/>
      </w:r>
      <w:r>
        <w:rPr>
          <w:rFonts w:ascii="Times New Roman" w:cs="Times New Roman" w:eastAsia="Times New Roman" w:hAnsi="Times New Roman"/>
          <w:sz w:val="16"/>
          <w:szCs w:val="16"/>
          <w:color w:val="auto"/>
        </w:rPr>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162" w:lineRule="exact"/>
        <w:rPr>
          <w:sz w:val="20"/>
          <w:szCs w:val="20"/>
          <w:color w:val="auto"/>
        </w:rPr>
      </w:pPr>
    </w:p>
    <w:p>
      <w:pPr>
        <w:jc w:val="both"/>
        <w:ind w:left="580" w:hanging="576"/>
        <w:spacing w:after="0" w:line="256" w:lineRule="auto"/>
        <w:tabs>
          <w:tab w:leader="none" w:pos="560" w:val="left"/>
        </w:tabs>
        <w:rPr>
          <w:sz w:val="20"/>
          <w:szCs w:val="20"/>
          <w:color w:val="auto"/>
        </w:rPr>
      </w:pPr>
      <w:r>
        <w:rPr>
          <w:rFonts w:ascii="Times New Roman" w:cs="Times New Roman" w:eastAsia="Times New Roman" w:hAnsi="Times New Roman"/>
          <w:sz w:val="16"/>
          <w:szCs w:val="16"/>
          <w:color w:val="auto"/>
        </w:rPr>
        <w:t>11-4</w:t>
      </w:r>
      <w:r>
        <w:rPr>
          <w:sz w:val="20"/>
          <w:szCs w:val="20"/>
          <w:color w:val="auto"/>
        </w:rPr>
        <w:tab/>
      </w:r>
      <w:r>
        <w:rPr>
          <w:rFonts w:ascii="Times New Roman" w:cs="Times New Roman" w:eastAsia="Times New Roman" w:hAnsi="Times New Roman"/>
          <w:sz w:val="16"/>
          <w:szCs w:val="16"/>
          <w:color w:val="auto"/>
        </w:rPr>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65" w:lineRule="exact"/>
        <w:rPr>
          <w:sz w:val="20"/>
          <w:szCs w:val="20"/>
          <w:color w:val="auto"/>
        </w:rPr>
      </w:pPr>
    </w:p>
    <w:p>
      <w:pPr>
        <w:jc w:val="both"/>
        <w:ind w:left="580" w:right="20" w:hanging="576"/>
        <w:spacing w:after="0" w:line="255" w:lineRule="auto"/>
        <w:tabs>
          <w:tab w:leader="none" w:pos="560" w:val="left"/>
        </w:tabs>
        <w:rPr>
          <w:sz w:val="20"/>
          <w:szCs w:val="20"/>
          <w:color w:val="auto"/>
        </w:rPr>
      </w:pPr>
      <w:r>
        <w:rPr>
          <w:rFonts w:ascii="Times New Roman" w:cs="Times New Roman" w:eastAsia="Times New Roman" w:hAnsi="Times New Roman"/>
          <w:sz w:val="16"/>
          <w:szCs w:val="16"/>
          <w:color w:val="auto"/>
        </w:rPr>
        <w:t>11-5</w:t>
      </w:r>
      <w:r>
        <w:rPr>
          <w:sz w:val="20"/>
          <w:szCs w:val="20"/>
          <w:color w:val="auto"/>
        </w:rPr>
        <w:tab/>
      </w:r>
      <w:r>
        <w:rPr>
          <w:rFonts w:ascii="Times New Roman" w:cs="Times New Roman" w:eastAsia="Times New Roman" w:hAnsi="Times New Roman"/>
          <w:sz w:val="16"/>
          <w:szCs w:val="16"/>
          <w:color w:val="auto"/>
        </w:rPr>
        <w:t>When Party A evicts Party B, Party B shall bear the relocation expenses (if any) for thousands of items left in the house by Party B, and Party A.Party A may (but is not obliged to) store the goods in situ or elsewhere. After the storage is completed, Party A shall serve a notice to Party B to inform it of the storage of the goods. Party B shall collect the property by itself within 15 days from the date of service of the notice. If Party B fails to collect the property within the time limit, it shall be deemed that Party B has given up the ownership of all the returned property, and Party A shall handle it. Party A has the right to charge Party B the storage fee, which is 50% of the daily rent/day. After the 15th day expires, Party A has the right to sell, transfer, discard or dispose of these items in any other way as it thinks fit, and pay any money owed by Party B to Party A in thousands and compensate Party A for its losses (if any) with the proceeds of disposal. If the payment and compensation are insufficient, Party A has the right to recover the difference from Party B Unless otherwise agreed by both parties, B posted by Party A shall be deemed as the date of delivery.</w:t>
      </w:r>
    </w:p>
    <w:p>
      <w:pPr>
        <w:spacing w:after="0" w:line="168"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11-6</w:t>
      </w:r>
      <w:r>
        <w:rPr>
          <w:sz w:val="20"/>
          <w:szCs w:val="20"/>
          <w:color w:val="auto"/>
        </w:rPr>
        <w:tab/>
      </w:r>
      <w:r>
        <w:rPr>
          <w:rFonts w:ascii="Times New Roman" w:cs="Times New Roman" w:eastAsia="Times New Roman" w:hAnsi="Times New Roman"/>
          <w:sz w:val="16"/>
          <w:szCs w:val="16"/>
          <w:color w:val="auto"/>
        </w:rPr>
        <w:t>When Party A dismisses Party B, it will adopt ways including but not limited to hiring a notary office, recording the whole process by itself and making Party B.The list of goods, notarized materials, videos and other evidence materials will be kept by Party A for reference and verification within 3 years from the time when Party A returns to Party B.</w:t>
      </w:r>
    </w:p>
    <w:p>
      <w:pPr>
        <w:spacing w:after="0" w:line="156"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11-7</w:t>
      </w:r>
      <w:r>
        <w:rPr>
          <w:sz w:val="20"/>
          <w:szCs w:val="20"/>
          <w:color w:val="auto"/>
        </w:rPr>
        <w:tab/>
      </w:r>
      <w:r>
        <w:rPr>
          <w:rFonts w:ascii="Times New Roman" w:cs="Times New Roman" w:eastAsia="Times New Roman" w:hAnsi="Times New Roman"/>
          <w:sz w:val="16"/>
          <w:szCs w:val="16"/>
          <w:color w:val="auto"/>
        </w:rPr>
        <w:t>Both Party A and Party B agree to deduct all the expenses incurred in the process of repaying and keeping from the lease deposit, but the deduction of such expenses does not mean that either party gives up the right to claim damages and liquidated damages for breach of contract according to its rights and obligations under the contract.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Exemption for Party A</w:t>
      </w:r>
    </w:p>
    <w:p>
      <w:pPr>
        <w:spacing w:after="0" w:line="201"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12-1</w:t>
      </w:r>
      <w:r>
        <w:rPr>
          <w:sz w:val="20"/>
          <w:szCs w:val="20"/>
          <w:color w:val="auto"/>
        </w:rPr>
        <w:tab/>
      </w:r>
      <w:r>
        <w:rPr>
          <w:rFonts w:ascii="Times New Roman" w:cs="Times New Roman" w:eastAsia="Times New Roman" w:hAnsi="Times New Roman"/>
          <w:sz w:val="16"/>
          <w:szCs w:val="16"/>
          <w:color w:val="auto"/>
        </w:rPr>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56" w:lineRule="exact"/>
        <w:rPr>
          <w:sz w:val="20"/>
          <w:szCs w:val="20"/>
          <w:color w:val="auto"/>
        </w:rPr>
      </w:pPr>
    </w:p>
    <w:p>
      <w:pPr>
        <w:ind w:left="860" w:hanging="287"/>
        <w:spacing w:after="0"/>
        <w:tabs>
          <w:tab w:leader="none" w:pos="8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loss or damage due to expropriation, acquisition, confiscation, nationalization or any force majeure caused by state or government agencies;</w:t>
      </w:r>
    </w:p>
    <w:p>
      <w:pPr>
        <w:spacing w:after="0" w:line="393"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04" w:name="page205"/>
    <w:bookmarkEnd w:id="204"/>
    <w:p>
      <w:pPr>
        <w:ind w:left="864" w:hanging="287"/>
        <w:spacing w:after="0"/>
        <w:tabs>
          <w:tab w:leader="none" w:pos="864"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loss or damage caused by theft, robbery and other criminal cases;</w:t>
      </w:r>
    </w:p>
    <w:p>
      <w:pPr>
        <w:spacing w:after="0" w:line="200"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43"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B’s losses and damages caused by other lessees or third parties;</w:t>
      </w:r>
    </w:p>
    <w:p>
      <w:pPr>
        <w:spacing w:after="0" w:line="200"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43"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the Contract and Liability for Breach of Contract</w:t>
      </w:r>
    </w:p>
    <w:p>
      <w:pPr>
        <w:spacing w:after="0" w:line="201" w:lineRule="exact"/>
        <w:rPr>
          <w:sz w:val="20"/>
          <w:szCs w:val="20"/>
          <w:color w:val="auto"/>
        </w:rPr>
      </w:pPr>
    </w:p>
    <w:p>
      <w:pPr>
        <w:ind w:left="4"/>
        <w:spacing w:after="0"/>
        <w:tabs>
          <w:tab w:leader="none" w:pos="563"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5"/>
          <w:szCs w:val="15"/>
          <w:color w:val="auto"/>
        </w:rPr>
        <w:t>Party A’s default</w:t>
      </w:r>
    </w:p>
    <w:p>
      <w:pPr>
        <w:spacing w:after="0" w:line="201" w:lineRule="exact"/>
        <w:rPr>
          <w:sz w:val="20"/>
          <w:szCs w:val="20"/>
          <w:color w:val="auto"/>
        </w:rPr>
      </w:pPr>
    </w:p>
    <w:p>
      <w:pPr>
        <w:ind w:left="864" w:right="20" w:hanging="287"/>
        <w:spacing w:after="0" w:line="283" w:lineRule="auto"/>
        <w:tabs>
          <w:tab w:leader="none" w:pos="86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compensate for the loss of Party B due to Party A’s transfer of property right caused by Party A’s setting up a new mortgage to the House during the rental term as stipulated in this contract.</w:t>
      </w:r>
    </w:p>
    <w:p>
      <w:pPr>
        <w:spacing w:after="0" w:line="143" w:lineRule="exact"/>
        <w:rPr>
          <w:rFonts w:ascii="Times New Roman" w:cs="Times New Roman" w:eastAsia="Times New Roman" w:hAnsi="Times New Roman"/>
          <w:sz w:val="16"/>
          <w:szCs w:val="16"/>
          <w:color w:val="auto"/>
        </w:rPr>
      </w:pPr>
    </w:p>
    <w:p>
      <w:pPr>
        <w:jc w:val="both"/>
        <w:ind w:left="864" w:right="20" w:hanging="287"/>
        <w:spacing w:after="0" w:line="267" w:lineRule="auto"/>
        <w:tabs>
          <w:tab w:leader="none" w:pos="86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55" w:lineRule="exact"/>
        <w:rPr>
          <w:rFonts w:ascii="Times New Roman" w:cs="Times New Roman" w:eastAsia="Times New Roman" w:hAnsi="Times New Roman"/>
          <w:sz w:val="16"/>
          <w:szCs w:val="16"/>
          <w:color w:val="auto"/>
        </w:rPr>
      </w:pPr>
    </w:p>
    <w:p>
      <w:pPr>
        <w:jc w:val="both"/>
        <w:ind w:left="864" w:hanging="287"/>
        <w:spacing w:after="0" w:line="259" w:lineRule="auto"/>
        <w:tabs>
          <w:tab w:leader="none" w:pos="864"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05" w:name="page206"/>
    <w:bookmarkEnd w:id="205"/>
    <w:p>
      <w:pPr>
        <w:spacing w:after="0"/>
        <w:tabs>
          <w:tab w:leader="none" w:pos="560"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5"/>
          <w:szCs w:val="15"/>
          <w:color w:val="auto"/>
        </w:rPr>
        <w:t>Party B’s default</w:t>
      </w:r>
    </w:p>
    <w:p>
      <w:pPr>
        <w:spacing w:after="0" w:line="201" w:lineRule="exact"/>
        <w:rPr>
          <w:sz w:val="20"/>
          <w:szCs w:val="20"/>
          <w:color w:val="auto"/>
        </w:rPr>
      </w:pPr>
    </w:p>
    <w:p>
      <w:pPr>
        <w:jc w:val="both"/>
        <w:ind w:left="860" w:hanging="287"/>
        <w:spacing w:after="0" w:line="267" w:lineRule="auto"/>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overdue payment of rent, deposit, equipment rental fee, energy consumption fee, property management fee or other relevant expenses payable, Party B shall pay overdue fine which is 0.03% of the amount of overdue payment per day. If overdue 30 days, Party A has the right to interrupt the water, electricity and other energy supply, until Party B pays all the expenses. And Party B should bear the cost of re-connection.</w:t>
      </w:r>
    </w:p>
    <w:p>
      <w:pPr>
        <w:spacing w:after="0" w:line="155" w:lineRule="exact"/>
        <w:rPr>
          <w:rFonts w:ascii="Times New Roman" w:cs="Times New Roman" w:eastAsia="Times New Roman" w:hAnsi="Times New Roman"/>
          <w:sz w:val="16"/>
          <w:szCs w:val="16"/>
          <w:color w:val="auto"/>
        </w:rPr>
      </w:pPr>
    </w:p>
    <w:p>
      <w:pPr>
        <w:jc w:val="both"/>
        <w:ind w:left="860" w:right="20" w:hanging="287"/>
        <w:spacing w:after="0" w:line="267" w:lineRule="auto"/>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55"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43" w:lineRule="exact"/>
        <w:rPr>
          <w:rFonts w:ascii="Times New Roman" w:cs="Times New Roman" w:eastAsia="Times New Roman" w:hAnsi="Times New Roman"/>
          <w:sz w:val="16"/>
          <w:szCs w:val="16"/>
          <w:color w:val="auto"/>
        </w:rPr>
      </w:pPr>
    </w:p>
    <w:p>
      <w:pPr>
        <w:jc w:val="both"/>
        <w:ind w:left="860" w:hanging="287"/>
        <w:spacing w:after="0" w:line="259" w:lineRule="auto"/>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61"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Retirement refers to the behavior that Party B decides to terminate the lease relationship early for its own reasons, limited to a written statement.</w:t>
      </w:r>
    </w:p>
    <w:p>
      <w:pPr>
        <w:spacing w:after="0" w:line="200" w:lineRule="exact"/>
        <w:rPr>
          <w:rFonts w:ascii="Times New Roman" w:cs="Times New Roman" w:eastAsia="Times New Roman" w:hAnsi="Times New Roman"/>
          <w:sz w:val="16"/>
          <w:szCs w:val="16"/>
          <w:color w:val="auto"/>
        </w:rPr>
      </w:pPr>
    </w:p>
    <w:p>
      <w:pPr>
        <w:jc w:val="both"/>
        <w:ind w:left="860" w:right="20" w:hanging="287"/>
        <w:spacing w:after="0" w:line="267" w:lineRule="auto"/>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55"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right to request Party B to compensate Party A for the losses suffered thereby, if Party B takes the following actions:</w:t>
      </w:r>
    </w:p>
    <w:p>
      <w:pPr>
        <w:spacing w:after="0" w:line="200" w:lineRule="exact"/>
        <w:rPr>
          <w:rFonts w:ascii="Times New Roman" w:cs="Times New Roman" w:eastAsia="Times New Roman" w:hAnsi="Times New Roman"/>
          <w:sz w:val="16"/>
          <w:szCs w:val="16"/>
          <w:color w:val="auto"/>
        </w:rPr>
      </w:pPr>
    </w:p>
    <w:p>
      <w:pPr>
        <w:ind w:left="1160" w:hanging="298"/>
        <w:spacing w:after="0"/>
        <w:tabs>
          <w:tab w:leader="none" w:pos="116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 or negligent act of Party B and its employees and contractors on any part of the building or the House;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6" w:name="page207"/>
    <w:bookmarkEnd w:id="206"/>
    <w:p>
      <w:pPr>
        <w:ind w:left="1164" w:hanging="298"/>
        <w:spacing w:after="0"/>
        <w:tabs>
          <w:tab w:leader="none" w:pos="1164"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violates or fails to comply with any applicable provisions of the Contract;</w:t>
      </w:r>
    </w:p>
    <w:p>
      <w:pPr>
        <w:spacing w:after="0" w:line="200" w:lineRule="exact"/>
        <w:rPr>
          <w:rFonts w:ascii="Times New Roman" w:cs="Times New Roman" w:eastAsia="Times New Roman" w:hAnsi="Times New Roman"/>
          <w:sz w:val="16"/>
          <w:szCs w:val="16"/>
          <w:color w:val="auto"/>
        </w:rPr>
      </w:pPr>
    </w:p>
    <w:p>
      <w:pPr>
        <w:ind w:left="1164" w:right="20" w:hanging="298"/>
        <w:spacing w:after="0" w:line="283" w:lineRule="auto"/>
        <w:tabs>
          <w:tab w:leader="none" w:pos="1164"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143"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Force Majeure</w:t>
      </w:r>
    </w:p>
    <w:p>
      <w:pPr>
        <w:spacing w:after="0" w:line="201" w:lineRule="exact"/>
        <w:rPr>
          <w:sz w:val="20"/>
          <w:szCs w:val="20"/>
          <w:color w:val="auto"/>
        </w:rPr>
      </w:pPr>
    </w:p>
    <w:p>
      <w:pPr>
        <w:jc w:val="both"/>
        <w:ind w:left="584" w:hanging="576"/>
        <w:spacing w:after="0" w:line="257" w:lineRule="auto"/>
        <w:tabs>
          <w:tab w:leader="none" w:pos="563" w:val="left"/>
        </w:tabs>
        <w:rPr>
          <w:sz w:val="20"/>
          <w:szCs w:val="20"/>
          <w:color w:val="auto"/>
        </w:rPr>
      </w:pPr>
      <w:r>
        <w:rPr>
          <w:rFonts w:ascii="Times New Roman" w:cs="Times New Roman" w:eastAsia="Times New Roman" w:hAnsi="Times New Roman"/>
          <w:sz w:val="16"/>
          <w:szCs w:val="16"/>
          <w:color w:val="auto"/>
        </w:rPr>
        <w:t>14-1</w:t>
      </w:r>
      <w:r>
        <w:rPr>
          <w:sz w:val="20"/>
          <w:szCs w:val="20"/>
          <w:color w:val="auto"/>
        </w:rPr>
        <w:tab/>
      </w:r>
      <w:r>
        <w:rPr>
          <w:rFonts w:ascii="Times New Roman" w:cs="Times New Roman" w:eastAsia="Times New Roman" w:hAnsi="Times New Roman"/>
          <w:sz w:val="16"/>
          <w:szCs w:val="16"/>
          <w:color w:val="auto"/>
        </w:rPr>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65" w:lineRule="exact"/>
        <w:rPr>
          <w:sz w:val="20"/>
          <w:szCs w:val="20"/>
          <w:color w:val="auto"/>
        </w:rPr>
      </w:pPr>
    </w:p>
    <w:p>
      <w:pPr>
        <w:jc w:val="both"/>
        <w:ind w:left="584" w:hanging="576"/>
        <w:spacing w:after="0" w:line="259" w:lineRule="auto"/>
        <w:tabs>
          <w:tab w:leader="none" w:pos="563" w:val="left"/>
        </w:tabs>
        <w:rPr>
          <w:sz w:val="20"/>
          <w:szCs w:val="20"/>
          <w:color w:val="auto"/>
        </w:rPr>
      </w:pPr>
      <w:r>
        <w:rPr>
          <w:rFonts w:ascii="Times New Roman" w:cs="Times New Roman" w:eastAsia="Times New Roman" w:hAnsi="Times New Roman"/>
          <w:sz w:val="16"/>
          <w:szCs w:val="16"/>
          <w:color w:val="auto"/>
        </w:rPr>
        <w:t>14-2</w:t>
      </w:r>
      <w:r>
        <w:rPr>
          <w:sz w:val="20"/>
          <w:szCs w:val="20"/>
          <w:color w:val="auto"/>
        </w:rPr>
        <w:tab/>
      </w:r>
      <w:r>
        <w:rPr>
          <w:rFonts w:ascii="Times New Roman" w:cs="Times New Roman" w:eastAsia="Times New Roman" w:hAnsi="Times New Roman"/>
          <w:sz w:val="16"/>
          <w:szCs w:val="16"/>
          <w:color w:val="auto"/>
        </w:rPr>
        <w:t>The party suffering from force majeure shall, within 15 days after the occurrence of such events, notify the other party of the specific circumstances of the force majeure in written form, and provide supporting documents to prove the existence and duration of the force majeure event (including the documents of the competent government department, if applicable). If the party suffering from force majeure fails to notify the other party in accordance with the above provisions and provide appropriate proof, the party shall not ask for exemption from its responsibilities on the basis of its inability to perform relevant obligations. In addition, the party suffering from force majeure should take all necessary measures to reduce the loss, otherwise it should bear the responsibility for the expanded loss.</w:t>
      </w:r>
    </w:p>
    <w:p>
      <w:pPr>
        <w:spacing w:after="0" w:line="162" w:lineRule="exact"/>
        <w:rPr>
          <w:sz w:val="20"/>
          <w:szCs w:val="20"/>
          <w:color w:val="auto"/>
        </w:rPr>
      </w:pPr>
    </w:p>
    <w:p>
      <w:pPr>
        <w:jc w:val="both"/>
        <w:ind w:left="584" w:right="20" w:hanging="576"/>
        <w:spacing w:after="0" w:line="283" w:lineRule="auto"/>
        <w:tabs>
          <w:tab w:leader="none" w:pos="563" w:val="left"/>
        </w:tabs>
        <w:rPr>
          <w:sz w:val="20"/>
          <w:szCs w:val="20"/>
          <w:color w:val="auto"/>
        </w:rPr>
      </w:pPr>
      <w:r>
        <w:rPr>
          <w:rFonts w:ascii="Times New Roman" w:cs="Times New Roman" w:eastAsia="Times New Roman" w:hAnsi="Times New Roman"/>
          <w:sz w:val="16"/>
          <w:szCs w:val="16"/>
          <w:color w:val="auto"/>
        </w:rPr>
        <w:t>14-3</w:t>
      </w:r>
      <w:r>
        <w:rPr>
          <w:sz w:val="20"/>
          <w:szCs w:val="20"/>
          <w:color w:val="auto"/>
        </w:rPr>
        <w:tab/>
      </w:r>
      <w:r>
        <w:rPr>
          <w:rFonts w:ascii="Times New Roman" w:cs="Times New Roman" w:eastAsia="Times New Roman" w:hAnsi="Times New Roman"/>
          <w:sz w:val="16"/>
          <w:szCs w:val="16"/>
          <w:color w:val="auto"/>
        </w:rPr>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15. Terminate the Contract</w:t>
      </w:r>
    </w:p>
    <w:p>
      <w:pPr>
        <w:spacing w:after="0" w:line="201" w:lineRule="exact"/>
        <w:rPr>
          <w:sz w:val="20"/>
          <w:szCs w:val="20"/>
          <w:color w:val="auto"/>
        </w:rPr>
      </w:pPr>
    </w:p>
    <w:p>
      <w:pPr>
        <w:jc w:val="both"/>
        <w:ind w:left="584" w:right="20" w:hanging="576"/>
        <w:spacing w:after="0" w:line="267" w:lineRule="auto"/>
        <w:tabs>
          <w:tab w:leader="none" w:pos="563" w:val="left"/>
        </w:tabs>
        <w:rPr>
          <w:sz w:val="20"/>
          <w:szCs w:val="20"/>
          <w:color w:val="auto"/>
        </w:rPr>
      </w:pPr>
      <w:r>
        <w:rPr>
          <w:rFonts w:ascii="Times New Roman" w:cs="Times New Roman" w:eastAsia="Times New Roman" w:hAnsi="Times New Roman"/>
          <w:sz w:val="16"/>
          <w:szCs w:val="16"/>
          <w:color w:val="auto"/>
        </w:rPr>
        <w:t>15-1</w:t>
      </w:r>
      <w:r>
        <w:rPr>
          <w:sz w:val="20"/>
          <w:szCs w:val="20"/>
          <w:color w:val="auto"/>
        </w:rPr>
        <w:tab/>
      </w:r>
      <w:r>
        <w:rPr>
          <w:rFonts w:ascii="Times New Roman" w:cs="Times New Roman" w:eastAsia="Times New Roman" w:hAnsi="Times New Roman"/>
          <w:sz w:val="16"/>
          <w:szCs w:val="16"/>
          <w:color w:val="auto"/>
        </w:rPr>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156" w:lineRule="exact"/>
        <w:rPr>
          <w:sz w:val="20"/>
          <w:szCs w:val="20"/>
          <w:color w:val="auto"/>
        </w:rPr>
      </w:pPr>
    </w:p>
    <w:p>
      <w:pPr>
        <w:ind w:left="5544" w:right="2600" w:hanging="4967"/>
        <w:spacing w:after="0" w:line="785" w:lineRule="auto"/>
        <w:tabs>
          <w:tab w:leader="none" w:pos="862"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fails to deliver the House on time and still cannot deliver the House 30 days after the written notice from Party B;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7560"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7" w:name="page208"/>
    <w:bookmarkEnd w:id="207"/>
    <w:p>
      <w:pPr>
        <w:ind w:left="860" w:hanging="287"/>
        <w:spacing w:after="0" w:line="219" w:lineRule="exact"/>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house delivered by Party A does not meet the contract stipulated in Annex </w:t>
      </w:r>
      <w:r>
        <w:rPr>
          <w:rFonts w:ascii="MS PGothic" w:cs="MS PGothic" w:eastAsia="MS PGothic" w:hAnsi="MS PGothic"/>
          <w:sz w:val="16"/>
          <w:szCs w:val="16"/>
          <w:color w:val="auto"/>
        </w:rPr>
        <w:t>Ⅱ</w:t>
      </w:r>
      <w:r>
        <w:rPr>
          <w:rFonts w:ascii="Times New Roman" w:cs="Times New Roman" w:eastAsia="Times New Roman" w:hAnsi="Times New Roman"/>
          <w:sz w:val="16"/>
          <w:szCs w:val="16"/>
          <w:color w:val="auto"/>
        </w:rPr>
        <w:t xml:space="preserve"> of the Contract, resulting in the failure to realize the purpose of the lease; or the House delivered by Party A is defective and endangers the safety of Party B;</w:t>
      </w:r>
    </w:p>
    <w:p>
      <w:pPr>
        <w:spacing w:after="0" w:line="176"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fails to obtain the written consent of Party A to change the use of the House;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causes damage to the main structure of the House or other irreparable damage;</w:t>
      </w:r>
    </w:p>
    <w:p>
      <w:pPr>
        <w:spacing w:after="0" w:line="200"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without the written consent of Party A and the approval of the relevant department, arbitrarily changed the nature of the production and use involved in the property planning;</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43" w:lineRule="exact"/>
        <w:rPr>
          <w:rFonts w:ascii="Times New Roman" w:cs="Times New Roman" w:eastAsia="Times New Roman" w:hAnsi="Times New Roman"/>
          <w:sz w:val="16"/>
          <w:szCs w:val="16"/>
          <w:color w:val="auto"/>
        </w:rPr>
      </w:pPr>
    </w:p>
    <w:p>
      <w:pPr>
        <w:ind w:left="860" w:right="20" w:hanging="287"/>
        <w:spacing w:after="0" w:line="283" w:lineRule="auto"/>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renders part or all of the House to any third party without authorization, or uses it in combination with any third party, or transfers the House to others for rent or exchanges with other people’s houses;</w:t>
      </w:r>
    </w:p>
    <w:p>
      <w:pPr>
        <w:spacing w:after="0" w:line="143"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not paid the rent over 30 days, and still cannot pay the rent 30 days after the written notice from Party A.</w:t>
      </w:r>
    </w:p>
    <w:p>
      <w:pPr>
        <w:spacing w:after="0" w:line="201" w:lineRule="exact"/>
        <w:rPr>
          <w:sz w:val="20"/>
          <w:szCs w:val="20"/>
          <w:color w:val="auto"/>
        </w:rPr>
      </w:pPr>
    </w:p>
    <w:p>
      <w:pPr>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15-2</w:t>
      </w:r>
      <w:r>
        <w:rPr>
          <w:sz w:val="20"/>
          <w:szCs w:val="20"/>
          <w:color w:val="auto"/>
        </w:rPr>
        <w:tab/>
      </w:r>
      <w:r>
        <w:rPr>
          <w:rFonts w:ascii="Times New Roman" w:cs="Times New Roman" w:eastAsia="Times New Roman" w:hAnsi="Times New Roman"/>
          <w:sz w:val="16"/>
          <w:szCs w:val="16"/>
          <w:color w:val="auto"/>
        </w:rPr>
        <w:t>Due to the breach of item (8) of the preceding paragraph, the Party A has the right to retain all the articles in the House until Party B pays all the money (including the liquidated damages) to Party A.</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15-3</w:t>
      </w:r>
      <w:r>
        <w:rPr>
          <w:sz w:val="20"/>
          <w:szCs w:val="20"/>
          <w:color w:val="auto"/>
        </w:rPr>
        <w:tab/>
      </w:r>
      <w:r>
        <w:rPr>
          <w:rFonts w:ascii="Times New Roman" w:cs="Times New Roman" w:eastAsia="Times New Roman" w:hAnsi="Times New Roman"/>
          <w:sz w:val="15"/>
          <w:szCs w:val="15"/>
          <w:color w:val="auto"/>
        </w:rPr>
        <w:t>Both Parties agree that the Contract is terminated under the following situations, and neither of them should be responsible for the termination.</w:t>
      </w:r>
    </w:p>
    <w:p>
      <w:pPr>
        <w:spacing w:after="0" w:line="201" w:lineRule="exact"/>
        <w:rPr>
          <w:sz w:val="20"/>
          <w:szCs w:val="20"/>
          <w:color w:val="auto"/>
        </w:rPr>
      </w:pPr>
    </w:p>
    <w:p>
      <w:pPr>
        <w:ind w:left="860" w:hanging="287"/>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land use rights within the occupied area of the House are recovered early according to law;</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requisitioned according to law because of public interests;</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included in the scope of the permit for house demolition due to urban construction;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damaged, lost or has been identified as a dangerous house;</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informed Party B that the mortgage has been set before the rental, and is now being disposed of.</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08" w:name="page209"/>
    <w:bookmarkEnd w:id="208"/>
    <w:p>
      <w:pPr>
        <w:ind w:left="4"/>
        <w:spacing w:after="0"/>
        <w:rPr>
          <w:sz w:val="20"/>
          <w:szCs w:val="20"/>
          <w:color w:val="auto"/>
        </w:rPr>
      </w:pPr>
      <w:r>
        <w:rPr>
          <w:rFonts w:ascii="Times New Roman" w:cs="Times New Roman" w:eastAsia="Times New Roman" w:hAnsi="Times New Roman"/>
          <w:sz w:val="16"/>
          <w:szCs w:val="16"/>
          <w:color w:val="auto"/>
        </w:rPr>
        <w:t>16. Statements and Guarantees</w:t>
      </w:r>
    </w:p>
    <w:p>
      <w:pPr>
        <w:spacing w:after="0" w:line="201" w:lineRule="exact"/>
        <w:rPr>
          <w:sz w:val="20"/>
          <w:szCs w:val="20"/>
          <w:color w:val="auto"/>
        </w:rPr>
      </w:pPr>
    </w:p>
    <w:p>
      <w:pPr>
        <w:ind w:left="584" w:hanging="584"/>
        <w:spacing w:after="0"/>
        <w:tabs>
          <w:tab w:leader="none" w:pos="58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hereby states and guarantees as follows:</w:t>
      </w:r>
    </w:p>
    <w:p>
      <w:pPr>
        <w:spacing w:after="0" w:line="200" w:lineRule="exact"/>
        <w:rPr>
          <w:rFonts w:ascii="Times New Roman" w:cs="Times New Roman" w:eastAsia="Times New Roman" w:hAnsi="Times New Roman"/>
          <w:sz w:val="16"/>
          <w:szCs w:val="16"/>
          <w:color w:val="auto"/>
        </w:rPr>
      </w:pPr>
    </w:p>
    <w:p>
      <w:pPr>
        <w:ind w:left="864" w:hanging="287"/>
        <w:spacing w:after="0" w:line="283" w:lineRule="auto"/>
        <w:tabs>
          <w:tab w:leader="none" w:pos="86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143"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A’s signing and performance of the Contract shall not constitute a violation of the applicable law or any contract signed by Party A with any third party.</w:t>
      </w:r>
    </w:p>
    <w:p>
      <w:pPr>
        <w:spacing w:after="0" w:line="200" w:lineRule="exact"/>
        <w:rPr>
          <w:rFonts w:ascii="Times New Roman" w:cs="Times New Roman" w:eastAsia="Times New Roman" w:hAnsi="Times New Roman"/>
          <w:sz w:val="16"/>
          <w:szCs w:val="16"/>
          <w:color w:val="auto"/>
        </w:rPr>
      </w:pPr>
    </w:p>
    <w:p>
      <w:pPr>
        <w:ind w:left="864" w:hanging="287"/>
        <w:spacing w:after="0" w:line="283" w:lineRule="auto"/>
        <w:tabs>
          <w:tab w:leader="none" w:pos="86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the House has been built and in good condition in accordance with applicable laws (including but not limited to safety and health related laws and regulations) and has legal ownership over it.</w:t>
      </w:r>
    </w:p>
    <w:p>
      <w:pPr>
        <w:spacing w:after="0" w:line="143"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hereby states and guarantees as follows:</w:t>
      </w:r>
    </w:p>
    <w:p>
      <w:pPr>
        <w:spacing w:after="0" w:line="200"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all the necessary authorizations to formally and effectively sign and perform the Contract.</w:t>
      </w:r>
    </w:p>
    <w:p>
      <w:pPr>
        <w:spacing w:after="0" w:line="200"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43" w:lineRule="exact"/>
        <w:rPr>
          <w:rFonts w:ascii="Times New Roman" w:cs="Times New Roman" w:eastAsia="Times New Roman" w:hAnsi="Times New Roman"/>
          <w:sz w:val="16"/>
          <w:szCs w:val="16"/>
          <w:color w:val="auto"/>
        </w:rPr>
      </w:pPr>
    </w:p>
    <w:p>
      <w:pPr>
        <w:ind w:left="864" w:hanging="287"/>
        <w:spacing w:after="0" w:line="283" w:lineRule="auto"/>
        <w:tabs>
          <w:tab w:leader="none" w:pos="864"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17. Safe Production</w:t>
      </w:r>
    </w:p>
    <w:p>
      <w:pPr>
        <w:spacing w:after="0" w:line="201" w:lineRule="exact"/>
        <w:rPr>
          <w:sz w:val="20"/>
          <w:szCs w:val="20"/>
          <w:color w:val="auto"/>
        </w:rPr>
      </w:pPr>
    </w:p>
    <w:p>
      <w:pPr>
        <w:jc w:val="both"/>
        <w:ind w:left="584" w:right="20" w:hanging="576"/>
        <w:spacing w:after="0" w:line="197" w:lineRule="exact"/>
        <w:tabs>
          <w:tab w:leader="none" w:pos="563" w:val="left"/>
        </w:tabs>
        <w:rPr>
          <w:sz w:val="20"/>
          <w:szCs w:val="20"/>
          <w:color w:val="auto"/>
        </w:rPr>
      </w:pPr>
      <w:r>
        <w:rPr>
          <w:rFonts w:ascii="Times New Roman" w:cs="Times New Roman" w:eastAsia="Times New Roman" w:hAnsi="Times New Roman"/>
          <w:sz w:val="16"/>
          <w:szCs w:val="16"/>
          <w:color w:val="auto"/>
        </w:rPr>
        <w:t>17-1</w:t>
      </w:r>
      <w:r>
        <w:rPr>
          <w:sz w:val="20"/>
          <w:szCs w:val="20"/>
          <w:color w:val="auto"/>
        </w:rPr>
        <w:tab/>
      </w:r>
      <w:r>
        <w:rPr>
          <w:rFonts w:ascii="Times New Roman" w:cs="Times New Roman" w:eastAsia="Times New Roman" w:hAnsi="Times New Roman"/>
          <w:sz w:val="15"/>
          <w:szCs w:val="15"/>
          <w:color w:val="auto"/>
        </w:rPr>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5"/>
          <w:szCs w:val="15"/>
          <w:color w:val="auto"/>
        </w:rPr>
        <w:t>Ⅲ</w:t>
      </w:r>
      <w:r>
        <w:rPr>
          <w:rFonts w:ascii="Times New Roman" w:cs="Times New Roman" w:eastAsia="Times New Roman" w:hAnsi="Times New Roman"/>
          <w:sz w:val="15"/>
          <w:szCs w:val="15"/>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37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09" w:name="page210"/>
    <w:bookmarkEnd w:id="209"/>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17-2</w:t>
      </w:r>
      <w:r>
        <w:rPr>
          <w:sz w:val="20"/>
          <w:szCs w:val="20"/>
          <w:color w:val="auto"/>
        </w:rPr>
        <w:tab/>
      </w:r>
      <w:r>
        <w:rPr>
          <w:rFonts w:ascii="Times New Roman" w:cs="Times New Roman" w:eastAsia="Times New Roman" w:hAnsi="Times New Roman"/>
          <w:sz w:val="16"/>
          <w:szCs w:val="16"/>
          <w:color w:val="auto"/>
        </w:rPr>
        <w:t>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17-3</w:t>
      </w:r>
      <w:r>
        <w:rPr>
          <w:sz w:val="20"/>
          <w:szCs w:val="20"/>
          <w:color w:val="auto"/>
        </w:rPr>
        <w:tab/>
      </w:r>
      <w:r>
        <w:rPr>
          <w:rFonts w:ascii="Times New Roman" w:cs="Times New Roman" w:eastAsia="Times New Roman" w:hAnsi="Times New Roman"/>
          <w:sz w:val="15"/>
          <w:szCs w:val="15"/>
          <w:color w:val="auto"/>
        </w:rPr>
        <w:t>Party B’s safety records shall be used as a reference for Party B’s priority rights such as renewal and extension of lease (if 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 Other Terms</w:t>
      </w:r>
    </w:p>
    <w:p>
      <w:pPr>
        <w:spacing w:after="0" w:line="20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18-1</w:t>
      </w:r>
      <w:r>
        <w:rPr>
          <w:sz w:val="20"/>
          <w:szCs w:val="20"/>
          <w:color w:val="auto"/>
        </w:rPr>
        <w:tab/>
      </w:r>
      <w:r>
        <w:rPr>
          <w:rFonts w:ascii="Times New Roman" w:cs="Times New Roman" w:eastAsia="Times New Roman" w:hAnsi="Times New Roman"/>
          <w:sz w:val="16"/>
          <w:szCs w:val="16"/>
          <w:color w:val="auto"/>
        </w:rPr>
        <w:t>The Contract takes effect immediately after both parties have signed and sealed the contract.</w:t>
      </w:r>
    </w:p>
    <w:p>
      <w:pPr>
        <w:spacing w:after="0" w:line="201" w:lineRule="exact"/>
        <w:rPr>
          <w:sz w:val="20"/>
          <w:szCs w:val="20"/>
          <w:color w:val="auto"/>
        </w:rPr>
      </w:pPr>
    </w:p>
    <w:p>
      <w:pPr>
        <w:jc w:val="both"/>
        <w:ind w:left="58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18-2</w:t>
      </w:r>
      <w:r>
        <w:rPr>
          <w:sz w:val="20"/>
          <w:szCs w:val="20"/>
          <w:color w:val="auto"/>
        </w:rPr>
        <w:tab/>
      </w:r>
      <w:r>
        <w:rPr>
          <w:rFonts w:ascii="Times New Roman" w:cs="Times New Roman" w:eastAsia="Times New Roman" w:hAnsi="Times New Roman"/>
          <w:sz w:val="16"/>
          <w:szCs w:val="16"/>
          <w:color w:val="auto"/>
        </w:rPr>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156" w:lineRule="exact"/>
        <w:rPr>
          <w:sz w:val="20"/>
          <w:szCs w:val="20"/>
          <w:color w:val="auto"/>
        </w:rPr>
      </w:pPr>
    </w:p>
    <w:p>
      <w:pPr>
        <w:jc w:val="both"/>
        <w:ind w:left="58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18-3</w:t>
      </w:r>
      <w:r>
        <w:rPr>
          <w:sz w:val="20"/>
          <w:szCs w:val="20"/>
          <w:color w:val="auto"/>
        </w:rPr>
        <w:tab/>
      </w:r>
      <w:r>
        <w:rPr>
          <w:rFonts w:ascii="Times New Roman" w:cs="Times New Roman" w:eastAsia="Times New Roman" w:hAnsi="Times New Roman"/>
          <w:sz w:val="16"/>
          <w:szCs w:val="16"/>
          <w:color w:val="auto"/>
        </w:rPr>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43" w:lineRule="exact"/>
        <w:rPr>
          <w:sz w:val="20"/>
          <w:szCs w:val="20"/>
          <w:color w:val="auto"/>
        </w:rPr>
      </w:pPr>
    </w:p>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18-4</w:t>
      </w:r>
      <w:r>
        <w:rPr>
          <w:sz w:val="20"/>
          <w:szCs w:val="20"/>
          <w:color w:val="auto"/>
        </w:rPr>
        <w:tab/>
      </w:r>
      <w:r>
        <w:rPr>
          <w:rFonts w:ascii="Times New Roman" w:cs="Times New Roman" w:eastAsia="Times New Roman" w:hAnsi="Times New Roman"/>
          <w:sz w:val="16"/>
          <w:szCs w:val="16"/>
          <w:color w:val="auto"/>
        </w:rPr>
        <w:t>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43" w:lineRule="exact"/>
        <w:rPr>
          <w:sz w:val="20"/>
          <w:szCs w:val="20"/>
          <w:color w:val="auto"/>
        </w:rPr>
      </w:pPr>
    </w:p>
    <w:p>
      <w:pPr>
        <w:ind w:left="860" w:hanging="287"/>
        <w:spacing w:after="0"/>
        <w:tabs>
          <w:tab w:leader="none" w:pos="8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submitted to China International Economic and Trade Arbitration Commission Shanghai Branch for arbitration;</w:t>
      </w:r>
    </w:p>
    <w:p>
      <w:pPr>
        <w:spacing w:after="0" w:line="200"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bring a lawsuit to the people’s court where the House is located.</w:t>
      </w:r>
    </w:p>
    <w:p>
      <w:pPr>
        <w:spacing w:after="0" w:line="20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18-5</w:t>
      </w:r>
      <w:r>
        <w:rPr>
          <w:sz w:val="20"/>
          <w:szCs w:val="20"/>
          <w:color w:val="auto"/>
        </w:rPr>
        <w:tab/>
      </w:r>
      <w:r>
        <w:rPr>
          <w:rFonts w:ascii="Times New Roman" w:cs="Times New Roman" w:eastAsia="Times New Roman" w:hAnsi="Times New Roman"/>
          <w:sz w:val="15"/>
          <w:szCs w:val="15"/>
          <w:color w:val="auto"/>
        </w:rPr>
        <w:t>The Contract has four copies with the Annex, and Party A, Party B, the business department, the tax department each hold a copy. All of them have the same effect.</w:t>
      </w:r>
    </w:p>
    <w:p>
      <w:pPr>
        <w:spacing w:after="0" w:line="201" w:lineRule="exact"/>
        <w:rPr>
          <w:sz w:val="20"/>
          <w:szCs w:val="20"/>
          <w:color w:val="auto"/>
        </w:rPr>
      </w:pPr>
    </w:p>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18-6</w:t>
      </w:r>
      <w:r>
        <w:rPr>
          <w:sz w:val="20"/>
          <w:szCs w:val="20"/>
          <w:color w:val="auto"/>
        </w:rPr>
        <w:tab/>
      </w:r>
      <w:r>
        <w:rPr>
          <w:rFonts w:ascii="Times New Roman" w:cs="Times New Roman" w:eastAsia="Times New Roman" w:hAnsi="Times New Roman"/>
          <w:sz w:val="16"/>
          <w:szCs w:val="16"/>
          <w:color w:val="auto"/>
        </w:rPr>
        <w:t>All fees and taxes related to the registration of the Contract (including but not limited to stamp duty) should be borne by both parties in accordance with the regulations of the People’s Republic of China and Shanghai.</w:t>
      </w:r>
    </w:p>
    <w:p>
      <w:pPr>
        <w:spacing w:after="0" w:line="143" w:lineRule="exact"/>
        <w:rPr>
          <w:sz w:val="20"/>
          <w:szCs w:val="20"/>
          <w:color w:val="auto"/>
        </w:rPr>
      </w:pPr>
    </w:p>
    <w:p>
      <w:pPr>
        <w:jc w:val="both"/>
        <w:ind w:left="580" w:right="20" w:hanging="576"/>
        <w:spacing w:after="0" w:line="267" w:lineRule="auto"/>
        <w:tabs>
          <w:tab w:leader="none" w:pos="560" w:val="left"/>
        </w:tabs>
        <w:rPr>
          <w:sz w:val="20"/>
          <w:szCs w:val="20"/>
          <w:color w:val="auto"/>
        </w:rPr>
      </w:pPr>
      <w:r>
        <w:rPr>
          <w:rFonts w:ascii="Times New Roman" w:cs="Times New Roman" w:eastAsia="Times New Roman" w:hAnsi="Times New Roman"/>
          <w:sz w:val="16"/>
          <w:szCs w:val="16"/>
          <w:color w:val="auto"/>
        </w:rPr>
        <w:t>18-7</w:t>
      </w:r>
      <w:r>
        <w:rPr>
          <w:sz w:val="20"/>
          <w:szCs w:val="20"/>
          <w:color w:val="auto"/>
        </w:rPr>
        <w:tab/>
      </w:r>
      <w:r>
        <w:rPr>
          <w:rFonts w:ascii="Times New Roman" w:cs="Times New Roman" w:eastAsia="Times New Roman" w:hAnsi="Times New Roman"/>
          <w:sz w:val="16"/>
          <w:szCs w:val="16"/>
          <w:color w:val="auto"/>
        </w:rPr>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w:t>
      </w:r>
    </w:p>
    <w:p>
      <w:pPr>
        <w:spacing w:after="0" w:line="156" w:lineRule="exact"/>
        <w:rPr>
          <w:sz w:val="20"/>
          <w:szCs w:val="20"/>
          <w:color w:val="auto"/>
        </w:rPr>
      </w:pPr>
    </w:p>
    <w:p>
      <w:pPr>
        <w:jc w:val="both"/>
        <w:ind w:left="580" w:right="20" w:hanging="576"/>
        <w:spacing w:after="0" w:line="283" w:lineRule="auto"/>
        <w:tabs>
          <w:tab w:leader="none" w:pos="560" w:val="left"/>
        </w:tabs>
        <w:rPr>
          <w:sz w:val="20"/>
          <w:szCs w:val="20"/>
          <w:color w:val="auto"/>
        </w:rPr>
      </w:pPr>
      <w:r>
        <w:rPr>
          <w:rFonts w:ascii="Times New Roman" w:cs="Times New Roman" w:eastAsia="Times New Roman" w:hAnsi="Times New Roman"/>
          <w:sz w:val="16"/>
          <w:szCs w:val="16"/>
          <w:color w:val="auto"/>
        </w:rPr>
        <w:t>18-8</w:t>
      </w:r>
      <w:r>
        <w:rPr>
          <w:sz w:val="20"/>
          <w:szCs w:val="20"/>
          <w:color w:val="auto"/>
        </w:rPr>
        <w:tab/>
      </w:r>
      <w:r>
        <w:rPr>
          <w:rFonts w:ascii="Times New Roman" w:cs="Times New Roman" w:eastAsia="Times New Roman" w:hAnsi="Times New Roman"/>
          <w:sz w:val="16"/>
          <w:szCs w:val="16"/>
          <w:color w:val="auto"/>
        </w:rPr>
        <w:t>Party B confirms that Party A has fully explained and explained the relevant terms of this Contract to Party B, and Party B accepts and accepts all the terms of this Contract, which are concluded by the parties through friendly negotiation.</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6"/>
          <w:szCs w:val="16"/>
          <w:color w:val="auto"/>
        </w:rPr>
        <w:t>Annex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Plan of the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wp:posOffset>
            </wp:positionV>
            <wp:extent cx="7147560"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211" w:name="page212"/>
    <w:bookmarkEnd w:id="211"/>
    <w:p>
      <w:pPr>
        <w:jc w:val="center"/>
        <w:ind w:right="-263"/>
        <w:spacing w:after="0"/>
        <w:rPr>
          <w:sz w:val="20"/>
          <w:szCs w:val="20"/>
          <w:color w:val="auto"/>
        </w:rPr>
      </w:pPr>
      <w:r>
        <w:rPr>
          <w:rFonts w:ascii="Times New Roman" w:cs="Times New Roman" w:eastAsia="Times New Roman" w:hAnsi="Times New Roman"/>
          <w:sz w:val="16"/>
          <w:szCs w:val="16"/>
          <w:color w:val="auto"/>
        </w:rPr>
        <w:t>Annex II</w:t>
      </w:r>
    </w:p>
    <w:p>
      <w:pPr>
        <w:spacing w:after="0" w:line="201"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6"/>
          <w:szCs w:val="16"/>
          <w:color w:val="auto"/>
        </w:rPr>
        <w:t>the existing decoration of the House, ancillary facilities and equipment status, and the decoration and additional facilities which Party A allows Party B to do in writing</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Status of delivery, housing delivery standards:</w:t>
      </w:r>
    </w:p>
    <w:p>
      <w:pPr>
        <w:spacing w:after="0" w:line="201" w:lineRule="exact"/>
        <w:rPr>
          <w:sz w:val="20"/>
          <w:szCs w:val="20"/>
          <w:color w:val="auto"/>
        </w:rPr>
      </w:pPr>
    </w:p>
    <w:p>
      <w:pPr>
        <w:ind w:left="284" w:hanging="284"/>
        <w:spacing w:after="0"/>
        <w:tabs>
          <w:tab w:leader="none" w:pos="28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part is well decorated(Including atrium, lobby, public corridor, toilet).</w:t>
      </w:r>
    </w:p>
    <w:p>
      <w:pPr>
        <w:spacing w:after="0" w:line="224"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(Office area)Interior wall paint white, mineral wool board ceiling, lighting installed, cement floor.</w:t>
      </w:r>
    </w:p>
    <w:p>
      <w:pPr>
        <w:spacing w:after="0" w:line="393" w:lineRule="exact"/>
        <w:rPr>
          <w:sz w:val="20"/>
          <w:szCs w:val="20"/>
          <w:color w:val="auto"/>
        </w:rPr>
      </w:pPr>
    </w:p>
    <w:p>
      <w:pPr>
        <w:jc w:val="center"/>
        <w:ind w:right="-263"/>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004"/>
          </w:cols>
          <w:pgMar w:left="316" w:top="820" w:right="579" w:bottom="1440" w:gutter="0" w:footer="0" w:header="0"/>
        </w:sectPr>
      </w:pPr>
    </w:p>
    <w:bookmarkStart w:id="212" w:name="page213"/>
    <w:bookmarkEnd w:id="212"/>
    <w:p>
      <w:pPr>
        <w:jc w:val="center"/>
        <w:ind w:right="-3"/>
        <w:spacing w:after="0"/>
        <w:rPr>
          <w:sz w:val="20"/>
          <w:szCs w:val="20"/>
          <w:color w:val="auto"/>
        </w:rPr>
      </w:pPr>
      <w:r>
        <w:rPr>
          <w:rFonts w:ascii="Times New Roman" w:cs="Times New Roman" w:eastAsia="Times New Roman" w:hAnsi="Times New Roman"/>
          <w:sz w:val="16"/>
          <w:szCs w:val="16"/>
          <w:color w:val="auto"/>
        </w:rPr>
        <w:t>Annex III</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Notice of Shanghai Pudong Software Park Park Enterprise Security Management</w:t>
      </w:r>
    </w:p>
    <w:p>
      <w:pPr>
        <w:spacing w:after="0" w:line="184"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56" w:lineRule="exact"/>
        <w:rPr>
          <w:sz w:val="20"/>
          <w:szCs w:val="20"/>
          <w:color w:val="auto"/>
        </w:rPr>
      </w:pPr>
    </w:p>
    <w:p>
      <w:pPr>
        <w:ind w:left="584" w:hanging="584"/>
        <w:spacing w:after="0"/>
        <w:tabs>
          <w:tab w:leader="none" w:pos="58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Management Responsibilities of Companies in the Park</w:t>
      </w:r>
    </w:p>
    <w:p>
      <w:pPr>
        <w:spacing w:after="0" w:line="200" w:lineRule="exact"/>
        <w:rPr>
          <w:rFonts w:ascii="Times New Roman" w:cs="Times New Roman" w:eastAsia="Times New Roman" w:hAnsi="Times New Roman"/>
          <w:sz w:val="16"/>
          <w:szCs w:val="16"/>
          <w:color w:val="auto"/>
        </w:rPr>
      </w:pPr>
    </w:p>
    <w:p>
      <w:pPr>
        <w:ind w:left="584" w:right="20"/>
        <w:spacing w:after="0" w:line="28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43" w:lineRule="exact"/>
        <w:rPr>
          <w:rFonts w:ascii="Times New Roman" w:cs="Times New Roman" w:eastAsia="Times New Roman" w:hAnsi="Times New Roman"/>
          <w:sz w:val="16"/>
          <w:szCs w:val="16"/>
          <w:color w:val="auto"/>
        </w:rPr>
      </w:pPr>
    </w:p>
    <w:p>
      <w:pPr>
        <w:jc w:val="both"/>
        <w:ind w:left="864" w:hanging="287"/>
        <w:spacing w:after="0" w:line="267"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55" w:lineRule="exact"/>
        <w:rPr>
          <w:rFonts w:ascii="Times New Roman" w:cs="Times New Roman" w:eastAsia="Times New Roman" w:hAnsi="Times New Roman"/>
          <w:sz w:val="16"/>
          <w:szCs w:val="16"/>
          <w:color w:val="auto"/>
        </w:rPr>
      </w:pPr>
    </w:p>
    <w:p>
      <w:pPr>
        <w:ind w:left="864" w:hanging="287"/>
        <w:spacing w:after="0" w:line="283"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Strictly abide by the laws, regulations and rules related to safety and possess the qualifications and conditions for safety production required for the operation of the business and industry.</w:t>
      </w:r>
    </w:p>
    <w:p>
      <w:pPr>
        <w:spacing w:after="0" w:line="143" w:lineRule="exact"/>
        <w:rPr>
          <w:rFonts w:ascii="Times New Roman" w:cs="Times New Roman" w:eastAsia="Times New Roman" w:hAnsi="Times New Roman"/>
          <w:sz w:val="16"/>
          <w:szCs w:val="16"/>
          <w:color w:val="auto"/>
        </w:rPr>
      </w:pPr>
    </w:p>
    <w:p>
      <w:pPr>
        <w:ind w:left="864" w:hanging="287"/>
        <w:spacing w:after="0" w:line="283"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143"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Requirements of Daily Operation</w:t>
      </w:r>
    </w:p>
    <w:p>
      <w:pPr>
        <w:spacing w:after="0" w:line="200" w:lineRule="exact"/>
        <w:rPr>
          <w:rFonts w:ascii="Times New Roman" w:cs="Times New Roman" w:eastAsia="Times New Roman" w:hAnsi="Times New Roman"/>
          <w:sz w:val="16"/>
          <w:szCs w:val="16"/>
          <w:color w:val="auto"/>
        </w:rPr>
      </w:pPr>
    </w:p>
    <w:p>
      <w:pPr>
        <w:jc w:val="both"/>
        <w:ind w:left="864" w:right="20" w:hanging="287"/>
        <w:spacing w:after="0" w:line="267"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55"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43" w:lineRule="exact"/>
        <w:rPr>
          <w:rFonts w:ascii="Times New Roman" w:cs="Times New Roman" w:eastAsia="Times New Roman" w:hAnsi="Times New Roman"/>
          <w:sz w:val="16"/>
          <w:szCs w:val="16"/>
          <w:color w:val="auto"/>
        </w:rPr>
      </w:pPr>
    </w:p>
    <w:p>
      <w:pPr>
        <w:jc w:val="both"/>
        <w:ind w:left="864" w:right="20" w:hanging="287"/>
        <w:spacing w:after="0" w:line="267" w:lineRule="auto"/>
        <w:tabs>
          <w:tab w:leader="none" w:pos="864"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13" w:name="page214"/>
    <w:bookmarkEnd w:id="213"/>
    <w:p>
      <w:pPr>
        <w:ind w:left="864" w:hanging="287"/>
        <w:spacing w:after="0"/>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Don’t produce, store toxic, harmful, flammable, explosive materials.</w:t>
      </w:r>
    </w:p>
    <w:p>
      <w:pPr>
        <w:spacing w:after="0" w:line="200"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Loading and unloading of goods in the designated area, do a good job of on-site safety supervision and support.</w:t>
      </w:r>
    </w:p>
    <w:p>
      <w:pPr>
        <w:spacing w:after="0" w:line="200"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strictly forbidden to lodge staff in the office area of Shanghai Pudong Software Park.</w:t>
      </w:r>
    </w:p>
    <w:p>
      <w:pPr>
        <w:spacing w:after="0" w:line="200"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of accidents or insecurity should be self-examination and timely rectification. Cooperate with Pu soft company and the property management unit for safety inspection and rectification.</w:t>
      </w:r>
    </w:p>
    <w:p>
      <w:pPr>
        <w:spacing w:after="0" w:line="143"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of Fire Safety</w:t>
      </w:r>
    </w:p>
    <w:p>
      <w:pPr>
        <w:spacing w:after="0" w:line="200"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Actively involved in the fire drill and cooperate with Pu soft company and property management units.</w:t>
      </w:r>
    </w:p>
    <w:p>
      <w:pPr>
        <w:spacing w:after="0" w:line="200"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43"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Smoking is strictly forbidden in non-smoking areas. It is forbidden to use open flame in violation of regulation.</w:t>
      </w:r>
    </w:p>
    <w:p>
      <w:pPr>
        <w:spacing w:after="0" w:line="200" w:lineRule="exact"/>
        <w:rPr>
          <w:rFonts w:ascii="Times New Roman" w:cs="Times New Roman" w:eastAsia="Times New Roman" w:hAnsi="Times New Roman"/>
          <w:sz w:val="16"/>
          <w:szCs w:val="16"/>
          <w:color w:val="auto"/>
        </w:rPr>
      </w:pPr>
    </w:p>
    <w:p>
      <w:pPr>
        <w:ind w:left="864" w:hanging="287"/>
        <w:spacing w:after="0"/>
        <w:tabs>
          <w:tab w:leader="none" w:pos="86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forbidden to block, close, occupy the evacuation routes and entrances and exits.</w:t>
      </w:r>
    </w:p>
    <w:p>
      <w:pPr>
        <w:spacing w:after="0" w:line="200" w:lineRule="exact"/>
        <w:rPr>
          <w:rFonts w:ascii="Times New Roman" w:cs="Times New Roman" w:eastAsia="Times New Roman" w:hAnsi="Times New Roman"/>
          <w:sz w:val="16"/>
          <w:szCs w:val="16"/>
          <w:color w:val="auto"/>
        </w:rPr>
      </w:pPr>
    </w:p>
    <w:p>
      <w:pPr>
        <w:ind w:left="584" w:hanging="584"/>
        <w:spacing w:after="0"/>
        <w:tabs>
          <w:tab w:leader="none" w:pos="584"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of Security and Traffic Safety</w:t>
      </w:r>
    </w:p>
    <w:p>
      <w:pPr>
        <w:spacing w:after="0" w:line="200"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staff’s awareness of personal safety, property safety and traffic safety. Properly store their valuables such as cash and securities, and set up more reliable safety precautions to prevent theft.</w:t>
      </w:r>
    </w:p>
    <w:p>
      <w:pPr>
        <w:spacing w:after="0" w:line="143" w:lineRule="exact"/>
        <w:rPr>
          <w:rFonts w:ascii="Times New Roman" w:cs="Times New Roman" w:eastAsia="Times New Roman" w:hAnsi="Times New Roman"/>
          <w:sz w:val="16"/>
          <w:szCs w:val="16"/>
          <w:color w:val="auto"/>
        </w:rPr>
      </w:pPr>
    </w:p>
    <w:p>
      <w:pPr>
        <w:ind w:left="864" w:right="20" w:hanging="287"/>
        <w:spacing w:after="0" w:line="283" w:lineRule="auto"/>
        <w:tabs>
          <w:tab w:leader="none" w:pos="86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motor vehicles owned by their employees or their employees’ relatives shall strictly follow the traffic lights’ instruction and traffic signs’ instruction to drive. Parking in the line with norms and regulations.</w:t>
      </w:r>
    </w:p>
    <w:p>
      <w:pPr>
        <w:spacing w:after="0" w:line="14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If any unexpected incident or accident occurs, including but not limited to safety production, anti-crime, traffic or public security, it shall be reported to Pu soft as soon as possible. In the case of emergencies, it shall be reported directly to the police, fire department, rescue department and other departments immediately, afterwards be reported to Pu soft company.(contact:400-676-1818,61821818)</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14" w:name="page215"/>
    <w:bookmarkEnd w:id="214"/>
    <w:p>
      <w:pPr>
        <w:spacing w:after="0"/>
        <w:tabs>
          <w:tab w:leader="none" w:pos="5720" w:val="left"/>
        </w:tabs>
        <w:rPr>
          <w:sz w:val="20"/>
          <w:szCs w:val="20"/>
          <w:color w:val="auto"/>
        </w:rPr>
      </w:pPr>
      <w:r>
        <w:rPr>
          <w:rFonts w:ascii="Times New Roman" w:cs="Times New Roman" w:eastAsia="Times New Roman" w:hAnsi="Times New Roman"/>
          <w:sz w:val="16"/>
          <w:szCs w:val="16"/>
          <w:color w:val="auto"/>
        </w:rPr>
        <w:t>Lessor (Party A):</w:t>
      </w:r>
      <w:r>
        <w:rPr>
          <w:sz w:val="20"/>
          <w:szCs w:val="20"/>
          <w:color w:val="auto"/>
        </w:rPr>
        <w:tab/>
      </w:r>
      <w:r>
        <w:rPr>
          <w:rFonts w:ascii="Times New Roman" w:cs="Times New Roman" w:eastAsia="Times New Roman" w:hAnsi="Times New Roman"/>
          <w:sz w:val="16"/>
          <w:szCs w:val="16"/>
          <w:color w:val="auto"/>
        </w:rPr>
        <w:t>Lessee (Party B):</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Pudong Software Park Co., Ltd.Shanghai Chenqin Information Technology Services Co.,Ltd.</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legal representative:</w:t>
      </w:r>
      <w:r>
        <w:rPr>
          <w:sz w:val="20"/>
          <w:szCs w:val="20"/>
          <w:color w:val="auto"/>
        </w:rPr>
        <w:tab/>
      </w:r>
      <w:r>
        <w:rPr>
          <w:rFonts w:ascii="Times New Roman" w:cs="Times New Roman" w:eastAsia="Times New Roman" w:hAnsi="Times New Roman"/>
          <w:sz w:val="16"/>
          <w:szCs w:val="16"/>
          <w:color w:val="auto"/>
        </w:rPr>
        <w:t>legal representative:</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Address:</w:t>
      </w:r>
      <w:r>
        <w:rPr>
          <w:sz w:val="20"/>
          <w:szCs w:val="20"/>
          <w:color w:val="auto"/>
        </w:rPr>
        <w:tab/>
      </w:r>
      <w:r>
        <w:rPr>
          <w:rFonts w:ascii="Times New Roman" w:cs="Times New Roman" w:eastAsia="Times New Roman" w:hAnsi="Times New Roman"/>
          <w:sz w:val="16"/>
          <w:szCs w:val="16"/>
          <w:color w:val="auto"/>
        </w:rPr>
        <w:t>Address: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Guo Shoujing Road No.498, Zhang Jiang High Tech Park, Pudong, Shanghai</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Contact number:</w:t>
      </w:r>
      <w:r>
        <w:rPr>
          <w:sz w:val="20"/>
          <w:szCs w:val="20"/>
          <w:color w:val="auto"/>
        </w:rPr>
        <w:tab/>
      </w:r>
      <w:r>
        <w:rPr>
          <w:rFonts w:ascii="Times New Roman" w:cs="Times New Roman" w:eastAsia="Times New Roman" w:hAnsi="Times New Roman"/>
          <w:sz w:val="16"/>
          <w:szCs w:val="16"/>
          <w:color w:val="auto"/>
        </w:rPr>
        <w:t>Contact number: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Boyun Road No.2, Pudong, Shanghai</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Postcode:</w:t>
      </w:r>
      <w:r>
        <w:rPr>
          <w:sz w:val="20"/>
          <w:szCs w:val="20"/>
          <w:color w:val="auto"/>
        </w:rPr>
        <w:tab/>
      </w:r>
      <w:r>
        <w:rPr>
          <w:rFonts w:ascii="Times New Roman" w:cs="Times New Roman" w:eastAsia="Times New Roman" w:hAnsi="Times New Roman"/>
          <w:sz w:val="16"/>
          <w:szCs w:val="16"/>
          <w:color w:val="auto"/>
        </w:rPr>
        <w:t>Postcode: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201213</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Phone:</w:t>
      </w:r>
      <w:r>
        <w:rPr>
          <w:sz w:val="20"/>
          <w:szCs w:val="20"/>
          <w:color w:val="auto"/>
        </w:rPr>
        <w:tab/>
      </w:r>
      <w:r>
        <w:rPr>
          <w:rFonts w:ascii="Times New Roman" w:cs="Times New Roman" w:eastAsia="Times New Roman" w:hAnsi="Times New Roman"/>
          <w:sz w:val="16"/>
          <w:szCs w:val="16"/>
          <w:color w:val="auto"/>
        </w:rPr>
        <w:t>Phone: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61821818</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Delegate Agent:</w:t>
      </w:r>
      <w:r>
        <w:rPr>
          <w:sz w:val="20"/>
          <w:szCs w:val="20"/>
          <w:color w:val="auto"/>
        </w:rPr>
        <w:tab/>
      </w:r>
      <w:r>
        <w:rPr>
          <w:rFonts w:ascii="Times New Roman" w:cs="Times New Roman" w:eastAsia="Times New Roman" w:hAnsi="Times New Roman"/>
          <w:sz w:val="16"/>
          <w:szCs w:val="16"/>
          <w:color w:val="auto"/>
        </w:rPr>
        <w:t>Delegate Agent:</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Signature and seal:</w:t>
      </w:r>
      <w:r>
        <w:rPr>
          <w:sz w:val="20"/>
          <w:szCs w:val="20"/>
          <w:color w:val="auto"/>
        </w:rPr>
        <w:tab/>
      </w:r>
      <w:r>
        <w:rPr>
          <w:rFonts w:ascii="Times New Roman" w:cs="Times New Roman" w:eastAsia="Times New Roman" w:hAnsi="Times New Roman"/>
          <w:sz w:val="16"/>
          <w:szCs w:val="16"/>
          <w:color w:val="auto"/>
        </w:rPr>
        <w:t>Signature and seal:</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Date of contracting: September 5, 2023</w:t>
      </w:r>
      <w:r>
        <w:rPr>
          <w:sz w:val="20"/>
          <w:szCs w:val="20"/>
          <w:color w:val="auto"/>
        </w:rPr>
        <w:tab/>
      </w:r>
      <w:r>
        <w:rPr>
          <w:rFonts w:ascii="Times New Roman" w:cs="Times New Roman" w:eastAsia="Times New Roman" w:hAnsi="Times New Roman"/>
          <w:sz w:val="15"/>
          <w:szCs w:val="15"/>
          <w:color w:val="auto"/>
        </w:rPr>
        <w:t>Date of contracting:</w:t>
      </w:r>
    </w:p>
    <w:p>
      <w:pPr>
        <w:spacing w:after="0" w:line="20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6"/>
          <w:szCs w:val="16"/>
          <w:color w:val="auto"/>
        </w:rPr>
        <w:t>Place of contract:</w:t>
      </w:r>
      <w:r>
        <w:rPr>
          <w:sz w:val="20"/>
          <w:szCs w:val="20"/>
          <w:color w:val="auto"/>
        </w:rPr>
        <w:tab/>
      </w:r>
      <w:r>
        <w:rPr>
          <w:rFonts w:ascii="Times New Roman" w:cs="Times New Roman" w:eastAsia="Times New Roman" w:hAnsi="Times New Roman"/>
          <w:sz w:val="15"/>
          <w:szCs w:val="15"/>
          <w:color w:val="auto"/>
        </w:rPr>
        <w:t>Place of contract: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47560" cy="152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39"/>
          </w:cols>
          <w:pgMar w:left="320" w:top="821" w:right="1440" w:bottom="1440" w:gutter="0" w:footer="0" w:header="0"/>
        </w:sectPr>
      </w:pPr>
    </w:p>
    <w:bookmarkStart w:id="215" w:name="page216"/>
    <w:bookmarkEnd w:id="215"/>
    <w:p>
      <w:pPr>
        <w:ind w:left="10420"/>
        <w:spacing w:after="0"/>
        <w:rPr>
          <w:sz w:val="20"/>
          <w:szCs w:val="20"/>
          <w:color w:val="auto"/>
        </w:rPr>
      </w:pPr>
      <w:r>
        <w:rPr>
          <w:rFonts w:ascii="Times New Roman" w:cs="Times New Roman" w:eastAsia="Times New Roman" w:hAnsi="Times New Roman"/>
          <w:sz w:val="16"/>
          <w:szCs w:val="16"/>
          <w:b w:val="1"/>
          <w:bCs w:val="1"/>
          <w:color w:val="auto"/>
        </w:rPr>
        <w:t>Exhibit 10.9</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Rental Contract for Shanghai Pudong Software Park Guo Shoujing Park</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NO:ZL(R)20230108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Both parties to this contract: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 (Lessor): Shanghai Pudong Software Park Co., Ltd.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B (Lessee): CLPS Shanghai Co., Ltd.</w:t>
      </w:r>
    </w:p>
    <w:p>
      <w:pPr>
        <w:spacing w:after="0" w:line="1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According to </w:t>
      </w:r>
      <w:r>
        <w:rPr>
          <w:rFonts w:ascii="Times New Roman" w:cs="Times New Roman" w:eastAsia="Times New Roman" w:hAnsi="Times New Roman"/>
          <w:sz w:val="16"/>
          <w:szCs w:val="16"/>
          <w:b w:val="1"/>
          <w:bCs w:val="1"/>
          <w:i w:val="1"/>
          <w:iCs w:val="1"/>
          <w:color w:val="auto"/>
        </w:rPr>
        <w:t>Contract Law of the People’s Republic of China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i w:val="1"/>
          <w:iCs w:val="1"/>
          <w:color w:val="auto"/>
        </w:rPr>
        <w:t>Regulations of Shanghai Municipality on House Leasing</w:t>
      </w:r>
      <w:r>
        <w:rPr>
          <w:rFonts w:ascii="Times New Roman" w:cs="Times New Roman" w:eastAsia="Times New Roman" w:hAnsi="Times New Roman"/>
          <w:sz w:val="16"/>
          <w:szCs w:val="16"/>
          <w:color w:val="auto"/>
        </w:rPr>
        <w:t>, both parties conclude the contract on the basis of equality, voluntariness, fairness, honesty and credibility, for consenting that Party B should lease the house that Party A can lease according to law.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w:t>
      </w:r>
    </w:p>
    <w:p>
      <w:pPr>
        <w:spacing w:after="0" w:line="201" w:lineRule="exact"/>
        <w:rPr>
          <w:sz w:val="20"/>
          <w:szCs w:val="20"/>
          <w:color w:val="auto"/>
        </w:rPr>
      </w:pPr>
    </w:p>
    <w:p>
      <w:pPr>
        <w:jc w:val="both"/>
        <w:ind w:left="46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The house which is rented to Party B by Party A is located in Room 18201/18202/18203/18204/18205/18206/18207/18208, Building 17, Guo Shoujing Road No.498, Zhang Jiang High Tech Park, Pudong, Shanghai (hereinafter referred to as “the House”). The building area of the House is 1259.94 square meters. The House should be used for research and development and office. The structure of the House is reinforced concrete structure. The plan of the house is shown in Annex I (of this contract).</w:t>
      </w:r>
    </w:p>
    <w:p>
      <w:pPr>
        <w:spacing w:after="0" w:line="156"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Party A establishes a leasing relationship with Party B as the real estate owner of the House. Party A has told Party B and Party B has fully known that the House has been mortgaged before the contract is signed.</w:t>
      </w:r>
    </w:p>
    <w:p>
      <w:pPr>
        <w:spacing w:after="0" w:line="143" w:lineRule="exact"/>
        <w:rPr>
          <w:sz w:val="20"/>
          <w:szCs w:val="20"/>
          <w:color w:val="auto"/>
        </w:rPr>
      </w:pPr>
    </w:p>
    <w:p>
      <w:pPr>
        <w:jc w:val="both"/>
        <w:ind w:left="460" w:hanging="456"/>
        <w:spacing w:after="0" w:line="261" w:lineRule="auto"/>
        <w:tabs>
          <w:tab w:leader="none" w:pos="4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The following (if any) is shown in Annex II and/or supplementary agreements of the Contract: the scope of use, conditions and requirements of public or shared parts of the House, the existing decoration of the House, ancillary facilities and equipment status, and the contents, standards, related matters of the decoration and additional facilities which Party A allows Party B to do in writing. Both parties agree that all attachments and supplementary agreements should be a basis for acceptance of housing delivery and return when the Contract is terminated or released.</w:t>
      </w:r>
    </w:p>
    <w:p>
      <w:pPr>
        <w:spacing w:after="0" w:line="162"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When the Contract is signed, the House has accepted and used by Party B, and Party B confirm that the House can fit the purpose and acquirement of rental at the beginning of the tenancy term. On the basis of Party B’s occupancy of the House, Party A does not have to perform any further duty to deliver the House to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361315</wp:posOffset>
            </wp:positionV>
            <wp:extent cx="7147560" cy="152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color w:val="auto"/>
        </w:rPr>
        <w:t>2. Rental Purposes</w:t>
      </w:r>
    </w:p>
    <w:p>
      <w:pPr>
        <w:spacing w:after="0" w:line="201" w:lineRule="exact"/>
        <w:rPr>
          <w:sz w:val="20"/>
          <w:szCs w:val="20"/>
          <w:color w:val="auto"/>
        </w:rPr>
      </w:pPr>
    </w:p>
    <w:p>
      <w:pPr>
        <w:jc w:val="both"/>
        <w:ind w:left="46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6"/>
          <w:szCs w:val="16"/>
          <w:color w:val="auto"/>
        </w:rPr>
        <w:t>Party B has fully known the House’s properties and uses and Party B promises to Party A that the House will only be used for research and development and office and Party B will abide by the state and the city regulations on the use of housing and property management.</w:t>
      </w:r>
    </w:p>
    <w:p>
      <w:pPr>
        <w:spacing w:after="0" w:line="143" w:lineRule="exact"/>
        <w:rPr>
          <w:sz w:val="20"/>
          <w:szCs w:val="20"/>
          <w:color w:val="auto"/>
        </w:rPr>
      </w:pPr>
    </w:p>
    <w:p>
      <w:pPr>
        <w:jc w:val="both"/>
        <w:ind w:left="46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color w:val="auto"/>
        </w:rPr>
        <w:t>Party B promises that the above-mentioned purpose of the use will not be changed during the rental term unless such change gets Party A’s written consent and is approved by the relevant departments according to relative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Renewal Term</w:t>
      </w:r>
    </w:p>
    <w:p>
      <w:pPr>
        <w:spacing w:after="0" w:line="20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Contract is a renewal contract based on the original contract (No. ZL(R)20210069) which was signed for renting the House.</w:t>
      </w:r>
    </w:p>
    <w:p>
      <w:pPr>
        <w:spacing w:after="0" w:line="20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32"/>
          <w:szCs w:val="32"/>
          <w:color w:val="auto"/>
          <w:vertAlign w:val="superscript"/>
        </w:rPr>
        <w:t>3-2</w:t>
      </w:r>
      <w:r>
        <w:rPr>
          <w:sz w:val="20"/>
          <w:szCs w:val="20"/>
          <w:color w:val="auto"/>
        </w:rPr>
        <w:tab/>
      </w:r>
      <w:r>
        <w:rPr>
          <w:rFonts w:ascii="Times New Roman" w:cs="Times New Roman" w:eastAsia="Times New Roman" w:hAnsi="Times New Roman"/>
          <w:sz w:val="15"/>
          <w:szCs w:val="15"/>
          <w:color w:val="auto"/>
        </w:rPr>
        <w:t>The renewal term is from July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5"/>
          <w:szCs w:val="15"/>
          <w:color w:val="auto"/>
        </w:rPr>
        <w:t>, 2024 (hereinafter referred to as “lease date”) to September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2026 (hereinafter referred to as “terminal date”).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 Rent and Payment Methods</w:t>
      </w:r>
    </w:p>
    <w:p>
      <w:pPr>
        <w:spacing w:after="0" w:line="199" w:lineRule="exact"/>
        <w:rPr>
          <w:sz w:val="20"/>
          <w:szCs w:val="20"/>
          <w:color w:val="auto"/>
        </w:rPr>
      </w:pPr>
    </w:p>
    <w:p>
      <w:pPr>
        <w:jc w:val="both"/>
        <w:ind w:left="46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Both Parties agree that the unit rental price is counted according to the daily construction area per square meter. The rent will be counted from July 1st, 2021 (hereinafter referred to as “rent date”) to terminal date.</w:t>
      </w:r>
    </w:p>
    <w:p>
      <w:pPr>
        <w:spacing w:after="0" w:line="1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From July 1st, 2024 to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2025, the unit rental price is RMB 4.16</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From July 1st, 2025 to September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2026, the unit rental price is RMB 4.24</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above unit rental prices are tax-inclusive prices)</w:t>
      </w:r>
    </w:p>
    <w:p>
      <w:pPr>
        <w:spacing w:after="0" w:line="201" w:lineRule="exact"/>
        <w:rPr>
          <w:sz w:val="20"/>
          <w:szCs w:val="20"/>
          <w:color w:val="auto"/>
        </w:rPr>
      </w:pPr>
    </w:p>
    <w:p>
      <w:pPr>
        <w:jc w:val="both"/>
        <w:ind w:left="460" w:hanging="456"/>
        <w:spacing w:after="0" w:line="198" w:lineRule="exact"/>
        <w:tabs>
          <w:tab w:leader="none" w:pos="4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5"/>
          <w:szCs w:val="15"/>
          <w:color w:val="auto"/>
        </w:rPr>
        <w:t xml:space="preserve">Party B should pay the rent for the first month no later than the rent date. The days for calculating the rent for the first mouth is started form the rent date to the last day of the mouth. The monthly rent will be calculated and paid according to the calendar days of the month (the monthly rent calculation formula is: housing construction area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unit rental price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the calendar days of the month. The monthly rental amount is rounded to one decimal place). Party B should pay the rent to Party A before the</w:t>
      </w:r>
    </w:p>
    <w:p>
      <w:pPr>
        <w:spacing w:after="0" w:line="2" w:lineRule="exact"/>
        <w:rPr>
          <w:sz w:val="20"/>
          <w:szCs w:val="20"/>
          <w:color w:val="auto"/>
        </w:rPr>
      </w:pPr>
    </w:p>
    <w:p>
      <w:pPr>
        <w:ind w:left="460"/>
        <w:spacing w:after="0" w:line="208" w:lineRule="auto"/>
        <w:rPr>
          <w:sz w:val="20"/>
          <w:szCs w:val="20"/>
          <w:color w:val="auto"/>
        </w:rPr>
      </w:pPr>
      <w:r>
        <w:rPr>
          <w:rFonts w:ascii="Times New Roman" w:cs="Times New Roman" w:eastAsia="Times New Roman" w:hAnsi="Times New Roman"/>
          <w:sz w:val="16"/>
          <w:szCs w:val="16"/>
          <w:color w:val="auto"/>
        </w:rPr>
        <w:t>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of each month (in case of national legal holidays postponed to the next working day). The last month’s rent should be calculated from the first day of last month to the terminal day. If the days of the last month are less than 10, the last month’s rent should be paid before the terminal date. If the days of the last month are not less</w:t>
      </w:r>
    </w:p>
    <w:p>
      <w:pPr>
        <w:spacing w:after="0" w:line="1" w:lineRule="exact"/>
        <w:rPr>
          <w:sz w:val="20"/>
          <w:szCs w:val="20"/>
          <w:color w:val="auto"/>
        </w:rPr>
      </w:pPr>
    </w:p>
    <w:p>
      <w:pPr>
        <w:ind w:left="460"/>
        <w:spacing w:after="0" w:line="209" w:lineRule="auto"/>
        <w:rPr>
          <w:sz w:val="20"/>
          <w:szCs w:val="20"/>
          <w:color w:val="auto"/>
        </w:rPr>
      </w:pPr>
      <w:r>
        <w:rPr>
          <w:rFonts w:ascii="Times New Roman" w:cs="Times New Roman" w:eastAsia="Times New Roman" w:hAnsi="Times New Roman"/>
          <w:sz w:val="16"/>
          <w:szCs w:val="16"/>
          <w:color w:val="auto"/>
        </w:rPr>
        <w:t>than 10, the last month’s rent should be paid before the10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of the month (in case of national legal holidays postponed to the next working day). Party A should issue the corresponding rental invoice to Party B within 3 working days after receiving the rent of the month.</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17" w:name="page218"/>
    <w:bookmarkEnd w:id="217"/>
    <w:p>
      <w:pPr>
        <w:jc w:val="both"/>
        <w:ind w:left="46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Party A should issue the corresponding rental invoice to Party B within 3 working days after receiving the rent of the month. In the term of the Contract, if the invoice type or tax rate changes due to the change of taxation policies of the state and government, Party B agrees to adjust the price of rent and deposit according to the latest tax rate during the remaining lease. At that time, Party A will give Party B a formal notice, and both Parties should sign up supplementary agreements.</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5"/>
          <w:szCs w:val="15"/>
          <w:color w:val="auto"/>
        </w:rPr>
        <w:t>Party B pays the rent to Party A’s following account by check or transfer:</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Shanghai Pudong Software Park Co.,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1001194909004601783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ICBC Shanghai Zhangjiang sub branch</w:t>
      </w:r>
    </w:p>
    <w:p>
      <w:pPr>
        <w:spacing w:after="0" w:line="184" w:lineRule="exact"/>
        <w:rPr>
          <w:sz w:val="20"/>
          <w:szCs w:val="20"/>
          <w:color w:val="auto"/>
        </w:rPr>
      </w:pPr>
    </w:p>
    <w:p>
      <w:pPr>
        <w:jc w:val="both"/>
        <w:ind w:left="460" w:right="2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6"/>
          <w:szCs w:val="16"/>
          <w:color w:val="auto"/>
        </w:rPr>
        <w:t>The rent is denominated and settled in RMB. In any case that the rent needs to be denominated and settled in other currency (the currency should be accepted by Chinese banks and convertible into RMB), the actual amount of RMB exchanged by the bank designated by Party A shall prevail. Relevant fees due to the payment (such as bank charges) should be borne by Party B.</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color w:val="auto"/>
        </w:rPr>
        <w:t>Party A may entrust a property management company to assist in collecting the rent.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 Rental Deposit and Other Fees</w:t>
      </w:r>
    </w:p>
    <w:p>
      <w:pPr>
        <w:spacing w:after="0" w:line="201" w:lineRule="exact"/>
        <w:rPr>
          <w:sz w:val="20"/>
          <w:szCs w:val="20"/>
          <w:color w:val="auto"/>
        </w:rPr>
      </w:pPr>
    </w:p>
    <w:p>
      <w:pPr>
        <w:jc w:val="both"/>
        <w:ind w:left="460" w:hanging="456"/>
        <w:spacing w:after="0" w:line="256" w:lineRule="auto"/>
        <w:tabs>
          <w:tab w:leader="none" w:pos="44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color w:val="auto"/>
        </w:rPr>
        <w:t>Both Parties agree that Party B shall pay rental deposit to Party A within 5 working days after signing the Contract. The amount of the deposit is equivalent to the rent for the three months (90 days) of the highest unit price within the lease term, which is RMB 480,793. Party B has paid RMB 462,650 for rental deposit under the original contract, and it will be automatically converted to the deposit under the Contract after the Contract becomes effective. The margin of the deposit is RMB 18,143, and Party B shall pay it to Party A within 5 working days after signing the Contract. Party A shall issue a receipt to Party B after receiving the deposit. If Party B fails to pay the lease deposit in full to Party A in accordance with the provisions of this contract, Party B shall pay Party A late payment fee of 0.03% of the outstanding amount per day, until the full payment is completed. If Party B delays or fails to pay more than 15 working days, Party A has the right to rescind the contract.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18" w:name="page219"/>
    <w:bookmarkEnd w:id="218"/>
    <w:p>
      <w:pPr>
        <w:jc w:val="both"/>
        <w:ind w:left="440"/>
        <w:spacing w:after="0" w:line="259" w:lineRule="auto"/>
        <w:rPr>
          <w:sz w:val="20"/>
          <w:szCs w:val="20"/>
          <w:color w:val="auto"/>
        </w:rPr>
      </w:pPr>
      <w:r>
        <w:rPr>
          <w:rFonts w:ascii="Times New Roman" w:cs="Times New Roman" w:eastAsia="Times New Roman" w:hAnsi="Times New Roman"/>
          <w:sz w:val="16"/>
          <w:szCs w:val="16"/>
          <w:color w:val="auto"/>
        </w:rPr>
        <w:t>During the term of this contract, Party B shall, due to breach of contract, pay liquidated damages and/or damages to Party A in accordance with the provisions of this contract, and Party B shall separately pay Party A liquidated damages and/or damages, and shall not have the right to request Party A to deduct from the above deposit. Party A shall have the right (without any obligation) to deduct such liquidated damages and / or damages from Party B’s rental deposit and notify Party B in writing of the amount of the deduction and margin supplement. Party B should pay Party A to complement the margin within 5 working days after accepting the notice from Party A.</w:t>
      </w:r>
    </w:p>
    <w:p>
      <w:pPr>
        <w:spacing w:after="0" w:line="162" w:lineRule="exact"/>
        <w:rPr>
          <w:sz w:val="20"/>
          <w:szCs w:val="20"/>
          <w:color w:val="auto"/>
        </w:rPr>
      </w:pPr>
    </w:p>
    <w:p>
      <w:pPr>
        <w:jc w:val="both"/>
        <w:ind w:left="440"/>
        <w:spacing w:after="0" w:line="259" w:lineRule="auto"/>
        <w:rPr>
          <w:sz w:val="20"/>
          <w:szCs w:val="20"/>
          <w:color w:val="auto"/>
        </w:rPr>
      </w:pPr>
      <w:r>
        <w:rPr>
          <w:rFonts w:ascii="Times New Roman" w:cs="Times New Roman" w:eastAsia="Times New Roman" w:hAnsi="Times New Roman"/>
          <w:sz w:val="16"/>
          <w:szCs w:val="16"/>
          <w:color w:val="auto"/>
        </w:rPr>
        <w:t>Within 10 working days after the termination of the lease, Party A will refund Party B the balance of deposit to offset the fees (with no interest) which Party B should bear under the Contract (including but not limited to the monthly rent payable by Party B, property management fees, energy consumption, Party B’s liquidated damages and / or compensation for damages). However, if Party B uses the House for the registration of Party B’s residence, Party B shall, within 30 days from the date of the termination of the lease, complete the cancellation or alteration registration, and deliver the copy of the registration approval to Party A for record. Party A shall return the lease deposit to Party B according to the above term after that.</w:t>
      </w:r>
    </w:p>
    <w:p>
      <w:pPr>
        <w:spacing w:after="0" w:line="162" w:lineRule="exact"/>
        <w:rPr>
          <w:sz w:val="20"/>
          <w:szCs w:val="20"/>
          <w:color w:val="auto"/>
        </w:rPr>
      </w:pPr>
    </w:p>
    <w:p>
      <w:pPr>
        <w:jc w:val="both"/>
        <w:ind w:left="460" w:hanging="456"/>
        <w:spacing w:after="0" w:line="264" w:lineRule="auto"/>
        <w:tabs>
          <w:tab w:leader="none" w:pos="44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color w:val="auto"/>
        </w:rPr>
        <w:t>Besides the house rent and property management fees, Party B shall bear the costs of energy consumption (electricity, water and gas), communication expenses, rental fees for equipment and facilities incurred for its own use. Party A shall install separate meter for Party B’s energy consumption and collect the fees from Party B according to the meter reading before transferring it to the offices of utilities. Party A may entrust property management companies to assist in collecting the above fees.</w:t>
      </w:r>
    </w:p>
    <w:p>
      <w:pPr>
        <w:spacing w:after="0" w:line="355" w:lineRule="exact"/>
        <w:rPr>
          <w:sz w:val="20"/>
          <w:szCs w:val="20"/>
          <w:color w:val="auto"/>
        </w:rPr>
      </w:pPr>
    </w:p>
    <w:p>
      <w:pPr>
        <w:jc w:val="both"/>
        <w:ind w:left="46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color w:val="auto"/>
        </w:rPr>
        <w:t>Both parties agree that the property management company entrusted by Party A (hereinafter referred to as “the management company”) is responsible for the property management of the House. At the time of signing the Contract, the management company is Shanghai Puyuan Property Management Co., Ltd., which will be responsible for the property equipment operation, daily management and services of the House. Party B shall pay the property management fee. Party B shall sign the Property Management Agreement with the property management company prior to the transfer of the House. Property management fee and payment method of the House shall be implemented in accordance with the Property Management Agreement signed by Party B and the property management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 Housing Requirements and Maintenance Responsibilities</w:t>
      </w:r>
    </w:p>
    <w:p>
      <w:pPr>
        <w:spacing w:after="0" w:line="201" w:lineRule="exact"/>
        <w:rPr>
          <w:sz w:val="20"/>
          <w:szCs w:val="20"/>
          <w:color w:val="auto"/>
        </w:rPr>
      </w:pPr>
    </w:p>
    <w:p>
      <w:pPr>
        <w:jc w:val="both"/>
        <w:ind w:left="46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color w:val="auto"/>
        </w:rPr>
        <w:t>During the rental term, Party A promises that the House and its ancillary public facilities would be in normal usable and safe condition. If Party B finds that there is any damage or malfunction of the House or its ancillary public facilities (other than Party B’s decoration and equipment), Party B shall notice Party A and / or the management company to repair. Party A and / or the management company shall conduct inspection or repair in 48 hours after receiving the written notice from Party B and repair it within the period agreed on by both parties or within a reasonable period. If Party A shall assume the responsibility for maintenance but Party A fails to repair it overdue, Party B may take the maintenance for it and reasonable maintenance expenses shall be borne by Party A.</w:t>
      </w:r>
    </w:p>
    <w:p>
      <w:pPr>
        <w:spacing w:after="0" w:line="162" w:lineRule="exact"/>
        <w:rPr>
          <w:sz w:val="20"/>
          <w:szCs w:val="20"/>
          <w:color w:val="auto"/>
        </w:rPr>
      </w:pPr>
    </w:p>
    <w:p>
      <w:pPr>
        <w:jc w:val="both"/>
        <w:ind w:left="460" w:right="2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color w:val="auto"/>
        </w:rPr>
        <w:t>During the rental term, Party B shall fair use and take good care of the House and its affiliated public facilities, and take various preventive measures to make the House safe from rain, wind or other natural causes. Party B shall assume maintenance responsibility for the improper or unreasonable use of Party B which results in the damage or failure of the House and its affiliated public facilities. If Party B refuses to assume responsibility for maintenance, Party A can take the maintenance on behalf of Party B, and reasonable maintenance costs borne by Party B. The maintenance of non-public facilities which is owned by Party B can be entrusted to the property management companies, and maintenance costs borne by Party B.</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19" w:name="page220"/>
    <w:bookmarkEnd w:id="219"/>
    <w:p>
      <w:pPr>
        <w:jc w:val="both"/>
        <w:ind w:left="460" w:right="20" w:hanging="456"/>
        <w:spacing w:after="0" w:line="261" w:lineRule="auto"/>
        <w:tabs>
          <w:tab w:leader="none" w:pos="44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color w:val="auto"/>
        </w:rPr>
        <w:t>Party B shall strictly follow the applicable laws, regulations, rules and regulations of China and use the House in accordance with the contractual purposes, especially not to use the House in any unreasonable or unethical way. Party B will not use the House in any way that invalidates or increases the risk of insurance. Party B shall ensure that the business activities engaged in using the House have obtained the business license issued by the government administration for industry and commerce and guarantee that legal registration and permission shall be kept throughout the lease period.</w:t>
      </w:r>
    </w:p>
    <w:p>
      <w:pPr>
        <w:spacing w:after="0" w:line="162" w:lineRule="exact"/>
        <w:rPr>
          <w:sz w:val="20"/>
          <w:szCs w:val="20"/>
          <w:color w:val="auto"/>
        </w:rPr>
      </w:pPr>
    </w:p>
    <w:p>
      <w:pPr>
        <w:jc w:val="both"/>
        <w:ind w:left="46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6"/>
          <w:szCs w:val="16"/>
          <w:color w:val="auto"/>
        </w:rPr>
        <w:t>During the rental term, Party A reserves the right to publish or authorize others to advertise, improve or add public facilities in other proper places where is not exclusively for Party B. Party A shall not affect Party B’s normal use of the House and Party B’s Normal business.</w:t>
      </w:r>
    </w:p>
    <w:p>
      <w:pPr>
        <w:spacing w:after="0" w:line="143"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6-5</w:t>
      </w:r>
      <w:r>
        <w:rPr>
          <w:sz w:val="20"/>
          <w:szCs w:val="20"/>
          <w:color w:val="auto"/>
        </w:rPr>
        <w:tab/>
      </w:r>
      <w:r>
        <w:rPr>
          <w:rFonts w:ascii="Times New Roman" w:cs="Times New Roman" w:eastAsia="Times New Roman" w:hAnsi="Times New Roman"/>
          <w:sz w:val="16"/>
          <w:szCs w:val="16"/>
          <w:color w:val="auto"/>
        </w:rPr>
        <w:t>Party B agrees to guarantee that Party A and / or Party A’s personnel shall be exempt from Party B’s personal injury and / or property damage, and Party A and Party A’s personnel shall also be exempt from the third party’s claims and litigation caused by Party B.</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 Decoration and Accretion</w:t>
      </w:r>
    </w:p>
    <w:p>
      <w:pPr>
        <w:spacing w:after="0" w:line="201" w:lineRule="exact"/>
        <w:rPr>
          <w:sz w:val="20"/>
          <w:szCs w:val="20"/>
          <w:color w:val="auto"/>
        </w:rPr>
      </w:pPr>
    </w:p>
    <w:p>
      <w:pPr>
        <w:jc w:val="both"/>
        <w:ind w:left="46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Party B shall be responsible for the second decoration of the House. Party B’s decoration plan (including marking on the building facade or roof or other public parts of the House) shall be subject to Party A’s approval and Party A’s written consent. Party B shall not, without prior written consent of Party A, carry out any unauthorized activities or allow any other person to carry out any unauthorized alteration or addition of the House and its decoration, ancillary facilities and equipment (including but not limited to trunk lines, drainage, firefighting, indoor and outdoor appearances and existing installations). If such decoration needs the approval of the government department, Party B shall obtain the approval before construction.</w:t>
      </w:r>
    </w:p>
    <w:p>
      <w:pPr>
        <w:spacing w:after="0" w:line="162" w:lineRule="exact"/>
        <w:rPr>
          <w:sz w:val="20"/>
          <w:szCs w:val="20"/>
          <w:color w:val="auto"/>
        </w:rPr>
      </w:pPr>
    </w:p>
    <w:p>
      <w:pPr>
        <w:jc w:val="both"/>
        <w:ind w:left="460" w:right="20" w:hanging="456"/>
        <w:spacing w:after="0" w:line="261" w:lineRule="auto"/>
        <w:tabs>
          <w:tab w:leader="none" w:pos="440"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6"/>
          <w:szCs w:val="16"/>
          <w:color w:val="auto"/>
        </w:rPr>
        <w:t>During renovating the House, Party B shall not damage the building’s facade or carry out any internal structural alterations that may affect the service life and safety of the House, including but not limited to the demolition and alteration of the bearing beam walls. If Party B needs to change the structure of the house or modify the ancillary facilities and equipment of the house, etc., in addition to the written consent of Party A, Party B shall pay the structural restoration fee deposit in accordance with the “Relevant Charges for Second Renovation of Leased Office of Shanghai Pudong Software Park”, otherwise Party B shall not carry out construction.</w:t>
      </w:r>
    </w:p>
    <w:p>
      <w:pPr>
        <w:spacing w:after="0" w:line="162" w:lineRule="exact"/>
        <w:rPr>
          <w:sz w:val="20"/>
          <w:szCs w:val="20"/>
          <w:color w:val="auto"/>
        </w:rPr>
      </w:pPr>
    </w:p>
    <w:p>
      <w:pPr>
        <w:jc w:val="both"/>
        <w:ind w:left="460" w:right="20" w:hanging="456"/>
        <w:spacing w:after="0" w:line="261" w:lineRule="auto"/>
        <w:tabs>
          <w:tab w:leader="none" w:pos="440" w:val="left"/>
        </w:tabs>
        <w:rPr>
          <w:sz w:val="20"/>
          <w:szCs w:val="20"/>
          <w:color w:val="auto"/>
        </w:rPr>
      </w:pPr>
      <w:r>
        <w:rPr>
          <w:rFonts w:ascii="Times New Roman" w:cs="Times New Roman" w:eastAsia="Times New Roman" w:hAnsi="Times New Roman"/>
          <w:sz w:val="16"/>
          <w:szCs w:val="16"/>
          <w:color w:val="auto"/>
        </w:rPr>
        <w:t>7-3</w:t>
      </w:r>
      <w:r>
        <w:rPr>
          <w:sz w:val="20"/>
          <w:szCs w:val="20"/>
          <w:color w:val="auto"/>
        </w:rPr>
        <w:tab/>
      </w:r>
      <w:r>
        <w:rPr>
          <w:rFonts w:ascii="Times New Roman" w:cs="Times New Roman" w:eastAsia="Times New Roman" w:hAnsi="Times New Roman"/>
          <w:sz w:val="16"/>
          <w:szCs w:val="16"/>
          <w:color w:val="auto"/>
        </w:rPr>
        <w:t>During the rental term, the decoration belongs to Party B, and its responsibility for maintenance is also borne by Party B, unless the Parties agree otherwise. After the expiry of the rental term (including any early termination of the Contract attributable to Party B), Party B is obliged to remove the decoration extras and restore the house to the pre-lease status (except for natural losses). If Party B does not move on schedule, Party A can take the behalf of the removal, and the cost borne by Party B or deducted the cost from the deposit unless Party A agrees that Party B shall retain decoration remnants when returning the house.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0" w:name="page221"/>
    <w:bookmarkEnd w:id="220"/>
    <w:p>
      <w:pPr>
        <w:jc w:val="both"/>
        <w:ind w:left="460" w:right="2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6"/>
          <w:szCs w:val="16"/>
          <w:color w:val="auto"/>
        </w:rPr>
        <w:t>Party A’s written consent to the decoration of Party B shall not be construed as Party A’s obligation or responsibility to Party B’s decoration and its consequences. Party B shall guarantee that its decoration and other facilities for its own addition are safe and will not cause any potential safety hazard for the House or its users. Party B shall assume complete legal, technical and economic responsibility for its own decoration and its consequences.</w:t>
      </w:r>
    </w:p>
    <w:p>
      <w:pPr>
        <w:spacing w:after="0" w:line="156" w:lineRule="exact"/>
        <w:rPr>
          <w:sz w:val="20"/>
          <w:szCs w:val="20"/>
          <w:color w:val="auto"/>
        </w:rPr>
      </w:pPr>
    </w:p>
    <w:p>
      <w:pPr>
        <w:jc w:val="both"/>
        <w:ind w:left="460" w:right="20" w:hanging="456"/>
        <w:spacing w:after="0" w:line="261" w:lineRule="auto"/>
        <w:tabs>
          <w:tab w:leader="none" w:pos="440" w:val="left"/>
        </w:tabs>
        <w:rPr>
          <w:sz w:val="20"/>
          <w:szCs w:val="20"/>
          <w:color w:val="auto"/>
        </w:rPr>
      </w:pPr>
      <w:r>
        <w:rPr>
          <w:rFonts w:ascii="Times New Roman" w:cs="Times New Roman" w:eastAsia="Times New Roman" w:hAnsi="Times New Roman"/>
          <w:sz w:val="16"/>
          <w:szCs w:val="16"/>
          <w:color w:val="auto"/>
        </w:rPr>
        <w:t>7-5</w:t>
      </w:r>
      <w:r>
        <w:rPr>
          <w:sz w:val="20"/>
          <w:szCs w:val="20"/>
          <w:color w:val="auto"/>
        </w:rPr>
        <w:tab/>
      </w:r>
      <w:r>
        <w:rPr>
          <w:rFonts w:ascii="Times New Roman" w:cs="Times New Roman" w:eastAsia="Times New Roman" w:hAnsi="Times New Roman"/>
          <w:sz w:val="16"/>
          <w:szCs w:val="16"/>
          <w:color w:val="auto"/>
        </w:rPr>
        <w:t>Party A shall have the right to request Party B immediately to take all necessary measures to solve such safety problems if Party A finds any potential safety hazard caused by Party B’s decoration and attachment actions during and after the lease and whether or not Party A agrees to such decoration and attachment plan, until Party A unilaterally lift the lease. Party B entrusts the contractor to renovate the house. If it is not the cause of Party A, which violates the laws and regulations of China, and the relevant provisions of construction, fire control and safety management, or causes property damage, Party B and the contractor shall take the responsibility.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Enter and Check</w:t>
      </w:r>
    </w:p>
    <w:p>
      <w:pPr>
        <w:spacing w:after="0" w:line="201" w:lineRule="exact"/>
        <w:rPr>
          <w:sz w:val="20"/>
          <w:szCs w:val="20"/>
          <w:color w:val="auto"/>
        </w:rPr>
      </w:pPr>
    </w:p>
    <w:p>
      <w:pPr>
        <w:jc w:val="both"/>
        <w:ind w:left="460" w:right="20" w:hanging="456"/>
        <w:spacing w:after="0" w:line="261" w:lineRule="auto"/>
        <w:tabs>
          <w:tab w:leader="none" w:pos="440"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6"/>
          <w:szCs w:val="16"/>
          <w:color w:val="auto"/>
        </w:rPr>
        <w:t>During the lease, in order to ensure that the house and its ancillary facilities are properly accessible and safe, Party A and / or the management company shall have the right to send staff to enter the house for reasonable inspection, maintenance and repair, but Party A and / or the management company shall notify Party B at least 1 working day in advance (except: emergency situation and situation that Party A cannot be foreseen or controlled). Party B should be cooperated with inspection, maintenance and repair, but Party A should minimize the impact on the use of the House by Party B.</w:t>
      </w:r>
    </w:p>
    <w:p>
      <w:pPr>
        <w:spacing w:after="0" w:line="162" w:lineRule="exact"/>
        <w:rPr>
          <w:sz w:val="20"/>
          <w:szCs w:val="20"/>
          <w:color w:val="auto"/>
        </w:rPr>
      </w:pPr>
    </w:p>
    <w:p>
      <w:pPr>
        <w:jc w:val="both"/>
        <w:ind w:left="46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6"/>
          <w:szCs w:val="16"/>
          <w:color w:val="auto"/>
        </w:rPr>
        <w:t>If Party B renounces the right of renewal, or terminates this contract prematurely according to the Contract, or Party A and Party B fail to agree on whether to renew or not, Party B agrees that Party A has the right to accompany the interested subsequent tenants to visit the House within the time agreed upon by both parties within 6 months prior to the termination, but Party A should give advanced notice to Party 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 Sublet, Mix, Transfer and Exchange</w:t>
      </w:r>
    </w:p>
    <w:p>
      <w:pPr>
        <w:spacing w:after="0" w:line="201" w:lineRule="exact"/>
        <w:rPr>
          <w:sz w:val="20"/>
          <w:szCs w:val="20"/>
          <w:color w:val="auto"/>
        </w:rPr>
      </w:pPr>
    </w:p>
    <w:p>
      <w:pPr>
        <w:jc w:val="both"/>
        <w:ind w:left="46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color w:val="auto"/>
        </w:rPr>
        <w:t>Without the prior written consent of Party A, Party B shall not sublet part or whole of the House to any third party in any form (including but not limited to contracting, pooling affiliates, establishing affiliates, etc.) during the rental term, or mixed-use the House with any third party, or transfer the House to others for rent, or exchange with others.</w:t>
      </w:r>
    </w:p>
    <w:p>
      <w:pPr>
        <w:spacing w:after="0" w:line="156" w:lineRule="exact"/>
        <w:rPr>
          <w:sz w:val="20"/>
          <w:szCs w:val="20"/>
          <w:color w:val="auto"/>
        </w:rPr>
      </w:pPr>
    </w:p>
    <w:p>
      <w:pPr>
        <w:jc w:val="both"/>
        <w:ind w:left="460" w:right="2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9-2</w:t>
      </w:r>
      <w:r>
        <w:rPr>
          <w:sz w:val="20"/>
          <w:szCs w:val="20"/>
          <w:color w:val="auto"/>
        </w:rPr>
        <w:tab/>
      </w:r>
      <w:r>
        <w:rPr>
          <w:rFonts w:ascii="Times New Roman" w:cs="Times New Roman" w:eastAsia="Times New Roman" w:hAnsi="Times New Roman"/>
          <w:sz w:val="16"/>
          <w:szCs w:val="16"/>
          <w:color w:val="auto"/>
        </w:rPr>
        <w:t>If Party B sublets part or whole of the House to any third party during the rental term, or uses it in combination with any third party, or transfers the House to others for rent, or exchanges with other people’s rented houses in accordance with a separate written agreement between Party A and Party B, Party B shall still be liable for the behavior of actual user of the House and the consequences during the rental term.</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color w:val="auto"/>
        </w:rPr>
        <w:t>10. Priority Renewal Rights</w:t>
      </w:r>
    </w:p>
    <w:p>
      <w:pPr>
        <w:spacing w:after="0" w:line="201" w:lineRule="exact"/>
        <w:rPr>
          <w:sz w:val="20"/>
          <w:szCs w:val="20"/>
          <w:color w:val="auto"/>
        </w:rPr>
      </w:pPr>
    </w:p>
    <w:p>
      <w:pPr>
        <w:jc w:val="both"/>
        <w:ind w:left="460" w:right="2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10-1</w:t>
        <w:tab/>
        <w:t>If the lease of the Contract expires and Party B needs to continue leasing the House, Party B shall submit a written request for renewal to Party A at least four months before the expiry of the rental term of the Contract, and re-sign the rental contract with the consent of Party A. Under the same conditions, Party B shall enjoy the priority of renewal of the whole of the House, except as otherwise stipulated by laws and regulations. If Party B submits to Party A only a written request for renewal of the part of the House, Party B will not enjoy the priority of renewal. If Party B lately requests for the renewal of a written request, it shall be deemed that Party B renounces the priority of renewal.</w:t>
      </w:r>
    </w:p>
    <w:p>
      <w:pPr>
        <w:spacing w:after="0" w:line="162" w:lineRule="exact"/>
        <w:rPr>
          <w:sz w:val="20"/>
          <w:szCs w:val="20"/>
          <w:color w:val="auto"/>
        </w:rPr>
      </w:pPr>
    </w:p>
    <w:p>
      <w:pPr>
        <w:jc w:val="both"/>
        <w:ind w:left="460" w:right="2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10-2</w:t>
        <w:tab/>
        <w:t>After Party A agrees with Party B’s renewal and renewal conditions, both parties shall conclude a rental contract for the renewal of the House 3 months before the expiry date of the Contract. If Party B fails to sign the renewal contract with Party A overdue, it shall be deemed that Party B renounces the priority of renewal. The renewal rent is determined according to the renewal contract.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 Return</w:t>
      </w:r>
    </w:p>
    <w:p>
      <w:pPr>
        <w:spacing w:after="0" w:line="20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11-1</w:t>
      </w:r>
      <w:r>
        <w:rPr>
          <w:sz w:val="20"/>
          <w:szCs w:val="20"/>
          <w:color w:val="auto"/>
        </w:rPr>
        <w:tab/>
      </w:r>
      <w:r>
        <w:rPr>
          <w:rFonts w:ascii="Times New Roman" w:cs="Times New Roman" w:eastAsia="Times New Roman" w:hAnsi="Times New Roman"/>
          <w:sz w:val="15"/>
          <w:szCs w:val="15"/>
          <w:color w:val="auto"/>
        </w:rPr>
        <w:t>Party B shall return the House to Party A no later than the expiry date of the lease or the date on which the Contract is terminated prematurely.</w:t>
      </w:r>
    </w:p>
    <w:p>
      <w:pPr>
        <w:spacing w:after="0" w:line="201" w:lineRule="exact"/>
        <w:rPr>
          <w:sz w:val="20"/>
          <w:szCs w:val="20"/>
          <w:color w:val="auto"/>
        </w:rPr>
      </w:pPr>
    </w:p>
    <w:p>
      <w:pPr>
        <w:jc w:val="both"/>
        <w:ind w:left="460" w:hanging="456"/>
        <w:spacing w:after="0" w:line="264" w:lineRule="auto"/>
        <w:tabs>
          <w:tab w:leader="none" w:pos="440" w:val="left"/>
        </w:tabs>
        <w:rPr>
          <w:sz w:val="20"/>
          <w:szCs w:val="20"/>
          <w:color w:val="auto"/>
        </w:rPr>
      </w:pPr>
      <w:r>
        <w:rPr>
          <w:rFonts w:ascii="Times New Roman" w:cs="Times New Roman" w:eastAsia="Times New Roman" w:hAnsi="Times New Roman"/>
          <w:sz w:val="16"/>
          <w:szCs w:val="16"/>
          <w:color w:val="auto"/>
        </w:rPr>
        <w:t>11-2</w:t>
        <w:tab/>
        <w:t>Before Party B returns the House to Party A, Party B shall clean the House so that the House is in good condition and can be rented. The House which is returned by Party B shall be in conformity with the condition when the house was delivered (that is, it meets the requirements of Annex II and / or other supplementary agreements). When the House is returned, it should be checked by Party A or / and the property management company entrusted by Party A and the expenses should be settled.</w:t>
      </w:r>
    </w:p>
    <w:p>
      <w:pPr>
        <w:spacing w:after="0" w:line="355" w:lineRule="exact"/>
        <w:rPr>
          <w:sz w:val="20"/>
          <w:szCs w:val="20"/>
          <w:color w:val="auto"/>
        </w:rPr>
      </w:pPr>
    </w:p>
    <w:p>
      <w:pPr>
        <w:jc w:val="both"/>
        <w:ind w:left="46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11-3</w:t>
        <w:tab/>
        <w:t>Party B may retain the status quo of the House’s decoration if it has the written consent of Party A (permit that Party B may produce some natural wear and tear due to normal use) and move out of the House (hereinafter referred to as “move out of the House”), otherwise, it should be reinstated. If Party A shall agree in writing before Party B can retain the status quo of the House’s decoration, Party A shall have no obligation to make any compensation or compensation for Party B’s construction or renovation of the House and its decoration and facilities. If the Contract is terminated early due to Party A’s reason or because Party A breaches the Contract, Party B has no obligation to restore the status quo ante, and the House will be returned according to the current status.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2" w:name="page223"/>
    <w:bookmarkEnd w:id="222"/>
    <w:p>
      <w:pPr>
        <w:jc w:val="both"/>
        <w:ind w:left="460" w:hanging="456"/>
        <w:spacing w:after="0" w:line="256" w:lineRule="auto"/>
        <w:tabs>
          <w:tab w:leader="none" w:pos="440" w:val="left"/>
        </w:tabs>
        <w:rPr>
          <w:sz w:val="20"/>
          <w:szCs w:val="20"/>
          <w:color w:val="auto"/>
        </w:rPr>
      </w:pPr>
      <w:r>
        <w:rPr>
          <w:rFonts w:ascii="Times New Roman" w:cs="Times New Roman" w:eastAsia="Times New Roman" w:hAnsi="Times New Roman"/>
          <w:sz w:val="16"/>
          <w:szCs w:val="16"/>
          <w:color w:val="auto"/>
        </w:rPr>
        <w:t>11-4</w:t>
        <w:tab/>
        <w:t>If Party B fails to return the house to Party A without the written consent of Party A or does not reach an agreement in writing with Party A on renewing the term, Party B shall pay the overdue liquidated damages of the House which is 3 times the rent to Party A, and shall bear all the energy, equipment, property management fees and all other expenses stipulated in the Contract during the period of occupation of the House. In addition, if Party B fails to return the house to Party A 15 days after the expiry date of the lease or the early termination date of the Contract, Party A has the right to release the house after written notice to Party B, Party A can (but does not have the obligation to) deposit it locally or expeditiously and Party A has the right to collect the custody fee and removal fee from Party B in respect of the objects and has the right to sell, transfer, discard or other ways which Party A deems it appropriate, and use the proceeds (if any) for any payment that Party B owes Party A and for any loss. In case of insufficient payment and compensation, Party A shall have the right to recover the balance from Party B.</w:t>
      </w:r>
    </w:p>
    <w:p>
      <w:pPr>
        <w:spacing w:after="0" w:line="165" w:lineRule="exact"/>
        <w:rPr>
          <w:sz w:val="20"/>
          <w:szCs w:val="20"/>
          <w:color w:val="auto"/>
        </w:rPr>
      </w:pPr>
    </w:p>
    <w:p>
      <w:pPr>
        <w:jc w:val="both"/>
        <w:ind w:left="460" w:hanging="456"/>
        <w:spacing w:after="0" w:line="255" w:lineRule="auto"/>
        <w:tabs>
          <w:tab w:leader="none" w:pos="440" w:val="left"/>
        </w:tabs>
        <w:rPr>
          <w:sz w:val="20"/>
          <w:szCs w:val="20"/>
          <w:color w:val="auto"/>
        </w:rPr>
      </w:pPr>
      <w:r>
        <w:rPr>
          <w:rFonts w:ascii="Times New Roman" w:cs="Times New Roman" w:eastAsia="Times New Roman" w:hAnsi="Times New Roman"/>
          <w:sz w:val="16"/>
          <w:szCs w:val="16"/>
          <w:color w:val="auto"/>
        </w:rPr>
        <w:t>11-5</w:t>
        <w:tab/>
        <w:t>When Party A returns the items left by Party B in the house, the relocation costs (if any) shall be borne by Party B. Party A may (but is not obligated to) store them in place or elsewhere. After the storage is completed, Party A shall serve a notice to Party B to inform them of the storage of the items. Party B shall collect the items on its own within 15 days from the date of receipt of the notice. Failure to collect them within the time limit shall be deemed as Party B giving up ownership of all the returned items, which shall be handled by Party A. The first party has the right to charge the second party a storage fee for such items, which is 50% of the daily rent per day. After 15 days, the first party has the right to sell, transfer, discard or dispose of such items in any other way it deems appropriate, and use the proceeds of disposal (if any) to repay any amount owed by the second party to the first party and compensate for the first party’s losses (if any). If the payment and compensation are insufficient, the first party has the right to recover the difference from the second party. Unless otherwise agreed by both parties, the date of mailing by Party A shall be deemed as the date of delivery.</w:t>
      </w:r>
    </w:p>
    <w:p>
      <w:pPr>
        <w:spacing w:after="0" w:line="168" w:lineRule="exact"/>
        <w:rPr>
          <w:sz w:val="20"/>
          <w:szCs w:val="20"/>
          <w:color w:val="auto"/>
        </w:rPr>
      </w:pPr>
    </w:p>
    <w:p>
      <w:pPr>
        <w:jc w:val="both"/>
        <w:ind w:left="460" w:right="2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11-6</w:t>
        <w:tab/>
        <w:t>When Party A returns Party B, it will adopt methods including but not limited to hiring a notary office, recording the entire process on its own, and creating a list of Party B’s items. Notarization materials, video recordings, and other evidence materials will be kept by Party A for three years from the date of Party A’s return for reference and verification.</w:t>
      </w:r>
    </w:p>
    <w:p>
      <w:pPr>
        <w:spacing w:after="0" w:line="156"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11-7</w:t>
        <w:tab/>
        <w:t>Both parties agree to deduct all expenses incurred during the clearance and storage process from the lease deposit, but the deduction of such expenses does not mean that either party waives their right to claim damages and liquidated damages for breach of contract based on their rights and obligations under the contract.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 Exemption for Party A</w:t>
      </w:r>
    </w:p>
    <w:p>
      <w:pPr>
        <w:spacing w:after="0" w:line="201"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12-1</w:t>
        <w:tab/>
        <w:t>During the rental term, when Party B occupies the House and its ancillary facilities, public facilities, if Party B causes any loss of property, damage and personal injury caused by any of the following circumstances, Party B hereby agree, not because of Party A’s intention or gross negligence, Party A does not bear any responsibility:</w:t>
      </w:r>
    </w:p>
    <w:p>
      <w:pPr>
        <w:spacing w:after="0" w:line="143" w:lineRule="exact"/>
        <w:rPr>
          <w:sz w:val="20"/>
          <w:szCs w:val="20"/>
          <w:color w:val="auto"/>
        </w:rPr>
      </w:pPr>
    </w:p>
    <w:p>
      <w:pPr>
        <w:jc w:val="center"/>
        <w:ind w:left="5580" w:right="1180" w:hanging="5127"/>
        <w:spacing w:after="0" w:line="785" w:lineRule="auto"/>
        <w:tabs>
          <w:tab w:leader="none" w:pos="786"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loss or damage due to expropriation, acquisition, confiscation, nationalization or any force majeure caused by state or government agencies;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147560" cy="152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23" w:name="page224"/>
    <w:bookmarkEnd w:id="223"/>
    <w:p>
      <w:pPr>
        <w:ind w:left="784" w:hanging="327"/>
        <w:spacing w:after="0"/>
        <w:tabs>
          <w:tab w:leader="none" w:pos="78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loss or damage caused by theft, robbery and other criminal cases;</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water, electricity, telephone, fax, air-conditioning and other services to the House at any time or any public facilities in the House, including the planned maintenance and inspection of public facilities by a third party entrusted by Party A, are not operated and it is not due to Party A’s reasons;</w:t>
      </w:r>
    </w:p>
    <w:p>
      <w:pPr>
        <w:spacing w:after="0" w:line="143"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B’s losses and damages caused by other lessees or third parties;</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B’s losses and damages which is not caused by Party A’s intentional or gross negligence (Party A and / or the security guards and watchman’s security services provided to the House do not constitute Party A’s liability to the House, personnel, and property).</w:t>
      </w:r>
    </w:p>
    <w:p>
      <w:pPr>
        <w:spacing w:after="0" w:line="143"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 of the Contract and Liability for Breach of Contract</w:t>
      </w:r>
    </w:p>
    <w:p>
      <w:pPr>
        <w:spacing w:after="0" w:line="201" w:lineRule="exact"/>
        <w:rPr>
          <w:sz w:val="20"/>
          <w:szCs w:val="20"/>
          <w:color w:val="auto"/>
        </w:rPr>
      </w:pPr>
    </w:p>
    <w:p>
      <w:pPr>
        <w:ind w:left="4"/>
        <w:spacing w:after="0"/>
        <w:tabs>
          <w:tab w:leader="none" w:pos="443" w:val="left"/>
        </w:tabs>
        <w:rPr>
          <w:sz w:val="20"/>
          <w:szCs w:val="20"/>
          <w:color w:val="auto"/>
        </w:rPr>
      </w:pPr>
      <w:r>
        <w:rPr>
          <w:rFonts w:ascii="Times New Roman" w:cs="Times New Roman" w:eastAsia="Times New Roman" w:hAnsi="Times New Roman"/>
          <w:sz w:val="16"/>
          <w:szCs w:val="16"/>
          <w:color w:val="auto"/>
        </w:rPr>
        <w:t>13-1</w:t>
      </w:r>
      <w:r>
        <w:rPr>
          <w:sz w:val="20"/>
          <w:szCs w:val="20"/>
          <w:color w:val="auto"/>
        </w:rPr>
        <w:tab/>
      </w:r>
      <w:r>
        <w:rPr>
          <w:rFonts w:ascii="Times New Roman" w:cs="Times New Roman" w:eastAsia="Times New Roman" w:hAnsi="Times New Roman"/>
          <w:sz w:val="15"/>
          <w:szCs w:val="15"/>
          <w:color w:val="auto"/>
        </w:rPr>
        <w:t>Party A’s default</w:t>
      </w:r>
    </w:p>
    <w:p>
      <w:pPr>
        <w:spacing w:after="0" w:line="201" w:lineRule="exact"/>
        <w:rPr>
          <w:sz w:val="20"/>
          <w:szCs w:val="20"/>
          <w:color w:val="auto"/>
        </w:rPr>
      </w:pPr>
    </w:p>
    <w:p>
      <w:pPr>
        <w:ind w:left="784" w:right="20" w:hanging="327"/>
        <w:spacing w:after="0" w:line="283" w:lineRule="auto"/>
        <w:tabs>
          <w:tab w:leader="none" w:pos="78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compensate for the loss of Party B due to Party A’s transfer of property right caused by Party A’s setting up a new mortgage to the House during the rental term as stipulated in this contract.</w:t>
      </w:r>
    </w:p>
    <w:p>
      <w:pPr>
        <w:spacing w:after="0" w:line="143" w:lineRule="exact"/>
        <w:rPr>
          <w:rFonts w:ascii="Times New Roman" w:cs="Times New Roman" w:eastAsia="Times New Roman" w:hAnsi="Times New Roman"/>
          <w:sz w:val="16"/>
          <w:szCs w:val="16"/>
          <w:color w:val="auto"/>
        </w:rPr>
      </w:pPr>
    </w:p>
    <w:p>
      <w:pPr>
        <w:jc w:val="both"/>
        <w:ind w:left="784" w:right="20" w:hanging="327"/>
        <w:spacing w:after="0" w:line="267" w:lineRule="auto"/>
        <w:tabs>
          <w:tab w:leader="none" w:pos="78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term, Party A fails to perform the repair and maintenance responsibilities as stipulated in the Contract in time, resulting in damage to the House or property, or personal injury to Party B’s personnel, sub-contractors, agents, employees, and decorators due to the structural problems of the House, Party A should be responsible for compensation.</w:t>
      </w:r>
    </w:p>
    <w:p>
      <w:pPr>
        <w:spacing w:after="0" w:line="155" w:lineRule="exact"/>
        <w:rPr>
          <w:rFonts w:ascii="Times New Roman" w:cs="Times New Roman" w:eastAsia="Times New Roman" w:hAnsi="Times New Roman"/>
          <w:sz w:val="16"/>
          <w:szCs w:val="16"/>
          <w:color w:val="auto"/>
        </w:rPr>
      </w:pPr>
    </w:p>
    <w:p>
      <w:pPr>
        <w:jc w:val="both"/>
        <w:ind w:left="784" w:hanging="327"/>
        <w:spacing w:after="0" w:line="259" w:lineRule="auto"/>
        <w:tabs>
          <w:tab w:leader="none" w:pos="78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term, except the exempt situation regulated by the Contract, laws or regulations, if Party A decides to terminate this contract or take the House back early without authorization, Party A should give a written notice to Party B 6 months early. In this case, in addition to returning the deposit to Party B, Party A should also pay liquidated damages which is amount to the monthly rent at that time to Party B. If Party A informs Party B 3 months early but less than 6 months, Party A should pay liquidated damages which is twice the monthly rent at that time to Party B. If Party A does not inform Party B 3 months early, Party A should pay liquidated damages which is triple the monthly rent at that time to Party B.</w:t>
      </w:r>
    </w:p>
    <w:p>
      <w:pPr>
        <w:spacing w:after="0" w:line="162" w:lineRule="exact"/>
        <w:rPr>
          <w:sz w:val="20"/>
          <w:szCs w:val="20"/>
          <w:color w:val="auto"/>
        </w:rPr>
      </w:pPr>
    </w:p>
    <w:p>
      <w:pPr>
        <w:ind w:left="4"/>
        <w:spacing w:after="0"/>
        <w:tabs>
          <w:tab w:leader="none" w:pos="443" w:val="left"/>
        </w:tabs>
        <w:rPr>
          <w:sz w:val="20"/>
          <w:szCs w:val="20"/>
          <w:color w:val="auto"/>
        </w:rPr>
      </w:pPr>
      <w:r>
        <w:rPr>
          <w:rFonts w:ascii="Times New Roman" w:cs="Times New Roman" w:eastAsia="Times New Roman" w:hAnsi="Times New Roman"/>
          <w:sz w:val="16"/>
          <w:szCs w:val="16"/>
          <w:color w:val="auto"/>
        </w:rPr>
        <w:t>13-2</w:t>
      </w:r>
      <w:r>
        <w:rPr>
          <w:sz w:val="20"/>
          <w:szCs w:val="20"/>
          <w:color w:val="auto"/>
        </w:rPr>
        <w:tab/>
      </w:r>
      <w:r>
        <w:rPr>
          <w:rFonts w:ascii="Times New Roman" w:cs="Times New Roman" w:eastAsia="Times New Roman" w:hAnsi="Times New Roman"/>
          <w:sz w:val="15"/>
          <w:szCs w:val="15"/>
          <w:color w:val="auto"/>
        </w:rPr>
        <w:t>Party B’s default</w:t>
      </w:r>
    </w:p>
    <w:p>
      <w:pPr>
        <w:spacing w:after="0" w:line="201" w:lineRule="exact"/>
        <w:rPr>
          <w:sz w:val="20"/>
          <w:szCs w:val="20"/>
          <w:color w:val="auto"/>
        </w:rPr>
      </w:pPr>
    </w:p>
    <w:p>
      <w:pPr>
        <w:jc w:val="both"/>
        <w:ind w:left="784" w:hanging="327"/>
        <w:spacing w:after="0" w:line="267" w:lineRule="auto"/>
        <w:tabs>
          <w:tab w:leader="none" w:pos="78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overdue payment of rent, deposit, equipment rental fee, energy consumption fee, property management fee or other relevant expenses payable, Party B shall pay overdue fine which is 0.3% of the amount of overdue payment per day. If overdue 30 days, Party A has the right to interrupt the water, electricity and other energy supply, until Party B pays all the expenses. And Party B should bear the cost of re-connection.</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24" w:name="page225"/>
    <w:bookmarkEnd w:id="224"/>
    <w:p>
      <w:pPr>
        <w:jc w:val="both"/>
        <w:ind w:left="327" w:right="20" w:hanging="327"/>
        <w:spacing w:after="0" w:line="267" w:lineRule="auto"/>
        <w:tabs>
          <w:tab w:leader="none" w:pos="32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fails to obtain the written consent of Party A to renovates the House or additional facilities beyond the written consent of Party A, Party A has the right to request Party B to restore the original state of the House. Party B shall be responsible for indemnification if Party B causes irreparable damage to the House or Party A suffers losses (including but not limited to fines, damages, etc.) due to the aforesaid acts of Party B.</w:t>
      </w:r>
    </w:p>
    <w:p>
      <w:pPr>
        <w:spacing w:after="0" w:line="155" w:lineRule="exact"/>
        <w:rPr>
          <w:rFonts w:ascii="Times New Roman" w:cs="Times New Roman" w:eastAsia="Times New Roman" w:hAnsi="Times New Roman"/>
          <w:sz w:val="16"/>
          <w:szCs w:val="16"/>
          <w:color w:val="auto"/>
        </w:rPr>
      </w:pPr>
    </w:p>
    <w:p>
      <w:pPr>
        <w:ind w:left="327" w:right="20" w:hanging="327"/>
        <w:spacing w:after="0" w:line="283" w:lineRule="auto"/>
        <w:tabs>
          <w:tab w:leader="none" w:pos="32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or any person expressly or implicitly authorized by Party B to enter the House or parking space shall be regarded as Party B’s act. If such act causes damage or loss of personal or property to Party A or building, Party B shall jointly and severally liable for compensation.</w:t>
      </w:r>
    </w:p>
    <w:p>
      <w:pPr>
        <w:spacing w:after="0" w:line="143" w:lineRule="exact"/>
        <w:rPr>
          <w:rFonts w:ascii="Times New Roman" w:cs="Times New Roman" w:eastAsia="Times New Roman" w:hAnsi="Times New Roman"/>
          <w:sz w:val="16"/>
          <w:szCs w:val="16"/>
          <w:color w:val="auto"/>
        </w:rPr>
      </w:pPr>
    </w:p>
    <w:p>
      <w:pPr>
        <w:jc w:val="both"/>
        <w:ind w:left="327" w:hanging="327"/>
        <w:spacing w:after="0" w:line="259" w:lineRule="auto"/>
        <w:tabs>
          <w:tab w:leader="none" w:pos="32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term, except the exempt situation regulated by the Contract, if Party B decides to terminate this contract early without authorization and Party B gives a written notice to Party A 3 months early, Party B should pay liquidated damages which is amount to the monthly rent at that time to Party A. If Party B does not inform Party A 3 months early, Party B should pay liquidated damages which is triple the monthly rent at that time to Party A. Party A may deduct the above liquidated damages from the remaining balance of the rental deposit that Party B has already paid, and the insufficient part will be delivered separately by Party B.</w:t>
      </w:r>
    </w:p>
    <w:p>
      <w:pPr>
        <w:spacing w:after="0" w:line="161" w:lineRule="exact"/>
        <w:rPr>
          <w:rFonts w:ascii="Times New Roman" w:cs="Times New Roman" w:eastAsia="Times New Roman" w:hAnsi="Times New Roman"/>
          <w:sz w:val="16"/>
          <w:szCs w:val="16"/>
          <w:color w:val="auto"/>
        </w:rPr>
      </w:pPr>
    </w:p>
    <w:p>
      <w:pPr>
        <w:ind w:left="32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lease refers to the act of Party B terminating the lease relationship in advance due to its own reasons, limited to a written statement.</w:t>
      </w:r>
    </w:p>
    <w:p>
      <w:pPr>
        <w:spacing w:after="0" w:line="200" w:lineRule="exact"/>
        <w:rPr>
          <w:rFonts w:ascii="Times New Roman" w:cs="Times New Roman" w:eastAsia="Times New Roman" w:hAnsi="Times New Roman"/>
          <w:sz w:val="16"/>
          <w:szCs w:val="16"/>
          <w:color w:val="auto"/>
        </w:rPr>
      </w:pPr>
    </w:p>
    <w:p>
      <w:pPr>
        <w:jc w:val="both"/>
        <w:ind w:left="327" w:right="20" w:hanging="327"/>
        <w:spacing w:after="0" w:line="267" w:lineRule="auto"/>
        <w:tabs>
          <w:tab w:leader="none" w:pos="32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registers the House as its domicile, and Party B fails to complete the registration of alteration or cancellation within 30 days from the date of termination of the tenancy or provide the copy of certificate of registration to Party A for the record, Party B shall pay Party A liquidated damages which is amount to the monthly rent at that time.</w:t>
      </w:r>
    </w:p>
    <w:p>
      <w:pPr>
        <w:spacing w:after="0" w:line="155" w:lineRule="exact"/>
        <w:rPr>
          <w:rFonts w:ascii="Times New Roman" w:cs="Times New Roman" w:eastAsia="Times New Roman" w:hAnsi="Times New Roman"/>
          <w:sz w:val="16"/>
          <w:szCs w:val="16"/>
          <w:color w:val="auto"/>
        </w:rPr>
      </w:pPr>
    </w:p>
    <w:p>
      <w:pPr>
        <w:ind w:left="327" w:hanging="327"/>
        <w:spacing w:after="0"/>
        <w:tabs>
          <w:tab w:leader="none" w:pos="32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right to request Party B to compensate Party A for the losses suffered thereby, if Party B takes the following actions:</w:t>
      </w:r>
    </w:p>
    <w:p>
      <w:pPr>
        <w:spacing w:after="0" w:line="200" w:lineRule="exact"/>
        <w:rPr>
          <w:rFonts w:ascii="Times New Roman" w:cs="Times New Roman" w:eastAsia="Times New Roman" w:hAnsi="Times New Roman"/>
          <w:sz w:val="16"/>
          <w:szCs w:val="16"/>
          <w:color w:val="auto"/>
        </w:rPr>
      </w:pPr>
    </w:p>
    <w:p>
      <w:pPr>
        <w:ind w:left="667" w:hanging="330"/>
        <w:spacing w:after="0"/>
        <w:tabs>
          <w:tab w:leader="none" w:pos="66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 or negligent act of Party B and its employees and contractors on any part of the building or the House;</w:t>
      </w:r>
    </w:p>
    <w:p>
      <w:pPr>
        <w:spacing w:after="0" w:line="200" w:lineRule="exact"/>
        <w:rPr>
          <w:rFonts w:ascii="Times New Roman" w:cs="Times New Roman" w:eastAsia="Times New Roman" w:hAnsi="Times New Roman"/>
          <w:sz w:val="16"/>
          <w:szCs w:val="16"/>
          <w:color w:val="auto"/>
        </w:rPr>
      </w:pPr>
    </w:p>
    <w:p>
      <w:pPr>
        <w:ind w:left="667" w:hanging="330"/>
        <w:spacing w:after="0"/>
        <w:tabs>
          <w:tab w:leader="none" w:pos="66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violates or fails to comply with any applicable provisions of the Contract;</w:t>
      </w:r>
    </w:p>
    <w:p>
      <w:pPr>
        <w:spacing w:after="0" w:line="200" w:lineRule="exact"/>
        <w:rPr>
          <w:rFonts w:ascii="Times New Roman" w:cs="Times New Roman" w:eastAsia="Times New Roman" w:hAnsi="Times New Roman"/>
          <w:sz w:val="16"/>
          <w:szCs w:val="16"/>
          <w:color w:val="auto"/>
        </w:rPr>
      </w:pPr>
    </w:p>
    <w:p>
      <w:pPr>
        <w:ind w:left="667" w:right="20" w:hanging="330"/>
        <w:spacing w:after="0" w:line="283" w:lineRule="auto"/>
        <w:tabs>
          <w:tab w:leader="none" w:pos="667" w:val="left"/>
        </w:tabs>
        <w:numPr>
          <w:ilvl w:val="1"/>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its employees and other acts of the contractor will affect the normal operation and management of the building by Party A and the property management company unless Party B provides reasonable explanations within 24 hours after receiving the written notice from Party A.</w:t>
      </w:r>
    </w:p>
    <w:p>
      <w:pPr>
        <w:spacing w:after="0" w:line="336"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15875</wp:posOffset>
            </wp:positionV>
            <wp:extent cx="7147560" cy="152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807"/>
          </w:cols>
          <w:pgMar w:left="773" w:top="820" w:right="3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color w:val="auto"/>
        </w:rPr>
        <w:t>14. The Force Majeure</w:t>
      </w:r>
    </w:p>
    <w:p>
      <w:pPr>
        <w:spacing w:after="0" w:line="201" w:lineRule="exact"/>
        <w:rPr>
          <w:sz w:val="20"/>
          <w:szCs w:val="20"/>
          <w:color w:val="auto"/>
        </w:rPr>
      </w:pPr>
    </w:p>
    <w:p>
      <w:pPr>
        <w:jc w:val="both"/>
        <w:ind w:left="460" w:hanging="456"/>
        <w:spacing w:after="0" w:line="257" w:lineRule="auto"/>
        <w:tabs>
          <w:tab w:leader="none" w:pos="440" w:val="left"/>
        </w:tabs>
        <w:rPr>
          <w:sz w:val="20"/>
          <w:szCs w:val="20"/>
          <w:color w:val="auto"/>
        </w:rPr>
      </w:pPr>
      <w:r>
        <w:rPr>
          <w:rFonts w:ascii="Times New Roman" w:cs="Times New Roman" w:eastAsia="Times New Roman" w:hAnsi="Times New Roman"/>
          <w:sz w:val="16"/>
          <w:szCs w:val="16"/>
          <w:color w:val="auto"/>
        </w:rPr>
        <w:t>14-1</w:t>
        <w:tab/>
        <w:t>If either the Property or any part of the Building is destroyed or is not suitable for research and development and office during the lease period due to Force Majeure, either party shall be entitled to notify the other in writing of the termination of the Contract, and neither party shall pursue the default responsibility. The Contract is terminated from the day when notice is given by either party. Party A should return Party B the remaining rental deposit, rental after the force majeure, and other expenses that Party B has prepaid within 10 working days from the date of termination of the Contract after deducting the relevant expenses according to Clause 13 of the Contract without interest, as long as Party B pays all the expenses payable by Party B before the force majeure which is regulated by the Contract and the supplementary agreements.</w:t>
      </w:r>
    </w:p>
    <w:p>
      <w:pPr>
        <w:spacing w:after="0" w:line="165" w:lineRule="exact"/>
        <w:rPr>
          <w:sz w:val="20"/>
          <w:szCs w:val="20"/>
          <w:color w:val="auto"/>
        </w:rPr>
      </w:pPr>
    </w:p>
    <w:p>
      <w:pPr>
        <w:jc w:val="both"/>
        <w:ind w:left="460" w:right="20" w:hanging="456"/>
        <w:spacing w:after="0" w:line="257" w:lineRule="auto"/>
        <w:tabs>
          <w:tab w:leader="none" w:pos="440" w:val="left"/>
        </w:tabs>
        <w:rPr>
          <w:sz w:val="20"/>
          <w:szCs w:val="20"/>
          <w:color w:val="auto"/>
        </w:rPr>
      </w:pPr>
      <w:r>
        <w:rPr>
          <w:rFonts w:ascii="Times New Roman" w:cs="Times New Roman" w:eastAsia="Times New Roman" w:hAnsi="Times New Roman"/>
          <w:sz w:val="16"/>
          <w:szCs w:val="16"/>
          <w:color w:val="auto"/>
        </w:rPr>
        <w:t>14-2</w:t>
        <w:tab/>
        <w:t>The party suffering from force majeure shall, within 15 days after the occurrence of such event, notify the other party in writing of the specific circumstances of the force majeure event and provide supporting documents to prove the existence and continuation of the force majeure event (including government regulatory documents, if applicable) in case of telecommunications interruption until the restoration of telecommunications. If the party suffering from force majeure fails to notify the other party in accordance with the above provisions and provide appropriate proof, that party shall not request exemption from its responsibilities based on its inability to fulfill relevant obligations. In addition, the party affected by force majeure shall take all necessary measures to minimize losses, otherwise it shall be held responsible for the expanded losses.</w:t>
      </w:r>
    </w:p>
    <w:p>
      <w:pPr>
        <w:spacing w:after="0" w:line="165"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14-3</w:t>
        <w:tab/>
        <w:t>The above “force majeure” means any unforeseen event beyond the reasonable control of one party and which is unavoidable despite reasonable care is given by the party, including but not limited to, earthquake, typhoon, plague, flood, fire, storms, tidal waves or other natural disasters, declared or undeclared war, riots and so 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 Terminate the Contract</w:t>
      </w:r>
    </w:p>
    <w:p>
      <w:pPr>
        <w:spacing w:after="0" w:line="201" w:lineRule="exact"/>
        <w:rPr>
          <w:sz w:val="20"/>
          <w:szCs w:val="20"/>
          <w:color w:val="auto"/>
        </w:rPr>
      </w:pPr>
    </w:p>
    <w:p>
      <w:pPr>
        <w:jc w:val="both"/>
        <w:ind w:left="460" w:right="20" w:hanging="456"/>
        <w:spacing w:after="0" w:line="267" w:lineRule="auto"/>
        <w:tabs>
          <w:tab w:leader="none" w:pos="440" w:val="left"/>
        </w:tabs>
        <w:rPr>
          <w:sz w:val="20"/>
          <w:szCs w:val="20"/>
          <w:color w:val="auto"/>
        </w:rPr>
      </w:pPr>
      <w:r>
        <w:rPr>
          <w:rFonts w:ascii="Times New Roman" w:cs="Times New Roman" w:eastAsia="Times New Roman" w:hAnsi="Times New Roman"/>
          <w:sz w:val="16"/>
          <w:szCs w:val="16"/>
          <w:color w:val="auto"/>
        </w:rPr>
        <w:t>15-1</w:t>
        <w:tab/>
        <w:t>Both Parties agree that one party may be written notice to the other party to terminate the Contract under the following situations, and the party breaching the Contract shall pay liquidated damages which is triple the monthly rent at that time to the other party. If the party breaching the Contract also cause damages to the other party, and if the liquidated damages are insufficient to meet the damages, the balance still needs to be made up.</w:t>
      </w:r>
    </w:p>
    <w:p>
      <w:pPr>
        <w:spacing w:after="0" w:line="156" w:lineRule="exact"/>
        <w:rPr>
          <w:sz w:val="20"/>
          <w:szCs w:val="20"/>
          <w:color w:val="auto"/>
        </w:rPr>
      </w:pPr>
    </w:p>
    <w:p>
      <w:pPr>
        <w:ind w:left="780" w:hanging="327"/>
        <w:spacing w:after="0"/>
        <w:tabs>
          <w:tab w:leader="none" w:pos="7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fails to deliver the House on time and still cannot deliver the House 30 days after the written notice from Party B;</w:t>
      </w:r>
    </w:p>
    <w:p>
      <w:pPr>
        <w:spacing w:after="0" w:line="164" w:lineRule="exact"/>
        <w:rPr>
          <w:rFonts w:ascii="Times New Roman" w:cs="Times New Roman" w:eastAsia="Times New Roman" w:hAnsi="Times New Roman"/>
          <w:sz w:val="16"/>
          <w:szCs w:val="16"/>
          <w:color w:val="auto"/>
        </w:rPr>
      </w:pPr>
    </w:p>
    <w:p>
      <w:pPr>
        <w:ind w:left="780" w:hanging="327"/>
        <w:spacing w:after="0" w:line="219" w:lineRule="exact"/>
        <w:tabs>
          <w:tab w:leader="none" w:pos="7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house delivered by Party A does not meet the contract stipulated in Annex </w:t>
      </w:r>
      <w:r>
        <w:rPr>
          <w:rFonts w:ascii="MS PGothic" w:cs="MS PGothic" w:eastAsia="MS PGothic" w:hAnsi="MS PGothic"/>
          <w:sz w:val="16"/>
          <w:szCs w:val="16"/>
          <w:color w:val="auto"/>
        </w:rPr>
        <w:t>Ⅱ</w:t>
      </w:r>
      <w:r>
        <w:rPr>
          <w:rFonts w:ascii="Times New Roman" w:cs="Times New Roman" w:eastAsia="Times New Roman" w:hAnsi="Times New Roman"/>
          <w:sz w:val="16"/>
          <w:szCs w:val="16"/>
          <w:color w:val="auto"/>
        </w:rPr>
        <w:t xml:space="preserve"> of the Contract, resulting in the failure to realize the purpose of the lease; or the House delivered by Party A is defective and endangers the safety of Party B;</w:t>
      </w:r>
    </w:p>
    <w:p>
      <w:pPr>
        <w:spacing w:after="0" w:line="176" w:lineRule="exact"/>
        <w:rPr>
          <w:rFonts w:ascii="Times New Roman" w:cs="Times New Roman" w:eastAsia="Times New Roman" w:hAnsi="Times New Roman"/>
          <w:sz w:val="16"/>
          <w:szCs w:val="16"/>
          <w:color w:val="auto"/>
        </w:rPr>
      </w:pPr>
    </w:p>
    <w:p>
      <w:pPr>
        <w:ind w:left="780" w:hanging="327"/>
        <w:spacing w:after="0"/>
        <w:tabs>
          <w:tab w:leader="none" w:pos="7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fails to obtain the written consent of Party A to change the use of the House;</w:t>
      </w:r>
    </w:p>
    <w:p>
      <w:pPr>
        <w:spacing w:after="0" w:line="200" w:lineRule="exact"/>
        <w:rPr>
          <w:rFonts w:ascii="Times New Roman" w:cs="Times New Roman" w:eastAsia="Times New Roman" w:hAnsi="Times New Roman"/>
          <w:sz w:val="16"/>
          <w:szCs w:val="16"/>
          <w:color w:val="auto"/>
        </w:rPr>
      </w:pPr>
    </w:p>
    <w:p>
      <w:pPr>
        <w:ind w:left="780" w:hanging="327"/>
        <w:spacing w:after="0"/>
        <w:tabs>
          <w:tab w:leader="none" w:pos="7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causes damage to the main structure of the House or other irreparable damage;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26" w:name="page227"/>
    <w:bookmarkEnd w:id="226"/>
    <w:p>
      <w:pPr>
        <w:ind w:left="784" w:hanging="327"/>
        <w:spacing w:after="0" w:line="283" w:lineRule="auto"/>
        <w:tabs>
          <w:tab w:leader="none" w:pos="78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without the written consent of Party A and the approval of the relevant department, arbitrarily changed the nature of the production and use involved in the property planning;</w:t>
      </w:r>
    </w:p>
    <w:p>
      <w:pPr>
        <w:spacing w:after="0" w:line="143" w:lineRule="exact"/>
        <w:rPr>
          <w:rFonts w:ascii="Times New Roman" w:cs="Times New Roman" w:eastAsia="Times New Roman" w:hAnsi="Times New Roman"/>
          <w:sz w:val="16"/>
          <w:szCs w:val="16"/>
          <w:color w:val="auto"/>
        </w:rPr>
      </w:pPr>
    </w:p>
    <w:p>
      <w:pPr>
        <w:ind w:left="784" w:hanging="327"/>
        <w:spacing w:after="0" w:line="283" w:lineRule="auto"/>
        <w:tabs>
          <w:tab w:leader="none" w:pos="78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fails to obtain the written consent of Party A and permission from the safety production supervision, fire control and other relevant departments to add or modify special equipment or to produce, manage, transport, store, use or dispose of hazardous chemicals;</w:t>
      </w:r>
    </w:p>
    <w:p>
      <w:pPr>
        <w:spacing w:after="0" w:line="143" w:lineRule="exact"/>
        <w:rPr>
          <w:rFonts w:ascii="Times New Roman" w:cs="Times New Roman" w:eastAsia="Times New Roman" w:hAnsi="Times New Roman"/>
          <w:sz w:val="16"/>
          <w:szCs w:val="16"/>
          <w:color w:val="auto"/>
        </w:rPr>
      </w:pPr>
    </w:p>
    <w:p>
      <w:pPr>
        <w:ind w:left="784" w:hanging="327"/>
        <w:spacing w:after="0" w:line="283" w:lineRule="auto"/>
        <w:tabs>
          <w:tab w:leader="none" w:pos="78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renders part or all of the House to any third party without authorization, or uses it in combination with any third party, or transfers the House to others for rent or exchanges with other people’s houses;</w:t>
      </w:r>
    </w:p>
    <w:p>
      <w:pPr>
        <w:spacing w:after="0" w:line="143"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not paid the rent over 30 days, and still cannot pay the rent 30 days after the written notice from Party A.</w:t>
      </w:r>
    </w:p>
    <w:p>
      <w:pPr>
        <w:spacing w:after="0" w:line="201" w:lineRule="exact"/>
        <w:rPr>
          <w:sz w:val="20"/>
          <w:szCs w:val="20"/>
          <w:color w:val="auto"/>
        </w:rPr>
      </w:pPr>
    </w:p>
    <w:p>
      <w:pPr>
        <w:ind w:left="464" w:hanging="456"/>
        <w:spacing w:after="0" w:line="283" w:lineRule="auto"/>
        <w:tabs>
          <w:tab w:leader="none" w:pos="443" w:val="left"/>
        </w:tabs>
        <w:rPr>
          <w:sz w:val="20"/>
          <w:szCs w:val="20"/>
          <w:color w:val="auto"/>
        </w:rPr>
      </w:pPr>
      <w:r>
        <w:rPr>
          <w:rFonts w:ascii="Times New Roman" w:cs="Times New Roman" w:eastAsia="Times New Roman" w:hAnsi="Times New Roman"/>
          <w:sz w:val="16"/>
          <w:szCs w:val="16"/>
          <w:color w:val="auto"/>
        </w:rPr>
        <w:t>15-2</w:t>
        <w:tab/>
        <w:t>Due to the breach of item (8) of the preceding paragraph, the Party A has the right to retain all the articles in the House until Party B pays all the money (including the liquidated damages) to Party A.</w:t>
      </w:r>
    </w:p>
    <w:p>
      <w:pPr>
        <w:spacing w:after="0" w:line="143" w:lineRule="exact"/>
        <w:rPr>
          <w:sz w:val="20"/>
          <w:szCs w:val="20"/>
          <w:color w:val="auto"/>
        </w:rPr>
      </w:pPr>
    </w:p>
    <w:p>
      <w:pPr>
        <w:ind w:left="4"/>
        <w:spacing w:after="0"/>
        <w:tabs>
          <w:tab w:leader="none" w:pos="443" w:val="left"/>
        </w:tabs>
        <w:rPr>
          <w:sz w:val="20"/>
          <w:szCs w:val="20"/>
          <w:color w:val="auto"/>
        </w:rPr>
      </w:pPr>
      <w:r>
        <w:rPr>
          <w:rFonts w:ascii="Times New Roman" w:cs="Times New Roman" w:eastAsia="Times New Roman" w:hAnsi="Times New Roman"/>
          <w:sz w:val="16"/>
          <w:szCs w:val="16"/>
          <w:color w:val="auto"/>
        </w:rPr>
        <w:t>15-3</w:t>
      </w:r>
      <w:r>
        <w:rPr>
          <w:sz w:val="20"/>
          <w:szCs w:val="20"/>
          <w:color w:val="auto"/>
        </w:rPr>
        <w:tab/>
      </w:r>
      <w:r>
        <w:rPr>
          <w:rFonts w:ascii="Times New Roman" w:cs="Times New Roman" w:eastAsia="Times New Roman" w:hAnsi="Times New Roman"/>
          <w:sz w:val="15"/>
          <w:szCs w:val="15"/>
          <w:color w:val="auto"/>
        </w:rPr>
        <w:t>Both Parties agree that the Contract is terminated under the following situations, and neither of them should be responsible for the termination.</w:t>
      </w:r>
    </w:p>
    <w:p>
      <w:pPr>
        <w:spacing w:after="0" w:line="201" w:lineRule="exact"/>
        <w:rPr>
          <w:sz w:val="20"/>
          <w:szCs w:val="20"/>
          <w:color w:val="auto"/>
        </w:rPr>
      </w:pPr>
    </w:p>
    <w:p>
      <w:pPr>
        <w:ind w:left="784" w:hanging="327"/>
        <w:spacing w:after="0"/>
        <w:tabs>
          <w:tab w:leader="none" w:pos="784"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land use rights within the occupied area of the House are recovered early according to law;</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requisitioned according to law because of public interests;</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included in the scope of the permit for house demolition due to urban construction;</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damaged, lost or has been identified as a dangerous house;</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informed Party B that the mortgage has been set before the rental, and is now being disposed of.</w:t>
      </w:r>
    </w:p>
    <w:p>
      <w:pPr>
        <w:spacing w:after="0" w:line="200"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Statements and Guarantees</w:t>
      </w:r>
    </w:p>
    <w:p>
      <w:pPr>
        <w:spacing w:after="0" w:line="201" w:lineRule="exact"/>
        <w:rPr>
          <w:sz w:val="20"/>
          <w:szCs w:val="20"/>
          <w:color w:val="auto"/>
        </w:rPr>
      </w:pPr>
    </w:p>
    <w:p>
      <w:pPr>
        <w:ind w:left="464" w:hanging="464"/>
        <w:spacing w:after="0"/>
        <w:tabs>
          <w:tab w:leader="none" w:pos="464"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hereby states and guarantees as follows:</w:t>
      </w:r>
    </w:p>
    <w:p>
      <w:pPr>
        <w:spacing w:after="0" w:line="200" w:lineRule="exact"/>
        <w:rPr>
          <w:rFonts w:ascii="Times New Roman" w:cs="Times New Roman" w:eastAsia="Times New Roman" w:hAnsi="Times New Roman"/>
          <w:sz w:val="16"/>
          <w:szCs w:val="16"/>
          <w:color w:val="auto"/>
        </w:rPr>
      </w:pPr>
    </w:p>
    <w:p>
      <w:pPr>
        <w:ind w:left="784" w:hanging="327"/>
        <w:spacing w:after="0" w:line="283" w:lineRule="auto"/>
        <w:tabs>
          <w:tab w:leader="none" w:pos="784"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all the necessary authorizations to formally and effectively sign and perform the Contract and possess all the necessary powers and capabilities to lease the House to Party B in accordance with applicable laws.</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227" w:name="page228"/>
    <w:bookmarkEnd w:id="227"/>
    <w:p>
      <w:pPr>
        <w:ind w:left="784" w:hanging="327"/>
        <w:spacing w:after="0"/>
        <w:tabs>
          <w:tab w:leader="none" w:pos="784"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A’s signing and performance of the Contract shall not constitute a violation of the applicable law or any contract signed by Party A with any third party.</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the House has been built and in good condition in accordance with applicable laws (including but not limited to safety and health related laws and regulations) and has legal ownership over it.</w:t>
      </w:r>
    </w:p>
    <w:p>
      <w:pPr>
        <w:spacing w:after="0" w:line="143" w:lineRule="exact"/>
        <w:rPr>
          <w:rFonts w:ascii="Times New Roman" w:cs="Times New Roman" w:eastAsia="Times New Roman" w:hAnsi="Times New Roman"/>
          <w:sz w:val="16"/>
          <w:szCs w:val="16"/>
          <w:color w:val="auto"/>
        </w:rPr>
      </w:pPr>
    </w:p>
    <w:p>
      <w:pPr>
        <w:ind w:left="464" w:hanging="464"/>
        <w:spacing w:after="0"/>
        <w:tabs>
          <w:tab w:leader="none" w:pos="464"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hereby states and guarantees as follows:</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all the necessary authorizations to formally and effectively sign and perform the Contract.</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legal business qualification. During the renewal of the Contract, Party B will engage in business activities in accordance with the scope of its business license, and its business activities must comply with the relevant provisions of national laws and regulations.</w:t>
      </w:r>
    </w:p>
    <w:p>
      <w:pPr>
        <w:spacing w:after="0" w:line="143" w:lineRule="exact"/>
        <w:rPr>
          <w:rFonts w:ascii="Times New Roman" w:cs="Times New Roman" w:eastAsia="Times New Roman" w:hAnsi="Times New Roman"/>
          <w:sz w:val="16"/>
          <w:szCs w:val="16"/>
          <w:color w:val="auto"/>
        </w:rPr>
      </w:pPr>
    </w:p>
    <w:p>
      <w:pPr>
        <w:ind w:left="784" w:hanging="327"/>
        <w:spacing w:after="0" w:line="283" w:lineRule="auto"/>
        <w:tabs>
          <w:tab w:leader="none" w:pos="784" w:val="left"/>
        </w:tabs>
        <w:numPr>
          <w:ilvl w:val="1"/>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promises not to disclose any information involved in the Contract to any third party, including but not limited to the rental price. If Party B’s behavior leaks any of above mentioned information, Party A reserves the right to retroactively indemnify Party B.</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17. Safe Production</w:t>
      </w:r>
    </w:p>
    <w:p>
      <w:pPr>
        <w:spacing w:after="0" w:line="201" w:lineRule="exact"/>
        <w:rPr>
          <w:sz w:val="20"/>
          <w:szCs w:val="20"/>
          <w:color w:val="auto"/>
        </w:rPr>
      </w:pPr>
    </w:p>
    <w:p>
      <w:pPr>
        <w:jc w:val="both"/>
        <w:ind w:left="464" w:right="20" w:hanging="456"/>
        <w:spacing w:after="0" w:line="197" w:lineRule="exact"/>
        <w:tabs>
          <w:tab w:leader="none" w:pos="443" w:val="left"/>
        </w:tabs>
        <w:rPr>
          <w:sz w:val="20"/>
          <w:szCs w:val="20"/>
          <w:color w:val="auto"/>
        </w:rPr>
      </w:pPr>
      <w:r>
        <w:rPr>
          <w:rFonts w:ascii="Times New Roman" w:cs="Times New Roman" w:eastAsia="Times New Roman" w:hAnsi="Times New Roman"/>
          <w:sz w:val="16"/>
          <w:szCs w:val="16"/>
          <w:color w:val="auto"/>
        </w:rPr>
        <w:t>17-1</w:t>
        <w:tab/>
        <w:t xml:space="preserve">Party B shall strictly comply with the safety management code of the park including the Notice on Enterprise Safety Management in Shanghai Pudong Software Park (see Annex </w:t>
      </w:r>
      <w:r>
        <w:rPr>
          <w:rFonts w:ascii="MS PGothic" w:cs="MS PGothic" w:eastAsia="MS PGothic" w:hAnsi="MS PGothic"/>
          <w:sz w:val="16"/>
          <w:szCs w:val="16"/>
          <w:color w:val="auto"/>
        </w:rPr>
        <w:t>Ⅲ</w:t>
      </w:r>
      <w:r>
        <w:rPr>
          <w:rFonts w:ascii="Times New Roman" w:cs="Times New Roman" w:eastAsia="Times New Roman" w:hAnsi="Times New Roman"/>
          <w:sz w:val="16"/>
          <w:szCs w:val="16"/>
          <w:color w:val="auto"/>
        </w:rPr>
        <w:t xml:space="preserve"> for details) and shall be fully responsible for its own safety management. Party B shall immediately inform Party A in an effective manner once a safety accident has occurred, and provide a written report after the incident, while trying its best to avoid or reduce the casualties or property damage. If the circumstances of the accident are serious and have caused or may cause casualties, Party B shall also directly report to the relevant government department in accordance with the law.</w:t>
      </w:r>
    </w:p>
    <w:p>
      <w:pPr>
        <w:spacing w:after="0" w:line="177" w:lineRule="exact"/>
        <w:rPr>
          <w:sz w:val="20"/>
          <w:szCs w:val="20"/>
          <w:color w:val="auto"/>
        </w:rPr>
      </w:pPr>
    </w:p>
    <w:p>
      <w:pPr>
        <w:jc w:val="both"/>
        <w:ind w:left="464" w:right="20" w:hanging="456"/>
        <w:spacing w:after="0" w:line="283" w:lineRule="auto"/>
        <w:tabs>
          <w:tab w:leader="none" w:pos="443" w:val="left"/>
        </w:tabs>
        <w:rPr>
          <w:sz w:val="20"/>
          <w:szCs w:val="20"/>
          <w:color w:val="auto"/>
        </w:rPr>
      </w:pPr>
      <w:r>
        <w:rPr>
          <w:rFonts w:ascii="Times New Roman" w:cs="Times New Roman" w:eastAsia="Times New Roman" w:hAnsi="Times New Roman"/>
          <w:sz w:val="16"/>
          <w:szCs w:val="16"/>
          <w:color w:val="auto"/>
        </w:rPr>
        <w:t>17-2</w:t>
        <w:tab/>
        <w:t>During the rental term of the Contract, Party A shall have the right to recourse to Party B and terminate the Contract if Party B produces safety accident in the area of Shanghai Pudong Software Park. If the safety accidents cause loss of Party A, Party B should compensate Party A.</w:t>
      </w:r>
    </w:p>
    <w:p>
      <w:pPr>
        <w:spacing w:after="0" w:line="143" w:lineRule="exact"/>
        <w:rPr>
          <w:sz w:val="20"/>
          <w:szCs w:val="20"/>
          <w:color w:val="auto"/>
        </w:rPr>
      </w:pPr>
    </w:p>
    <w:p>
      <w:pPr>
        <w:ind w:left="4"/>
        <w:spacing w:after="0"/>
        <w:tabs>
          <w:tab w:leader="none" w:pos="443" w:val="left"/>
        </w:tabs>
        <w:rPr>
          <w:sz w:val="20"/>
          <w:szCs w:val="20"/>
          <w:color w:val="auto"/>
        </w:rPr>
      </w:pPr>
      <w:r>
        <w:rPr>
          <w:rFonts w:ascii="Times New Roman" w:cs="Times New Roman" w:eastAsia="Times New Roman" w:hAnsi="Times New Roman"/>
          <w:sz w:val="16"/>
          <w:szCs w:val="16"/>
          <w:color w:val="auto"/>
        </w:rPr>
        <w:t>17-3</w:t>
      </w:r>
      <w:r>
        <w:rPr>
          <w:sz w:val="20"/>
          <w:szCs w:val="20"/>
          <w:color w:val="auto"/>
        </w:rPr>
        <w:tab/>
      </w:r>
      <w:r>
        <w:rPr>
          <w:rFonts w:ascii="Times New Roman" w:cs="Times New Roman" w:eastAsia="Times New Roman" w:hAnsi="Times New Roman"/>
          <w:sz w:val="15"/>
          <w:szCs w:val="15"/>
          <w:color w:val="auto"/>
        </w:rPr>
        <w:t>Party B’s safety records shall be used as a reference for Party B’s priority rights such as renewal and extension of lease (if any).</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18. Other Terms</w:t>
      </w:r>
    </w:p>
    <w:p>
      <w:pPr>
        <w:spacing w:after="0" w:line="201" w:lineRule="exact"/>
        <w:rPr>
          <w:sz w:val="20"/>
          <w:szCs w:val="20"/>
          <w:color w:val="auto"/>
        </w:rPr>
      </w:pPr>
    </w:p>
    <w:p>
      <w:pPr>
        <w:ind w:left="4"/>
        <w:spacing w:after="0"/>
        <w:tabs>
          <w:tab w:leader="none" w:pos="443" w:val="left"/>
        </w:tabs>
        <w:rPr>
          <w:sz w:val="20"/>
          <w:szCs w:val="20"/>
          <w:color w:val="auto"/>
        </w:rPr>
      </w:pPr>
      <w:r>
        <w:rPr>
          <w:rFonts w:ascii="Times New Roman" w:cs="Times New Roman" w:eastAsia="Times New Roman" w:hAnsi="Times New Roman"/>
          <w:sz w:val="16"/>
          <w:szCs w:val="16"/>
          <w:color w:val="auto"/>
        </w:rPr>
        <w:t>18-1</w:t>
        <w:tab/>
        <w:t>The Contract takes effect immediately after both parties have signed and sealed the contract.</w:t>
      </w:r>
    </w:p>
    <w:p>
      <w:pPr>
        <w:spacing w:after="0" w:line="201" w:lineRule="exact"/>
        <w:rPr>
          <w:sz w:val="20"/>
          <w:szCs w:val="20"/>
          <w:color w:val="auto"/>
        </w:rPr>
      </w:pPr>
    </w:p>
    <w:p>
      <w:pPr>
        <w:jc w:val="both"/>
        <w:ind w:left="464" w:right="20" w:hanging="456"/>
        <w:spacing w:after="0" w:line="267" w:lineRule="auto"/>
        <w:tabs>
          <w:tab w:leader="none" w:pos="443" w:val="left"/>
        </w:tabs>
        <w:rPr>
          <w:sz w:val="20"/>
          <w:szCs w:val="20"/>
          <w:color w:val="auto"/>
        </w:rPr>
      </w:pPr>
      <w:r>
        <w:rPr>
          <w:rFonts w:ascii="Times New Roman" w:cs="Times New Roman" w:eastAsia="Times New Roman" w:hAnsi="Times New Roman"/>
          <w:sz w:val="16"/>
          <w:szCs w:val="16"/>
          <w:color w:val="auto"/>
        </w:rPr>
        <w:t>18-2</w:t>
        <w:tab/>
        <w:t>The unaccomplished matters of the Contract may be concluded by the supplementary agreements or terms between Party A and Party B. The supplementary agreement, the terms and the supplements to the Contract are an integral part of the Contract. The written words in the Contract and its supplementary terms, agreements and the space in the appendix have the same effect as the printed language.</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28" w:name="page229"/>
    <w:bookmarkEnd w:id="228"/>
    <w:p>
      <w:pPr>
        <w:ind w:left="46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18-3</w:t>
        <w:tab/>
        <w:t>When both parties sign the Contract, they shall clearly understand their respective rights, obligations and responsibilities and are willing to fulfill their obligations strictly according to the Contract. If one party violates the Contract, the other party is entitled to claim according to the Contract.</w:t>
      </w:r>
    </w:p>
    <w:p>
      <w:pPr>
        <w:spacing w:after="0" w:line="143" w:lineRule="exact"/>
        <w:rPr>
          <w:sz w:val="20"/>
          <w:szCs w:val="20"/>
          <w:color w:val="auto"/>
        </w:rPr>
      </w:pPr>
    </w:p>
    <w:p>
      <w:pPr>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18-4</w:t>
        <w:tab/>
        <w:t>Party A and Party B shall settle their disputes through negotiation during the performance of the Contract. If they fail to reach a consensus through negotiation, both parties agree to choose the following method (2) to settle in accordance with the laws of the People’s Republic of China:</w:t>
      </w:r>
    </w:p>
    <w:p>
      <w:pPr>
        <w:spacing w:after="0" w:line="143" w:lineRule="exact"/>
        <w:rPr>
          <w:sz w:val="20"/>
          <w:szCs w:val="20"/>
          <w:color w:val="auto"/>
        </w:rPr>
      </w:pPr>
    </w:p>
    <w:p>
      <w:pPr>
        <w:ind w:left="780" w:right="20" w:hanging="327"/>
        <w:spacing w:after="0" w:line="283" w:lineRule="auto"/>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submitted to China International Economic and Trade Arbitration Commission Shanghai Branch for arbitration; arbitration shall be conducted in accordance with the current effective arbitration rules of the Shanghai International Economic and Trade Arbitration Commission at the time of the arbitration application</w:t>
      </w:r>
    </w:p>
    <w:p>
      <w:pPr>
        <w:spacing w:after="0" w:line="143" w:lineRule="exact"/>
        <w:rPr>
          <w:rFonts w:ascii="Times New Roman" w:cs="Times New Roman" w:eastAsia="Times New Roman" w:hAnsi="Times New Roman"/>
          <w:sz w:val="16"/>
          <w:szCs w:val="16"/>
          <w:color w:val="auto"/>
        </w:rPr>
      </w:pPr>
    </w:p>
    <w:p>
      <w:pPr>
        <w:ind w:left="780" w:hanging="327"/>
        <w:spacing w:after="0"/>
        <w:tabs>
          <w:tab w:leader="none" w:pos="7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bring a lawsuit to the people’s court where the House is located.</w:t>
      </w:r>
    </w:p>
    <w:p>
      <w:pPr>
        <w:spacing w:after="0" w:line="20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18-5</w:t>
      </w:r>
      <w:r>
        <w:rPr>
          <w:sz w:val="20"/>
          <w:szCs w:val="20"/>
          <w:color w:val="auto"/>
        </w:rPr>
        <w:tab/>
      </w:r>
      <w:r>
        <w:rPr>
          <w:rFonts w:ascii="Times New Roman" w:cs="Times New Roman" w:eastAsia="Times New Roman" w:hAnsi="Times New Roman"/>
          <w:sz w:val="15"/>
          <w:szCs w:val="15"/>
          <w:color w:val="auto"/>
        </w:rPr>
        <w:t>The Contract has four copies with the Annex, and Party A, Party B, the business department, the tax department each hold a copy. All of them have the same effect.</w:t>
      </w:r>
    </w:p>
    <w:p>
      <w:pPr>
        <w:spacing w:after="0" w:line="201" w:lineRule="exact"/>
        <w:rPr>
          <w:sz w:val="20"/>
          <w:szCs w:val="20"/>
          <w:color w:val="auto"/>
        </w:rPr>
      </w:pPr>
    </w:p>
    <w:p>
      <w:pPr>
        <w:jc w:val="both"/>
        <w:ind w:left="460" w:right="20" w:hanging="456"/>
        <w:spacing w:after="0" w:line="283" w:lineRule="auto"/>
        <w:tabs>
          <w:tab w:leader="none" w:pos="440" w:val="left"/>
        </w:tabs>
        <w:rPr>
          <w:sz w:val="20"/>
          <w:szCs w:val="20"/>
          <w:color w:val="auto"/>
        </w:rPr>
      </w:pPr>
      <w:r>
        <w:rPr>
          <w:rFonts w:ascii="Times New Roman" w:cs="Times New Roman" w:eastAsia="Times New Roman" w:hAnsi="Times New Roman"/>
          <w:sz w:val="16"/>
          <w:szCs w:val="16"/>
          <w:color w:val="auto"/>
        </w:rPr>
        <w:t>18-6</w:t>
        <w:tab/>
        <w:t>All fees and taxes related to the registration of the Contract (including but not limited to stamp duty) should be borne by both parties in accordance with the regulations of the People’s Republic of China and Shanghai.</w:t>
      </w:r>
    </w:p>
    <w:p>
      <w:pPr>
        <w:spacing w:after="0" w:line="143" w:lineRule="exact"/>
        <w:rPr>
          <w:sz w:val="20"/>
          <w:szCs w:val="20"/>
          <w:color w:val="auto"/>
        </w:rPr>
      </w:pPr>
    </w:p>
    <w:p>
      <w:pPr>
        <w:jc w:val="both"/>
        <w:ind w:left="460" w:hanging="456"/>
        <w:spacing w:after="0" w:line="259" w:lineRule="auto"/>
        <w:tabs>
          <w:tab w:leader="none" w:pos="440" w:val="left"/>
        </w:tabs>
        <w:rPr>
          <w:sz w:val="20"/>
          <w:szCs w:val="20"/>
          <w:color w:val="auto"/>
        </w:rPr>
      </w:pPr>
      <w:r>
        <w:rPr>
          <w:rFonts w:ascii="Times New Roman" w:cs="Times New Roman" w:eastAsia="Times New Roman" w:hAnsi="Times New Roman"/>
          <w:sz w:val="16"/>
          <w:szCs w:val="16"/>
          <w:color w:val="auto"/>
        </w:rPr>
        <w:t>18-7</w:t>
        <w:tab/>
        <w:t>Party B is obliged to cooperate with Party A to complete all forms of non-profitable research activities for the purpose of industry research, including but not limited to questionnaires, interviews with business executives, and collection of economic data. Party A will not disclose any information or data provided by Party B for other purpose other than industry research and will not disclose any trade secrets to any third party which is not related to industrial research. 18-8 Party B confirms that party A has fully explained and interpreted the relevant terms of this contract to party B; Party B acknowledges and accepts all the terms of this contract, which have been reached through friendly negotiations between the two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is no text following.)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229" w:name="page230"/>
    <w:bookmarkEnd w:id="229"/>
    <w:p>
      <w:pPr>
        <w:jc w:val="center"/>
        <w:ind w:right="-3"/>
        <w:spacing w:after="0"/>
        <w:rPr>
          <w:sz w:val="20"/>
          <w:szCs w:val="20"/>
          <w:color w:val="auto"/>
        </w:rPr>
      </w:pPr>
      <w:r>
        <w:rPr>
          <w:rFonts w:ascii="Times New Roman" w:cs="Times New Roman" w:eastAsia="Times New Roman" w:hAnsi="Times New Roman"/>
          <w:sz w:val="16"/>
          <w:szCs w:val="16"/>
          <w:color w:val="auto"/>
        </w:rPr>
        <w:t>Annex I</w:t>
      </w:r>
    </w:p>
    <w:p>
      <w:pPr>
        <w:spacing w:after="0" w:line="2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The floor plan of the House</w:t>
      </w:r>
    </w:p>
    <w:p>
      <w:pPr>
        <w:spacing w:after="0" w:line="18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Annex II</w:t>
      </w:r>
    </w:p>
    <w:p>
      <w:pPr>
        <w:spacing w:after="0" w:line="201"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6"/>
          <w:szCs w:val="16"/>
          <w:color w:val="auto"/>
        </w:rPr>
        <w:t>the existing decoration of the House, ancillary facilities and equipment status, and the decoration and additional facilities which Party A allows Party B to do in writing</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Current situation of house delivery, house delivery standards:</w:t>
      </w:r>
    </w:p>
    <w:p>
      <w:pPr>
        <w:spacing w:after="0" w:line="201" w:lineRule="exact"/>
        <w:rPr>
          <w:sz w:val="20"/>
          <w:szCs w:val="20"/>
          <w:color w:val="auto"/>
        </w:rPr>
      </w:pPr>
    </w:p>
    <w:p>
      <w:pPr>
        <w:ind w:left="164" w:hanging="164"/>
        <w:spacing w:after="0"/>
        <w:tabs>
          <w:tab w:leader="none" w:pos="16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Fine decoration of common areas (including the entrance hall, lobby, public corridors, and bathrooms);</w:t>
      </w:r>
    </w:p>
    <w:p>
      <w:pPr>
        <w:spacing w:after="0" w:line="200"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indoor (office area) walls are painted white, the mineral wool board ceiling is suspended, the lighting fixtures are installed, and the cement floor is installed.</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Annex III</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Notice of Shanghai Pudong Software Park Park Enterprise Security Management</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According to Production Safety Law of the People’s Republic of China, Regulations on the Reporting, Investigation and Handling of Work Safety Accidents, Regulations on Production Safety of Shanghai, for further strengthen the security management of Shanghai Pudong Software Park, effectively protect the life of the park personnel and property safety, we will inform about the safety management in the park as follows:</w:t>
      </w:r>
    </w:p>
    <w:p>
      <w:pPr>
        <w:spacing w:after="0" w:line="156" w:lineRule="exact"/>
        <w:rPr>
          <w:sz w:val="20"/>
          <w:szCs w:val="20"/>
          <w:color w:val="auto"/>
        </w:rPr>
      </w:pPr>
    </w:p>
    <w:p>
      <w:pPr>
        <w:ind w:left="464" w:hanging="464"/>
        <w:spacing w:after="0"/>
        <w:tabs>
          <w:tab w:leader="none" w:pos="46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Management Responsibilities of Companies in the Park</w:t>
      </w:r>
    </w:p>
    <w:p>
      <w:pPr>
        <w:spacing w:after="0" w:line="200" w:lineRule="exact"/>
        <w:rPr>
          <w:rFonts w:ascii="Times New Roman" w:cs="Times New Roman" w:eastAsia="Times New Roman" w:hAnsi="Times New Roman"/>
          <w:sz w:val="16"/>
          <w:szCs w:val="16"/>
          <w:color w:val="auto"/>
        </w:rPr>
      </w:pPr>
    </w:p>
    <w:p>
      <w:pPr>
        <w:ind w:left="464" w:right="20"/>
        <w:spacing w:after="0" w:line="28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in the park should be responsible for the work of safety management, including the area that the company leased, in the process of working, employee’s safety management during working or work-related experiences, and take the responsibility.</w:t>
      </w:r>
    </w:p>
    <w:p>
      <w:pPr>
        <w:spacing w:after="0" w:line="143" w:lineRule="exact"/>
        <w:rPr>
          <w:rFonts w:ascii="Times New Roman" w:cs="Times New Roman" w:eastAsia="Times New Roman" w:hAnsi="Times New Roman"/>
          <w:sz w:val="16"/>
          <w:szCs w:val="16"/>
          <w:color w:val="auto"/>
        </w:rPr>
      </w:pPr>
    </w:p>
    <w:p>
      <w:pPr>
        <w:jc w:val="both"/>
        <w:ind w:left="784" w:hanging="327"/>
        <w:spacing w:after="0" w:line="267" w:lineRule="auto"/>
        <w:tabs>
          <w:tab w:leader="none" w:pos="784"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park enterprise assigns the safety commissioner as the first safety liaison and is in charge of the safety work in the leased area and liaises with Shanghai Pudong Software Park Co., Ltd. (hereinafter referred to as “Pu soft”). If there is a change of position in the safety commissioner, the job successor automatically becomes the first safety liaison or the park shall assign another person and informed in writing to Pu Soft.</w:t>
      </w:r>
    </w:p>
    <w:p>
      <w:pPr>
        <w:spacing w:after="0" w:line="155" w:lineRule="exact"/>
        <w:rPr>
          <w:rFonts w:ascii="Times New Roman" w:cs="Times New Roman" w:eastAsia="Times New Roman" w:hAnsi="Times New Roman"/>
          <w:sz w:val="16"/>
          <w:szCs w:val="16"/>
          <w:color w:val="auto"/>
        </w:rPr>
      </w:pPr>
    </w:p>
    <w:p>
      <w:pPr>
        <w:ind w:left="784" w:hanging="327"/>
        <w:spacing w:after="0" w:line="283" w:lineRule="auto"/>
        <w:tabs>
          <w:tab w:leader="none" w:pos="784"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Strictly abide by the laws, regulations and rules related to safety and possess the qualifications and conditions for safety production required for the operation of the business and industry.</w:t>
      </w:r>
    </w:p>
    <w:p>
      <w:pPr>
        <w:spacing w:after="0" w:line="143" w:lineRule="exact"/>
        <w:rPr>
          <w:rFonts w:ascii="Times New Roman" w:cs="Times New Roman" w:eastAsia="Times New Roman" w:hAnsi="Times New Roman"/>
          <w:sz w:val="16"/>
          <w:szCs w:val="16"/>
          <w:color w:val="auto"/>
        </w:rPr>
      </w:pPr>
    </w:p>
    <w:p>
      <w:pPr>
        <w:ind w:left="784" w:hanging="327"/>
        <w:spacing w:after="0" w:line="283" w:lineRule="auto"/>
        <w:tabs>
          <w:tab w:leader="none" w:pos="784"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written approval by Pu soft company, if a company can sublease or sublet the office, it shall conclude a safety management agreement with the sub-tenant on the basis of the contents of this circular with a clear emphasis on safety responsibilities and management requirements.</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30" w:name="page231"/>
    <w:bookmarkEnd w:id="230"/>
    <w:p>
      <w:pPr>
        <w:ind w:left="464" w:hanging="464"/>
        <w:spacing w:after="0"/>
        <w:tabs>
          <w:tab w:leader="none" w:pos="46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Requirements of Daily Operation</w:t>
      </w:r>
    </w:p>
    <w:p>
      <w:pPr>
        <w:spacing w:after="0" w:line="200" w:lineRule="exact"/>
        <w:rPr>
          <w:rFonts w:ascii="Times New Roman" w:cs="Times New Roman" w:eastAsia="Times New Roman" w:hAnsi="Times New Roman"/>
          <w:sz w:val="16"/>
          <w:szCs w:val="16"/>
          <w:color w:val="auto"/>
        </w:rPr>
      </w:pPr>
    </w:p>
    <w:p>
      <w:pPr>
        <w:jc w:val="both"/>
        <w:ind w:left="784" w:right="20" w:hanging="327"/>
        <w:spacing w:after="0" w:line="267" w:lineRule="auto"/>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safety management rules and systems with safety responsibility system as the core. Strengthen safety education and management of suppliers. Enhance daily education and training of employees in safety work. Provide safety management personnel and equipment. In accordance with the relevant regulations and establish safety standards emergency rescue and evacuation plan.</w:t>
      </w:r>
    </w:p>
    <w:p>
      <w:pPr>
        <w:spacing w:after="0" w:line="155"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renovations within the scope of renter and equipment installation should comply with the relevant provisions, norms and standards of safety and fire safety. According to national and local regulations, construction and equipment installation needs to be reviewed and accepted.</w:t>
      </w:r>
    </w:p>
    <w:p>
      <w:pPr>
        <w:spacing w:after="0" w:line="143" w:lineRule="exact"/>
        <w:rPr>
          <w:rFonts w:ascii="Times New Roman" w:cs="Times New Roman" w:eastAsia="Times New Roman" w:hAnsi="Times New Roman"/>
          <w:sz w:val="16"/>
          <w:szCs w:val="16"/>
          <w:color w:val="auto"/>
        </w:rPr>
      </w:pPr>
    </w:p>
    <w:p>
      <w:pPr>
        <w:jc w:val="both"/>
        <w:ind w:left="784" w:hanging="327"/>
        <w:spacing w:after="0" w:line="267" w:lineRule="auto"/>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facilities and equipment must pass inspection, tests and acceptance, and should be operated by trained and qualified people. Those people who are engaged in special operations must have the appropriate qualifications. The equipment and operations personnel should be reviewed annually in accordance with related regulations.</w:t>
      </w:r>
    </w:p>
    <w:p>
      <w:pPr>
        <w:spacing w:after="0" w:line="155"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Don’t produce, store toxic, harmful, flammable, explosive materials.</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Loading and unloading of goods in the designated area, do a good job of on-site safety supervision and support.</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strictly forbidden to lodge staff in the office area of Shanghai Pudong Software Park.</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of accidents or insecurity should be self-examination and timely rectification. Cooperate with Pu soft company and the property management unit for safety inspection and rectification.</w:t>
      </w:r>
    </w:p>
    <w:p>
      <w:pPr>
        <w:spacing w:after="0" w:line="143" w:lineRule="exact"/>
        <w:rPr>
          <w:rFonts w:ascii="Times New Roman" w:cs="Times New Roman" w:eastAsia="Times New Roman" w:hAnsi="Times New Roman"/>
          <w:sz w:val="16"/>
          <w:szCs w:val="16"/>
          <w:color w:val="auto"/>
        </w:rPr>
      </w:pPr>
    </w:p>
    <w:p>
      <w:pPr>
        <w:ind w:left="464" w:hanging="464"/>
        <w:spacing w:after="0"/>
        <w:tabs>
          <w:tab w:leader="none" w:pos="464"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of Fire Safety</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Actively involved in the fire drill and cooperate with Pu soft company and property management units.</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Equip fire extinguisher in line with the provisions in their own rented area. Set in line with the provisions of the requirements, identify the obvious emergency evacuation diagram. Always keep the evacuation routes and entrances and exits open.</w:t>
      </w:r>
    </w:p>
    <w:p>
      <w:pPr>
        <w:spacing w:after="0" w:line="143"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Smoking is strictly forbidden in non-smoking areas. It is forbidden to use open flame in violation of regulation.</w:t>
      </w:r>
    </w:p>
    <w:p>
      <w:pPr>
        <w:spacing w:after="0" w:line="200" w:lineRule="exact"/>
        <w:rPr>
          <w:rFonts w:ascii="Times New Roman" w:cs="Times New Roman" w:eastAsia="Times New Roman" w:hAnsi="Times New Roman"/>
          <w:sz w:val="16"/>
          <w:szCs w:val="16"/>
          <w:color w:val="auto"/>
        </w:rPr>
      </w:pPr>
    </w:p>
    <w:p>
      <w:pPr>
        <w:ind w:left="784" w:hanging="327"/>
        <w:spacing w:after="0"/>
        <w:tabs>
          <w:tab w:leader="none" w:pos="78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forbidden to block, close, occupy the evacuation routes and entrances and exits.</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31" w:name="page232"/>
    <w:bookmarkEnd w:id="231"/>
    <w:p>
      <w:pPr>
        <w:ind w:left="464" w:hanging="464"/>
        <w:spacing w:after="0"/>
        <w:tabs>
          <w:tab w:leader="none" w:pos="464"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of Security and Traffic Safety</w:t>
      </w:r>
    </w:p>
    <w:p>
      <w:pPr>
        <w:spacing w:after="0" w:line="200"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Improve staff’s awareness of personal safety, property safety and traffic safety. Properly store their valuables such as cash and securities, and set up more reliable safety precautions to prevent theft.</w:t>
      </w:r>
    </w:p>
    <w:p>
      <w:pPr>
        <w:spacing w:after="0" w:line="143" w:lineRule="exact"/>
        <w:rPr>
          <w:rFonts w:ascii="Times New Roman" w:cs="Times New Roman" w:eastAsia="Times New Roman" w:hAnsi="Times New Roman"/>
          <w:sz w:val="16"/>
          <w:szCs w:val="16"/>
          <w:color w:val="auto"/>
        </w:rPr>
      </w:pPr>
    </w:p>
    <w:p>
      <w:pPr>
        <w:ind w:left="784" w:right="20" w:hanging="327"/>
        <w:spacing w:after="0" w:line="283" w:lineRule="auto"/>
        <w:tabs>
          <w:tab w:leader="none" w:pos="784" w:val="left"/>
        </w:tabs>
        <w:numPr>
          <w:ilvl w:val="1"/>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motor vehicles owned by their employees or their employees’ relatives shall strictly follow the traffic lights’ instruction and traffic signs’ instruction to drive. Parking in the line with norms and regulations.</w:t>
      </w:r>
    </w:p>
    <w:p>
      <w:pPr>
        <w:spacing w:after="0" w:line="14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Once an emergency or safety accident is discovered or occurs, including but not limited to safety production, fire protection, traffic or public security situations, it should be reported to Pudong software Company as soon as possible. If the situation is particularly urgent, it can also be directly reported to the public security, fire protection, emergency and other departments, and then immediately reported to Pudong software Company (contact information: 400-676-1818 or 61821818).</w:t>
      </w:r>
    </w:p>
    <w:p>
      <w:pPr>
        <w:spacing w:after="0" w:line="156"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Lessor (Party A):</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Lessee (Party B):</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Shanghai Pudong Software Park Co., Ltd.</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CLPS Shanghai Co., Ltd.</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Legal representative:</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Legal representative:</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Address:</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No 498, Guoshoujing Road, Pudong District, Shanghai,China</w:t>
            </w:r>
          </w:p>
        </w:tc>
        <w:tc>
          <w:tcPr>
            <w:tcW w:w="6520" w:type="dxa"/>
            <w:vAlign w:val="bottom"/>
          </w:tcPr>
          <w:p>
            <w:pPr>
              <w:spacing w:after="0"/>
              <w:rPr>
                <w:sz w:val="16"/>
                <w:szCs w:val="16"/>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Contact address:</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Contact address:</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No 2, Boyun Road, Pudong District, Shanghai,China</w:t>
            </w:r>
          </w:p>
        </w:tc>
        <w:tc>
          <w:tcPr>
            <w:tcW w:w="6520" w:type="dxa"/>
            <w:vAlign w:val="bottom"/>
          </w:tcPr>
          <w:p>
            <w:pPr>
              <w:spacing w:after="0"/>
              <w:rPr>
                <w:sz w:val="16"/>
                <w:szCs w:val="16"/>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Zip code:</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Zip code:</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Phone:</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Phone:</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61821818</w:t>
            </w:r>
          </w:p>
        </w:tc>
        <w:tc>
          <w:tcPr>
            <w:tcW w:w="6520" w:type="dxa"/>
            <w:vAlign w:val="bottom"/>
          </w:tcPr>
          <w:p>
            <w:pPr>
              <w:spacing w:after="0"/>
              <w:rPr>
                <w:sz w:val="16"/>
                <w:szCs w:val="16"/>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Agent:</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Agent:</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Signature and seal:</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Signature and seal:</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Sign date:n</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Sign date:</w:t>
            </w: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2023-9-5</w:t>
            </w:r>
          </w:p>
        </w:tc>
        <w:tc>
          <w:tcPr>
            <w:tcW w:w="6520" w:type="dxa"/>
            <w:vAlign w:val="bottom"/>
          </w:tcPr>
          <w:p>
            <w:pPr>
              <w:spacing w:after="0"/>
              <w:rPr>
                <w:sz w:val="16"/>
                <w:szCs w:val="16"/>
                <w:color w:val="auto"/>
              </w:rPr>
            </w:pPr>
          </w:p>
        </w:tc>
      </w:tr>
      <w:tr>
        <w:trPr>
          <w:trHeight w:val="192"/>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Contracting place:</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Contracting place:</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Pudong, Shanghai</w:t>
            </w:r>
          </w:p>
        </w:tc>
        <w:tc>
          <w:tcPr>
            <w:tcW w:w="65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Pudong, Shanghai</w:t>
            </w:r>
          </w:p>
        </w:tc>
      </w:tr>
      <w:tr>
        <w:trPr>
          <w:trHeight w:val="581"/>
        </w:trPr>
        <w:tc>
          <w:tcPr>
            <w:tcW w:w="474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17</w:t>
            </w:r>
          </w:p>
        </w:tc>
      </w:tr>
    </w:tbl>
    <w:p>
      <w:pPr>
        <w:sectPr>
          <w:pgSz w:w="11900" w:h="16838" w:orient="portrait"/>
          <w:cols w:equalWidth="0" w:num="1">
            <w:col w:w="11264"/>
          </w:cols>
          <w:pgMar w:left="316" w:top="820"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6"/>
          <w:szCs w:val="16"/>
          <w:b w:val="1"/>
          <w:bCs w:val="1"/>
          <w:color w:val="auto"/>
        </w:rPr>
        <w:t>Exhibit 10.10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Housing lease Contract</w:t>
      </w:r>
    </w:p>
    <w:p>
      <w:pPr>
        <w:spacing w:after="0" w:line="213"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 xml:space="preserve">Party A: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Dalian Metro Construction Co., Ltd. </w:t>
      </w:r>
      <w:r>
        <w:rPr>
          <w:rFonts w:ascii="SimSun" w:cs="SimSun" w:eastAsia="SimSun" w:hAnsi="SimSun"/>
          <w:sz w:val="16"/>
          <w:szCs w:val="16"/>
          <w:color w:val="auto"/>
        </w:rPr>
        <w:t>】</w:t>
      </w:r>
    </w:p>
    <w:p>
      <w:pPr>
        <w:spacing w:after="0" w:line="22"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Registered office.</w:t>
      </w:r>
      <w:r>
        <w:rPr>
          <w:rFonts w:ascii="SimSun" w:cs="SimSun" w:eastAsia="SimSun" w:hAnsi="SimSun"/>
          <w:sz w:val="16"/>
          <w:szCs w:val="16"/>
          <w:color w:val="auto"/>
        </w:rPr>
        <w:t>【</w:t>
      </w:r>
      <w:r>
        <w:rPr>
          <w:rFonts w:ascii="Times New Roman" w:cs="Times New Roman" w:eastAsia="Times New Roman" w:hAnsi="Times New Roman"/>
          <w:sz w:val="16"/>
          <w:szCs w:val="16"/>
          <w:color w:val="auto"/>
        </w:rPr>
        <w:t>No. 150-6 Wusi Road, Shahekou District, Dalian City</w:t>
      </w:r>
      <w:r>
        <w:rPr>
          <w:rFonts w:ascii="SimSun" w:cs="SimSun" w:eastAsia="SimSun" w:hAnsi="SimSun"/>
          <w:sz w:val="16"/>
          <w:szCs w:val="16"/>
          <w:color w:val="auto"/>
        </w:rPr>
        <w: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Tel.</w:t>
      </w:r>
      <w:r>
        <w:rPr>
          <w:rFonts w:ascii="SimSun" w:cs="SimSun" w:eastAsia="SimSun" w:hAnsi="SimSun"/>
          <w:sz w:val="16"/>
          <w:szCs w:val="16"/>
          <w:color w:val="auto"/>
        </w:rPr>
        <w:t>【</w:t>
      </w:r>
      <w:r>
        <w:rPr>
          <w:rFonts w:ascii="Times New Roman" w:cs="Times New Roman" w:eastAsia="Times New Roman" w:hAnsi="Times New Roman"/>
          <w:sz w:val="16"/>
          <w:szCs w:val="16"/>
          <w:color w:val="auto"/>
        </w:rPr>
        <w:t>0411-88092936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Postcode. </w:t>
      </w:r>
      <w:r>
        <w:rPr>
          <w:rFonts w:ascii="SimSun" w:cs="SimSun" w:eastAsia="SimSun" w:hAnsi="SimSun"/>
          <w:sz w:val="16"/>
          <w:szCs w:val="16"/>
          <w:color w:val="auto"/>
        </w:rPr>
        <w:t>【</w:t>
      </w:r>
      <w:r>
        <w:rPr>
          <w:rFonts w:ascii="Times New Roman" w:cs="Times New Roman" w:eastAsia="Times New Roman" w:hAnsi="Times New Roman"/>
          <w:sz w:val="16"/>
          <w:szCs w:val="16"/>
          <w:color w:val="auto"/>
        </w:rPr>
        <w:t>116031</w:t>
      </w:r>
      <w:r>
        <w:rPr>
          <w:rFonts w:ascii="SimSun" w:cs="SimSun" w:eastAsia="SimSun" w:hAnsi="SimSun"/>
          <w:sz w:val="16"/>
          <w:szCs w:val="16"/>
          <w:color w:val="auto"/>
        </w:rPr>
        <w: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 xml:space="preserve">Party B: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CLPS Dalian Co., Ltd. </w:t>
      </w:r>
      <w:r>
        <w:rPr>
          <w:rFonts w:ascii="SimSun" w:cs="SimSun" w:eastAsia="SimSun" w:hAnsi="SimSun"/>
          <w:sz w:val="16"/>
          <w:szCs w:val="16"/>
          <w:color w:val="auto"/>
        </w:rPr>
        <w: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Registered office.</w:t>
      </w:r>
      <w:r>
        <w:rPr>
          <w:rFonts w:ascii="SimSun" w:cs="SimSun" w:eastAsia="SimSun" w:hAnsi="SimSun"/>
          <w:sz w:val="16"/>
          <w:szCs w:val="16"/>
          <w:color w:val="auto"/>
        </w:rPr>
        <w:t>【</w:t>
      </w:r>
      <w:r>
        <w:rPr>
          <w:rFonts w:ascii="Times New Roman" w:cs="Times New Roman" w:eastAsia="Times New Roman" w:hAnsi="Times New Roman"/>
          <w:sz w:val="16"/>
          <w:szCs w:val="16"/>
          <w:color w:val="auto"/>
        </w:rPr>
        <w:t>Room #501-503/504-506/507, 5th Floor, No. 30 Cuitao Road, High tech Industrial Park, Dalian City, Liaoning Province</w:t>
      </w:r>
      <w:r>
        <w:rPr>
          <w:rFonts w:ascii="SimSun" w:cs="SimSun" w:eastAsia="SimSun" w:hAnsi="SimSun"/>
          <w:sz w:val="16"/>
          <w:szCs w:val="16"/>
          <w:color w:val="auto"/>
        </w:rPr>
        <w: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Tel.</w:t>
      </w: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 单击此处输入文字。</w:t>
      </w:r>
      <w:r>
        <w:rPr>
          <w:rFonts w:ascii="Times New Roman" w:cs="Times New Roman" w:eastAsia="Times New Roman" w:hAnsi="Times New Roman"/>
          <w:sz w:val="16"/>
          <w:szCs w:val="16"/>
          <w:color w:val="auto"/>
        </w:rPr>
        <w:t xml:space="preserve"> Postcode.</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1166000 </w:t>
      </w:r>
      <w:r>
        <w:rPr>
          <w:rFonts w:ascii="SimSun" w:cs="SimSun" w:eastAsia="SimSun" w:hAnsi="SimSun"/>
          <w:sz w:val="16"/>
          <w:szCs w:val="16"/>
          <w:color w:val="auto"/>
        </w:rPr>
        <w:t>】</w:t>
      </w:r>
    </w:p>
    <w:p>
      <w:pPr>
        <w:spacing w:after="0" w:line="20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In accordance with the current laws and regulations of the People’s Republic of China, Party A and Party B have entered into this contract through friendly negotiations regarding Party B’s lease of the premises located at No. 3, No. 4, No. 5, No. 6, and No. 7, 5th Floor, Cuitao Road, Dalian High tech Park.</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Chapter 1 Leasehold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Basic overview of the house</w:t>
      </w:r>
    </w:p>
    <w:p>
      <w:pPr>
        <w:spacing w:after="0" w:line="18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1.1 Party B voluntarily leases the premises owned by Party A (hereinafter referred to as “the premises”), the basic overview of which is set out in the “Basic Information Sheet of the Contract” attached to this contract; Party A guarantees that the facilities provided are in good condition.</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1.2 Party A guarantees that the property right of the house is clear and free from disputes. In case of any property right disputes or other debts related to Party A, Party A shall be responsible for clearing them up; Party A shall be responsible for compensating for any losses caused to Party B.</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Use of the house</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2.1 The premises rented by Party B shall be used only for the purpose of conducting business in the relevant industry as agreed in the “Basic Information Form of the Contract” annexed to the Contract, and shall not be used for other purposes without the written consent of Party A. Party B shall not sublet or sublet the premises in whole or in part to a third party or exchange the premises with a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7560" cy="152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3" w:name="page234"/>
    <w:bookmarkEnd w:id="233"/>
    <w:p>
      <w:pPr>
        <w:jc w:val="both"/>
        <w:spacing w:after="0" w:line="267" w:lineRule="auto"/>
        <w:rPr>
          <w:sz w:val="20"/>
          <w:szCs w:val="20"/>
          <w:color w:val="auto"/>
        </w:rPr>
      </w:pPr>
      <w:r>
        <w:rPr>
          <w:rFonts w:ascii="Times New Roman" w:cs="Times New Roman" w:eastAsia="Times New Roman" w:hAnsi="Times New Roman"/>
          <w:sz w:val="16"/>
          <w:szCs w:val="16"/>
          <w:color w:val="auto"/>
        </w:rPr>
        <w:t>2.2 Party B shall apply for and bear the costs of all approvals, licences and other permits required for the operation of its business in the premises. Party B guarantees that all business activities undertaken by it in the premises will obtain all business permits and other formalities issued by the government administration for industry and commerce, and that it will maintain legal registration and permits throughout the lease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Handover of the house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3.1 Conditions of handover of the house</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conditions of handover of the house are detailed in the Basic Information Sheet of the contract annexed to the contract and are subject to the actual conditions at the time of handover.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Party B confirms that it has inspected the house on site before signing this contract, and has fully understood and approved of the current state of the interior and exterior of the house, its designed use and the then condition of its ancillary facilities and ancillary properties, and has no objection to them.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3.2 Check-in handover process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3.2.1 Party B shall send an application for occupation to Party A at least 2 working days before the commencement date of the lease as agreed in the contract, and Party A shall arrange personnel to hand over the leased premises together with Party B in accordance with the handover conditions upon receipt of the application, and the handover shall be completed before the commencement date of the lease; if Party B fails to make any payment as agreed before the occupation, Party A shall have the right to refuse to go through the occupation procedures to deliver the premises to it and shall not be liable for any breach of contract</w:t>
      </w:r>
      <w:r>
        <w:rPr>
          <w:rFonts w:ascii="Times New Roman" w:cs="Times New Roman" w:eastAsia="Times New Roman" w:hAnsi="Times New Roman"/>
          <w:sz w:val="16"/>
          <w:szCs w:val="16"/>
          <w:u w:val="single" w:color="auto"/>
          <w:color w:val="auto"/>
        </w:rPr>
        <w:t>.</w:t>
      </w:r>
    </w:p>
    <w:p>
      <w:pPr>
        <w:spacing w:after="0" w:line="16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3.2.2 When there is no objection to the handover, the representatives of A and B shall sign and confirm on the Notice of Occupancy respectively, and the handover of the house key or access card shall be carried out after the signature (in case of renewal of the tenancy agreement, the two parties shall no longer handle the handover process of occupancy, and the handover shall prevail at the initial occupancy).</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3.2.3 If the handover is actually used by you or is not completed by the Lease Commencement Date for your reasons, the handover will be deemed to be complete, i.e. the Premises will be deemed to meet the necessary standards and to have been delivered to you in good order on the Lease Commencement Date and the Lease Term will commence.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b w:val="1"/>
          <w:bCs w:val="1"/>
          <w:color w:val="auto"/>
        </w:rPr>
        <w:t>3.3 Check-out acceptance process</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3.3.1 When withdrawing from the premises, Party B shall submit an application for withdrawal to Party A within the time limit required by Party A 7 days prior to the expiry of the lease term or early termination of the contract, and Party A shall arrange personnel to inspect and hand over the premises together with Party B before the expiry of the lease term or early withdrawal date in accordance with the handover conditions stipulated in Clause 3.1 of this contract.</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3.3.2 Party B shall ensure that the original decoration (including the ceiling) and facilities of the Premises are intact (except for natural damage) and that the condition of the room is restored to its original condition as agreed in the original condition restoration standards in the Contract Basic Information Form attached to this Agreement. In the event of any other damage or interruption to our rental, Party B shall compensate Party A for all losses, including but not limited to the occupation fee of the premises during the restoration period, liquidated damages, agency fees or other losses incurred as a result of the delay in delivery of the premises by Party A to the new tenant. The costs required for restoration shall be paid by Party B at its own expense or, if entrusted to Party A for completion, the relevant costs shall be paid to Party A.</w:t>
      </w:r>
    </w:p>
    <w:p>
      <w:pPr>
        <w:spacing w:after="0" w:line="162"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If Party B fails to return the premises to Party A as agreed in this contract, Party A shall have the right to restore the premises to its original condition at its own expense and all costs arising therefrom shall be borne by Party B. Party A shall also have the right not to remove but to retain some or all of the improvements made by Party B and the aforesaid facilities and equipment owned by Party B. In such case, Party B shall be deemed to have relinquished its ownership of such improvements, facilities and equipment and Party B shall not be entitled to claim any compensation or indemnity in respect of such improvements, facilities and equipment retained by Party A. You shall not be entitled to claim any compensation or indemnity in respect of such improvements, facilities and equipment retained by us.</w:t>
      </w:r>
    </w:p>
    <w:p>
      <w:pPr>
        <w:spacing w:after="0" w:line="16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3.3.3 When Party B withdraws from the premises, all fees payable must be settled; if Party B has registered for business and industry in the rented premises, Party B shall change the address of the business and industry registration to another place within 10 days after the termination of this contract and report the approval or certificate from the relevant government authorities to Party A for backup.</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35" w:name="page236"/>
    <w:bookmarkEnd w:id="235"/>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3.3.4 After acceptance, all keys or access cards of the rooms will be returned to Party A after the representatives of Party A and Party B respectively sign and confirm on the Notice of Check-out.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Chapter 2 Term of Lease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4.1 Lease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4.1.1 The term of the lease is detailed in the Basic Information Sheet of the Contract annexed hereto.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4.1.2 If Party B does not move in on time for reasons other than Party A’s handover, the lease term shall commence on the contractual commencement date.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4.1.3 If Party A transfers the premises during the lease period, it shall give Party B two months’ notice in advance and guarantee the continued performance of this contract. Party B shall have the right of first refusal under the same conditions, but Party B shall have no right of first refusal if Party A transfers the whole building (where Party B leases the premises). If Party B exercises its right of first refusal, it shall give a written reply within five days from the date of receipt of the notice, failing which it shall be deemed to have waived its right of first refusal.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4.2 Surrender of rent</w:t>
      </w:r>
    </w:p>
    <w:p>
      <w:pPr>
        <w:spacing w:after="0" w:line="20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4.2.1 Upon expiry, termination or early termination of the contract, Party B shall move out of the premises as scheduled and in accordance with the agreed standard. If Party B fails to move out of the premises on time, Party A may grant a grace period of three working days; if Party B still fails to move out within the grace period, Party B shall pay double the rent and the occupation fee of the property fee standard according to the actual number of days of stay, and Party A may take any measures to exercise the ownership and right to use the leased premises, and has the right to replace the keys of the leased premises and prohibit Party B and its associated third parties from re-entering the leased premises; for For the renovation of the leased premises and the articles, equipment and facilities left by Party B and its associated third parties, they are deemed to have been abandoned by Party B and Party A has the right to dispose of them by itself, and Party B shall not claim any rights and incur any costs against Party A as a result. The costs incurred (including but not limited to attorney’s fees, construction costs for restoration of the original condition, relocation costs, clearance costs, auction costs, storage costs, etc.) shall be borne by Party B. If the proceeds from the disposal are not sufficient to cover the costs payable by Party B, Party A shall have the right of recourse against Party B.</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236" w:name="page237"/>
    <w:bookmarkEnd w:id="236"/>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4.2.2 Upon expiry, cancellation or early termination of the contract, both parties shall go through the procedures for handing over and acceptance of the rent and settlement of expenses in accordance with the requirements of this contract; the date when the premises are inspected and accepted by Party A and the Notice of Withdrawal is issued shall be the official withdrawal date of Party B.</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Chapter 3: Rental and other fees and payment methods</w:t>
      </w:r>
    </w:p>
    <w:p>
      <w:pPr>
        <w:spacing w:after="0" w:line="201" w:lineRule="exact"/>
        <w:rPr>
          <w:sz w:val="20"/>
          <w:szCs w:val="20"/>
          <w:color w:val="auto"/>
        </w:rPr>
      </w:pPr>
    </w:p>
    <w:p>
      <w:pPr>
        <w:ind w:left="164" w:hanging="164"/>
        <w:spacing w:after="0"/>
        <w:tabs>
          <w:tab w:leader="none" w:pos="164"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Rent, property management fees and other fees and payment methods</w:t>
      </w:r>
    </w:p>
    <w:p>
      <w:pPr>
        <w:spacing w:after="0" w:line="200"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5.1 Rates for rent, etc.</w:t>
      </w:r>
    </w:p>
    <w:p>
      <w:pPr>
        <w:spacing w:after="0" w:line="203" w:lineRule="exact"/>
        <w:rPr>
          <w:sz w:val="20"/>
          <w:szCs w:val="20"/>
          <w:color w:val="auto"/>
        </w:rPr>
      </w:pPr>
    </w:p>
    <w:p>
      <w:pPr>
        <w:jc w:val="both"/>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Party A is a general taxpayer. The amount and method of payment of rent, property management fees and other charges are detailed in the Annex “Basic Information Sheet of the Contract” and the prices stated therein are all tax inclusive.</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5.2 Performance bond</w:t>
      </w:r>
    </w:p>
    <w:p>
      <w:pPr>
        <w:spacing w:after="0" w:line="20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5.2.1 The standard and amount of payment of the performance deposit are set out in the Annex “Basic Information Sheet of the Contract”. Party B shall pay the deposit to Party A together with the first installment of rent and property management fee; Party A shall issue a receipt for receipt for Party B upon receipt of the performance deposit.</w:t>
      </w:r>
    </w:p>
    <w:p>
      <w:pPr>
        <w:spacing w:after="0" w:line="143"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5.2.2 The performance bond is a security deposit delivered by Party B to guarantee the performance of Party B’s obligations under this Agreement. Party A shall have the right not to apply it against the rent, property charges, liquidated damages and any other expenses (including but not limited to losses incurred by Party A or third parties as a result of Party B) owed by Party B. Party A shall have the right to choose to recover the relevant outstanding amount and liquidated damages directly from Party B. If Party A adopts to set off all or part of the performance bond against the amount owed by Party B to Party A, Party B shall make payment to Party A within 5 working days upon receipt of Party A’s notice to re-fill the original amount of the performance bond, and if the performance bond is insufficient to set off, Party A shall have the right to continue to recover the outstanding portion from Party B, or else bear the liability for default in respect of overdue fees in accordance with Clause 11.1 of this Agreement.</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16" w:right="319" w:bottom="1440" w:gutter="0" w:footer="0" w:header="0"/>
        </w:sectPr>
      </w:pPr>
    </w:p>
    <w:bookmarkStart w:id="237" w:name="page238"/>
    <w:bookmarkEnd w:id="237"/>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5.2.3 Upon expiry of the lease term or early termination of the contract, Party B shall pay all the fees payable under this contract and complete the check-out and acceptance process as agreed in this contract, and Party A shall return the performance deposit to Party B without interest within 30 days from the date Party A takes over the leased premises and accepts the premises. In case of late return, Party A shall pay to Party B a late payment of 0.1% of the total performance deposit on a daily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 Payment methods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5.3.1 Rent and performance bond</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5.3.1.1 Party B shall pay the performance bond and rent to the first party in accordance with the payment method specified in Annex 2 “Performance Bond and Rent Payment Details”.</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5.3.1.2 If there is any change to the account number specified by us, we shall notify you in writing at least 14 days in advance of the next payment date; you shall not be liable for any failure to receive payment on time as a result of our failure to properly comply with the aforesaid notification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5.3.2 Management fee</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Party B shall sign a separate property management contract with the property management company, and pay the property fees to the property management company in accordance with the provisions of the property management contract. During the lease period, if the property management fee increases or decreases due to changes in government policies, market conditions, or changes in property service content, Party B shall execute the property management contract signed with the property management company in accordance with the agreement. If Party B fails to pay the property fees on time as stipulated in the property management contract, all consequences arising therefrom shall not be related to Party 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5.3.3 Water and electricity charges in the leased area</w:t>
      </w:r>
    </w:p>
    <w:p>
      <w:pPr>
        <w:spacing w:after="0" w:line="20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5.3.3.1 The water and electricity fees within the leased area shall be collected by the property management company on behalf of Party B based on their actual expenses. The property management company shall provide detailed information to Party B and meter reading and payment shall be made in accordance with the time specified in the property management contract signed between Party B and the property management company.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238" w:name="page239"/>
    <w:bookmarkEnd w:id="238"/>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5.3.3.2 If the government adjusts the water and electricity prices during the lease period, the adjusted standards will be implemented according to the corresponding magnitude.</w:t>
      </w:r>
    </w:p>
    <w:p>
      <w:pPr>
        <w:spacing w:after="0" w:line="1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5.3.3.3 The expenses incurred for using air conditioning for cooling, heating, etc. beyond the time specified in the contract shall be executed by Party B in accordance with the property management contract signed between Party B and the property management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5.3.3.4 Communication fee: To be paid by Party B to the relevant communication operation service provider.</w:t>
      </w:r>
    </w:p>
    <w:p>
      <w:pPr>
        <w:spacing w:after="0" w:line="2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5.3.3.5 Taxes: All kinds of taxes and fees incurred as a result of this contract shall be handled by both parties in accordance with the relevant provisions of the tax law of the People’s Republic of China.</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Chapter 4 Property Services and Asset Maintenance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Contents of property services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6.1 During the lease period, the property management company shall be responsible for the property service work of the house, party B shall sign a separate property management contract with the property management company, and the property service content shall be executed in accordance with the provisions of the property management contract. All disputes arising between Party B and the property management company during the property management period shall be resolved through mutual consultation and shall not be related to Party A</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6.2 During the term of the lease, Party B is responsible for the cleaning and the fire and security work in the leased premises as well as the property work which is not part of the above property services.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6.3 During the lease period, Party B shall manage the contents of the premises by itself.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Property Covenants</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7.1 Upon occupation, Party B shall provide the property management company engaged by Party A with the contact numbers of three main contacts for backup in case of emergency or other situations.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239" w:name="page240"/>
    <w:bookmarkEnd w:id="239"/>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7.2 During the lease period, for the sake of safety, when Party B needs to move office furniture and computers and other items out of the building, it should register with Party A’s property management department in advance.</w:t>
      </w:r>
    </w:p>
    <w:p>
      <w:pPr>
        <w:spacing w:after="0" w:line="1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7.3 During the lease period, Party B should pay attention to property and personal safety, and Party B is the first responsible person and the ultimate responsibility bearer of fire safety. All responsibilities for personal injuries or fire accidents not due to Party A shall be borne by Party B; Party B shall compensate for any losses caused to Party 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7.4 Any matters not covered shall be executed in accordance with the property management contract signed between Party B and the property management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Maintenance and repair of the house</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8.1 Party A shall be responsible for the maintenance and repair of natural damage to the house and ancillary facilities. Party A’s responsibility for the maintenance of the house shall be limited to the original structure of the house, the power supply lines and the common parts of the house without alteration by Party B.</w:t>
      </w:r>
    </w:p>
    <w:p>
      <w:pPr>
        <w:spacing w:after="0" w:line="14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8.2 The maintenance obligations and the maintenance costs of the parts decorated and renovated by Party B, the equipment and facilities and property added by Party B shall be borne by Party B. Party B shall ensure that they are in a suitable and safe condition and shall not endanger the personal and property safety of the rented premises, the building and other users.</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8.3 During the lease period, Party B shall promptly notify Party A or the property management company of any damage or malfunction to the premises and ancillary facilities, and Party A shall not be liable for any loss caused to Party A as a result of untimely notification by Party B.</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8.4 Party A shall, upon receipt of the above notice, carry out maintenance after judging the responsibility according to the actual situation; if the damage or fault is within the scope of Party B’s maintenance responsibility or if it is within the scope of Party A’s maintenance but caused by Party B’s improper use or intentional damage, Party B shall carry out timely repair and notify Party A or the property management company; if Party B refuses to carry out repair within three calendar days upon receipt of Party A’s supervisory notice, Party A may carry out repair on behalf of Party B at Party B shall bear the cost.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240" w:name="page241"/>
    <w:bookmarkEnd w:id="240"/>
    <w:p>
      <w:pPr>
        <w:jc w:val="both"/>
        <w:spacing w:after="0" w:line="283" w:lineRule="auto"/>
        <w:rPr>
          <w:sz w:val="20"/>
          <w:szCs w:val="20"/>
          <w:color w:val="auto"/>
        </w:rPr>
      </w:pPr>
      <w:r>
        <w:rPr>
          <w:rFonts w:ascii="Times New Roman" w:cs="Times New Roman" w:eastAsia="Times New Roman" w:hAnsi="Times New Roman"/>
          <w:sz w:val="16"/>
          <w:szCs w:val="16"/>
          <w:color w:val="auto"/>
        </w:rPr>
        <w:t>8.5 The party responsible for maintenance shall compensate the other party for direct economic loss if delayed maintenance or improper maintenance causes damage to the other party.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Renovation and alteration of the house</w:t>
      </w:r>
    </w:p>
    <w:p>
      <w:pPr>
        <w:spacing w:after="0" w:line="2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9.1 In addition to the provisions of this Contract, if Party B needs to install additional ancillary facilities and equipment, it shall obtain prior written consent from Party A and, if it is required to report to the relevant authorities for approval, it shall also submit to the relevant authorities for approval before proceeding.</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9.2 With the written consent of Party A and the approval of the relevant government authorities (if required), Party B may carry out secondary decoration of the premises according to its business needs, but shall comply with Party A’s regulations on secondary decoration and relevant national regulations and bear all costs incurred in the decoration (including the costs of alteration and increase of fire-fighting facilities, etc.), while Party A has the right to supervise the decoration process of Party B. Party A has the right to stop Party B from violating the national regulations and this contract, and to request Party B to compensate for the losses caused to Party A as a result.</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9.3 Party B shall be responsible for the fire-fighting examination and inspection of the decoration of the rented area and shall not use the premises before obtaining fire-fighting acceptance and other formalities; if Party B carries out decoration or alteration without fire-fighting examination and inspection or obtains other formalities or uses the unexamined premises, all responsibilities arising therefrom shall be borne by Party B and Party B shall fully compensate for any losses caused to Party A.</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9.4 The per capita floor area of the office area before and after Party B’s renovation shall not be less than 10 square metres and the weight of the articles in the area shall not exceed the floor load-bearing standard of 200 kilograms per square metre. If Party B violates the above standard, all consequences shall be borne by Party B and Party B shall fully compensate for any losses caused to Party A.</w:t>
      </w:r>
    </w:p>
    <w:p>
      <w:pPr>
        <w:spacing w:after="0" w:line="15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9.5 In view of the different occupation times of the tenants in this building, in order to ensure the working environment of the tenants who occupy the building first, the decoration period shall be specified by Party A or the property management company, and Party B and the decoration contractor shall apply again in special circumstances; Party B shall carry out the construction work in a manner consistent with this contract and the relevant property management regulations, and shall not use the common passageway of the floor or the area outside the scope of the tenancy as a pile of building materials or tools without the consent of Party A. The use of the common passageway and the area outside the leased area shall not be used for stacking building materials or tools without our consent.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6" w:right="31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6"/>
          <w:szCs w:val="16"/>
          <w:b w:val="1"/>
          <w:bCs w:val="1"/>
          <w:color w:val="auto"/>
        </w:rPr>
        <w:t>10. Entry inspection and adjacency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 Entry work checks</w:t>
      </w:r>
    </w:p>
    <w:p>
      <w:pPr>
        <w:spacing w:after="0" w:line="2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10.1.1 Party B agrees that Party A or the property management company may enter the parts of the building leased by Party B for maintenance, sanitation, burglary, disaster prevention, ambulance or other management purposes or for the maintenance of adjacent tenants; normally, Party A shall give 24 hours’ notice to Party B.</w:t>
      </w:r>
    </w:p>
    <w:p>
      <w:pPr>
        <w:spacing w:after="0" w:line="14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10.1.2 Party A or the property management company shall be accompanied by Party B’s personnel to enter the premises. In case of emergency and if Party B cannot be contacted, Party A or the property management company shall have the right to enter the premises to deal with the emergency and shall not be liable for any loss caused to Party B as a result, but shall explain the emergency to Party B afterwards.</w:t>
      </w:r>
    </w:p>
    <w:p>
      <w:pPr>
        <w:spacing w:after="0" w:line="15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10.1.3 In the event of the above, Party B shall support and cooperate with the work of Party A or the property management company; Party A or the property management company shall minimise the impact on Party B.</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 Adjacency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10.2.1 Party B shall not do or tolerate any act which may cause a nuisance or disturbance to us or to neighbouring occupiers.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10.2.2 If a dispute arises between Party B and a neighbouring tenant, Party A shall be obliged to co-ordinate.</w:t>
      </w:r>
    </w:p>
    <w:p>
      <w:pPr>
        <w:spacing w:after="0" w:line="2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10.2.3 In the event of a dispute between adjacent tenants caused by Party B, Party A shall have the right of recourse against Party B if the adjacent tenants bring proceedings against it and Party A is named as a defendant or third party and is held liable.</w:t>
      </w:r>
    </w:p>
    <w:p>
      <w:pPr>
        <w:spacing w:after="0" w:line="14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10.2.4 If, during the term of the lease, any rectification request is made by any government authority in respect of the renovation (including but not limited to fire safety facilities) of the adjoining unit of the Premises, Party B shall provide all necessary assistance and cooperation as required by Party A or the property company to comply with such rectification request; if Party B suffers any loss as a result, Party B shall, with the assistance of Party A, negotiate with the occupants of the adjoining unit to settle the compensation issue We shall not be liable in any way for such damages. You shall not refuse or delay to provide such assistance or cooperation on the ground that you have not yet reached agreement with the occupants of the adjoining unit.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42" w:name="page243"/>
    <w:bookmarkEnd w:id="24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Chapter 5 Liability for breach of contract, dispute resolution</w:t>
      </w:r>
    </w:p>
    <w:p>
      <w:pPr>
        <w:spacing w:after="0" w:line="201" w:lineRule="exact"/>
        <w:rPr>
          <w:sz w:val="20"/>
          <w:szCs w:val="20"/>
          <w:color w:val="auto"/>
        </w:rPr>
      </w:pPr>
    </w:p>
    <w:p>
      <w:pPr>
        <w:ind w:left="224" w:hanging="224"/>
        <w:spacing w:after="0"/>
        <w:tabs>
          <w:tab w:leader="none" w:pos="224" w:val="left"/>
        </w:tabs>
        <w:numPr>
          <w:ilvl w:val="0"/>
          <w:numId w:val="1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Liability for breach of contract</w:t>
      </w:r>
    </w:p>
    <w:p>
      <w:pPr>
        <w:spacing w:after="0" w:line="200"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11.1 Late Payment of Fees</w:t>
      </w:r>
    </w:p>
    <w:p>
      <w:pPr>
        <w:spacing w:after="0" w:line="203"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11.1.1 During the lease period, if Party B fails to pay the rent, property charges, utilities, performance bond or other relevant charges payable as agreed in the contract, Party B shall pay to Party A a late payment fee of 0.1% of the overdue charges for each day of delay without prejudice to other rights or remedies of Party A. The late payment fee shall be calculated from the date on which each of the above charges is payable until Party B has paid all the aforementioned charges in full. The late payment period shall commence on the date on which each of the above fees is payable and shall continue until all of the aforementioned fees, principal, late payment and other related fees are paid.</w:t>
      </w:r>
    </w:p>
    <w:p>
      <w:pPr>
        <w:spacing w:after="0" w:line="162"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11.1.2 Party B shall not move the assets in the leased premises without Party A’s consent unless Party B has paid the rent and other charges in accordance with the contract. If Party B fails to pay the appropriate fees on time even after a reminder has been sent to it by Party A, Party B agrees that Party A may take the following remedial measures to protect Party A’s interests, namely</w:t>
      </w:r>
    </w:p>
    <w:p>
      <w:pPr>
        <w:spacing w:after="0" w:line="156" w:lineRule="exact"/>
        <w:rPr>
          <w:sz w:val="20"/>
          <w:szCs w:val="20"/>
          <w:color w:val="auto"/>
        </w:rPr>
      </w:pPr>
    </w:p>
    <w:p>
      <w:pPr>
        <w:jc w:val="both"/>
        <w:ind w:left="4" w:hanging="4"/>
        <w:spacing w:after="0" w:line="261" w:lineRule="auto"/>
        <w:tabs>
          <w:tab w:leader="none" w:pos="251"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the right to terminate the functions of the premises rented by Party B, including but not limited to termination of the provision of water, electricity, air-conditioning, lift, access to the premises and other functions until Party B has paid in full in accordance with the contract, and all economic losses that may be incurred by Party B as a result shall be borne by Party B. Party B shall be responsible for all costs incurred in reconnecting the above-mentioned functions and shall pay the normal rent and property charges during the period of disconnection.</w:t>
      </w:r>
    </w:p>
    <w:p>
      <w:pPr>
        <w:spacing w:after="0" w:line="161" w:lineRule="exact"/>
        <w:rPr>
          <w:rFonts w:ascii="Times New Roman" w:cs="Times New Roman" w:eastAsia="Times New Roman" w:hAnsi="Times New Roman"/>
          <w:sz w:val="16"/>
          <w:szCs w:val="16"/>
          <w:color w:val="auto"/>
        </w:rPr>
      </w:pPr>
    </w:p>
    <w:p>
      <w:pPr>
        <w:ind w:left="4" w:hanging="4"/>
        <w:spacing w:after="0" w:line="283" w:lineRule="auto"/>
        <w:tabs>
          <w:tab w:leader="none" w:pos="241"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Move all the assets in Party B’s house to Party A’s asset pool and if Party B pays the full cost, Party A will return Party B’s assets; if Party B does not pay the full cost within fifteen days, Party A has the right to dispose of Party B’s assets.</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313" w:right="339" w:bottom="1440" w:gutter="0" w:footer="0" w:header="0"/>
        </w:sectPr>
      </w:pPr>
    </w:p>
    <w:bookmarkStart w:id="243" w:name="page244"/>
    <w:bookmarkEnd w:id="243"/>
    <w:p>
      <w:pPr>
        <w:jc w:val="both"/>
        <w:spacing w:after="0" w:line="257" w:lineRule="auto"/>
        <w:rPr>
          <w:sz w:val="20"/>
          <w:szCs w:val="20"/>
          <w:color w:val="auto"/>
        </w:rPr>
      </w:pPr>
      <w:r>
        <w:rPr>
          <w:rFonts w:ascii="Times New Roman" w:cs="Times New Roman" w:eastAsia="Times New Roman" w:hAnsi="Times New Roman"/>
          <w:sz w:val="16"/>
          <w:szCs w:val="16"/>
          <w:color w:val="auto"/>
        </w:rPr>
        <w:t>11.1.3 In the event that Party B defaults on the payment of rent, property charges, utilities, performance bond or any other fees payable (not paid in full) for more than 60 days in aggregate, Party A shall have the right to unilaterally terminate the contract and repossess the Premises and Party B shall pay to Party A all outstanding amounts due under this contract (including outstanding fees and corresponding late payment fees) for the period of actual use of the Premises, 20% of the total rent and You shall also pay 20% of the total rent and property charges for the remaining tenancy period, and indemnify us for any loss suffered by us as a result (including but not limited to legal fees, court costs, rent, management and air-conditioning fees and other costs that we could have collected under this contract during the vacancy period, as well as the investment leasing costs incurred in leasing the premises to a new tenant, etc.), and the performance deposit received by us shall not be refunded.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11.2 Early termination of contract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During the term of the lease, unless otherwise agreed herein, neither party may unilaterally terminate this contract without statutory or agreed reason.</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Either party may unilaterally terminate the contract if the following conditions are met and confirmed and agreed to by the other party: (1) a written application is made to the other party at least 90 days in advance; (2) liquidated damages are paid to the other party at 20% of the total rent and property charges for the remaining tenancy period; (3) all costs incurred and agreed to be payable under this contract are settled before the date of surrender.</w:t>
      </w:r>
    </w:p>
    <w:p>
      <w:pPr>
        <w:spacing w:after="0" w:line="156"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The Parties further clarify that the following two circumstances shall not be subject to this Clause 11.2: (1) if Party B needs to terminate this Agreement early due to expansion of the lease (i.e. leasing a larger area of premises in the development and management zone of Party A and a lease contract has been actually signed), Party A and Party B shall discuss the operation procedure separately; (2) if Party B needs to change the subject of the lease and Party A agrees in writing, Party A and Party B may jointly negotiate (2) If Party B needs to change the subject of the lease and Party A agrees in writing, Party A and Party B may mutually agree to terminate this contract early and assign the remaining term and rights and obligations to the new subject of the lease, provided that Party B proves that the new subject of the lease is an associated company of Party B and provides an unlimited joint and several liability guarantee for the continued performance of this lease by the new subject of the lease.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5" w:right="3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b w:val="1"/>
          <w:bCs w:val="1"/>
          <w:color w:val="auto"/>
        </w:rPr>
        <w:t>11.3 Other serious non-compliance</w:t>
      </w:r>
    </w:p>
    <w:p>
      <w:pPr>
        <w:spacing w:after="0" w:line="20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In the event of any serious breach of contract by Party B as stipulated in the following clauses or other circumstances of termination as agreed in this contract, Party A shall have the right, in addition to exercising its rights under the law, to unilaterally terminate this contract and require Party B to pay 20% of the total rent and property charges for the remaining term of the lease, and to compensate Party A for any loss suffered as a result (including but not limited to legal fees, litigation costs, vacant premises (including but not limited to attorney’s fees, court costs, rent, management and air-conditioning fees and other costs that Party A could have collected under the provisions of this contract during the period of vacancy, as well as the investment leasing costs incurred in leasing the premises to a new tenant, etc.) and the security deposit received by Party A shall not be refunded.</w:t>
      </w:r>
    </w:p>
    <w:p>
      <w:pPr>
        <w:spacing w:after="0" w:line="16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11.3.1 if Party B is 30 days overdue in the occupation procedures from the commencement date of the lease (including failure to pay the down payment or security deposit, failure to hand over the premises to Party A, etc.).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11.3.2 if Party B demolishes or renovates the Premises (including ancillary facilities) or changes the use of the Premises without the written consent of Party 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11.3.3 if Party B engages in any illegal or unlawful activity in the premises.</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11.3.4 if Party B’s conduct seriously violates relevant national standards or regulations, causing serious impact on the environment of the Park or other customers, or if Party A requests Party B to rectify the situation within a specified period and Party B still fails to do so within the period limited by Party A.</w:t>
      </w:r>
    </w:p>
    <w:p>
      <w:pPr>
        <w:spacing w:after="0" w:line="14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11.3.5 without our written consent, Party B sublets the premises, transfers the tenancy of the premises or exchanges the respective tenancy with others, or increases or changes the registered business in breach of contract.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11.3.6 Any other material breach of this Agreement by Party B.</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11.4 Waiver of rights</w:t>
      </w:r>
    </w:p>
    <w:p>
      <w:pPr>
        <w:spacing w:after="0" w:line="20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Where Party A understands that a breach of contract has occurred and accepts the rent, this shall not be deemed to be a waiver of Party A’s right to pursue the breach. If Party A waives any of its rights under the terms and conditions of this contract, such waiver shall only be made on the basis of Party A’s written seal and any payment of rent or other sums by Party B which is not in full, even if Party A accepts the payment in full, shall not be deemed to be Party A’s consent to Party B’s payment in reduced amount, nor shall it affect Party A’s right to recover the shortfall in rent or arrears, nor its right to take other measures as provided for in this contract or by law.</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color w:val="auto"/>
        </w:rPr>
        <w:t>12. Applicable law and dispute resolution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12.1 The laws of the People’s Republic of China shall apply to this Contract.</w:t>
      </w:r>
    </w:p>
    <w:p>
      <w:pPr>
        <w:spacing w:after="0" w:line="20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12.2 Disputes arising from the performance of this contract shall be settled by friendly consultation between the parties; if consultation fails, both parties may sue in the People’s Court where the house is located.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Chapter 6 Other Agreements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Force majeure</w:t>
      </w:r>
    </w:p>
    <w:p>
      <w:pPr>
        <w:spacing w:after="0" w:line="20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13.1 Force majeure as referred to in this contract refers to flood, typhoon of grade 8 or above, earthquake, war, change in government planning and other events that are unforeseeable, insurmountable and beyond the control of either party to the contract. The party proposing force majeure must inform the other party 24 hours after the end of the force majeure and produce a documentary proof from the relevant local government department within 15 days after the occurrence of the force majeure.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13.2 In the event of a force majeure event causing damage to the leased property which cannot be used normally, Party A shall repair the property as soon as possible and shall be exempt from paying rent during the repair period, and shall continue to calculate the rent after the leased property is restored to use, and the validity of the contract shall be postponed accordingly; in the event of a force majeure event causing damage to the leased property which cannot be repaired, both parties shall have the right to terminate the contract without assuming any responsibility.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13.3 If force majeure ceases or its effects are naturally removed, the contract shall continue to be performed from that date and its validity shall be extended accordingly.</w:t>
      </w:r>
    </w:p>
    <w:p>
      <w:pPr>
        <w:spacing w:after="0" w:line="201"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13.4 The party who suffers an event of force majeure shall take effective measures to prevent the extension of the damage, failing which it shall be liable for the extended portion of the damage.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color w:val="auto"/>
        </w:rPr>
        <w:t>14. Confidentiality</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Neither party shall disclose to third parties the contents of this contract and the trade secrets of the other party known to it in the course of the conclusion and performance of this contract, whether or not this contract is concluded and performed, and this clause shall survive the termination of this contract.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Notification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usual form of notice to be given by either party in fulfilling its obligations under this contract shall be in writing.</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Notice given by one party to the other in the course of the execution of this contract shall be deemed to be valid service of notice when served in writing by hand, courier, post (including registered or EMS), fax, e-mail or conspicuously posted at the door of the leased premises. The date of service of the notice shall be determined in accordance with the following principles.</w:t>
      </w:r>
    </w:p>
    <w:p>
      <w:pPr>
        <w:spacing w:after="0" w:line="156" w:lineRule="exact"/>
        <w:rPr>
          <w:sz w:val="20"/>
          <w:szCs w:val="20"/>
          <w:color w:val="auto"/>
        </w:rPr>
      </w:pPr>
    </w:p>
    <w:p>
      <w:pPr>
        <w:ind w:left="520" w:hanging="235"/>
        <w:spacing w:after="0"/>
        <w:tabs>
          <w:tab w:leader="none" w:pos="5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Dedicated, courier: delivery is deemed to take place on the day it is handed over to a dedicated person or courier.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post: delivery is deemed to take place on the third calendar day of dispatch by registered post or EMS.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 e-mail: delivery is deemed to occur at the same time as the fax machine or e-mail shows successful delivery.</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Posting at the door: service is deemed to be effected by the third calendar day of posting.</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From the date of actual delivery to the date of completion of the surrender procedures, the address of the premises leased by Party B shall be Party B’s contact address. In the event that Party A’s relevant notice cannot be served directly to Party B (including and not limited to Party B’s whereabouts unknown or refusal to accept), Party A shall be deemed to have served the notice if it is sent to such address by courier or EMS, and the date of signature or refusal shall be the date of service.</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During the term of this contract, if one party changes its contact address, telephone number, fax number or addressee in the Contract Basic Information Form attached to this contract, it shall notify the other party in writing within 3 days of the change, otherwise the responsibility and consequences of any resulting non-delivery or undeliverability shall be borne by that party.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47" w:name="page248"/>
    <w:bookmarkEnd w:id="247"/>
    <w:p>
      <w:pPr>
        <w:ind w:left="4"/>
        <w:spacing w:after="0"/>
        <w:rPr>
          <w:sz w:val="20"/>
          <w:szCs w:val="20"/>
          <w:color w:val="auto"/>
        </w:rPr>
      </w:pPr>
      <w:r>
        <w:rPr>
          <w:rFonts w:ascii="Times New Roman" w:cs="Times New Roman" w:eastAsia="Times New Roman" w:hAnsi="Times New Roman"/>
          <w:sz w:val="16"/>
          <w:szCs w:val="16"/>
          <w:b w:val="1"/>
          <w:bCs w:val="1"/>
          <w:color w:val="auto"/>
        </w:rPr>
        <w:t>16. Declaration of the Parties</w:t>
      </w:r>
    </w:p>
    <w:p>
      <w:pPr>
        <w:spacing w:after="0" w:line="203" w:lineRule="exact"/>
        <w:rPr>
          <w:sz w:val="20"/>
          <w:szCs w:val="20"/>
          <w:color w:val="auto"/>
        </w:rPr>
      </w:pPr>
    </w:p>
    <w:p>
      <w:pPr>
        <w:jc w:val="both"/>
        <w:ind w:left="4" w:firstLine="289"/>
        <w:spacing w:after="0" w:line="267" w:lineRule="auto"/>
        <w:rPr>
          <w:sz w:val="20"/>
          <w:szCs w:val="20"/>
          <w:color w:val="auto"/>
        </w:rPr>
      </w:pPr>
      <w:r>
        <w:rPr>
          <w:rFonts w:ascii="Times New Roman" w:cs="Times New Roman" w:eastAsia="Times New Roman" w:hAnsi="Times New Roman"/>
          <w:sz w:val="16"/>
          <w:szCs w:val="16"/>
          <w:color w:val="auto"/>
        </w:rPr>
        <w:t>Both parties have full civil capacity at the time of signing this contract, and both parties have fully negotiated and informed each other about the terms and conditions involving their respective rights and obligations and reached a consensus; both parties are willing to perform in accordance with the agreement of this contract, and the party in breach is willing to accept the other party’s breach of contract to pursue.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17. Integrity of the contract</w:t>
      </w:r>
    </w:p>
    <w:p>
      <w:pPr>
        <w:spacing w:after="0" w:line="203" w:lineRule="exact"/>
        <w:rPr>
          <w:sz w:val="20"/>
          <w:szCs w:val="20"/>
          <w:color w:val="auto"/>
        </w:rPr>
      </w:pPr>
    </w:p>
    <w:p>
      <w:pPr>
        <w:jc w:val="both"/>
        <w:ind w:left="4" w:right="20" w:firstLine="289"/>
        <w:spacing w:after="0" w:line="261" w:lineRule="auto"/>
        <w:rPr>
          <w:sz w:val="20"/>
          <w:szCs w:val="20"/>
          <w:color w:val="auto"/>
        </w:rPr>
      </w:pPr>
      <w:r>
        <w:rPr>
          <w:rFonts w:ascii="Times New Roman" w:cs="Times New Roman" w:eastAsia="Times New Roman" w:hAnsi="Times New Roman"/>
          <w:sz w:val="16"/>
          <w:szCs w:val="16"/>
          <w:color w:val="auto"/>
        </w:rPr>
        <w:t>This contract and its annexes are the final and complete contract between the parties in respect of the lease of the premises and supersede all previous or contemporaneous understandings and agreements reached between the parties in this regard. This contract shall not be amended without the written consent of both parties; any matters not covered by this contract shall be settled by separate negotiations between Party A and Party B and a supplementary agreement shall be signed, which shall have the same legal effect as this contract.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18. In this contract, unless the context otherwise requires, the following interpretation shall apply.</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18.1 The numbering of entries in this contract and their headings are for convenience of reference only and shall have no effect in the interpretation of this contract.</w:t>
      </w:r>
    </w:p>
    <w:p>
      <w:pPr>
        <w:spacing w:after="0" w:line="201"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color w:val="auto"/>
        </w:rPr>
        <w:t>18.2 The Annexes hereto shall be an integral part hereof; references to “clauses”, “paragraphs” and “annexes” hereto shall be construed as clauses, paragraphs and annexes hereto. The term “this Contract” shall include the Annexes hereto and such modifications thereafter as the Parties may from time to time agree in writing.</w:t>
      </w:r>
    </w:p>
    <w:p>
      <w:pPr>
        <w:spacing w:after="0" w:line="14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18.3 references to “this Contract” or any of its terms or to any other document shall be construed as including the version in force at that time as modified, varied, updated or supplemented.</w:t>
      </w:r>
    </w:p>
    <w:p>
      <w:pPr>
        <w:spacing w:after="0" w:line="14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18.4 The Chinese language shall be the dominant language for the writing, interpretation and explanation of this contract; in the event of different interpretations of the text in different languages, the Chinese text of the contract shall prevail.</w:t>
      </w:r>
    </w:p>
    <w:p>
      <w:pPr>
        <w:spacing w:after="0" w:line="141" w:lineRule="exact"/>
        <w:rPr>
          <w:sz w:val="20"/>
          <w:szCs w:val="20"/>
          <w:color w:val="auto"/>
        </w:rPr>
      </w:pPr>
    </w:p>
    <w:p>
      <w:pPr>
        <w:ind w:left="4" w:right="20" w:hanging="4"/>
        <w:spacing w:after="0" w:line="285" w:lineRule="auto"/>
        <w:tabs>
          <w:tab w:leader="none" w:pos="255"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This contract is made in oneRampant One copy to be executed by Party A II Party A and Party B II The contract shall take effect after it has been signed or sealed by both parties.</w:t>
      </w:r>
    </w:p>
    <w:p>
      <w:pPr>
        <w:spacing w:after="0" w:line="140" w:lineRule="exact"/>
        <w:rPr>
          <w:rFonts w:ascii="Times New Roman" w:cs="Times New Roman" w:eastAsia="Times New Roman" w:hAnsi="Times New Roman"/>
          <w:sz w:val="16"/>
          <w:szCs w:val="16"/>
          <w:b w:val="1"/>
          <w:bCs w:val="1"/>
          <w:color w:val="auto"/>
        </w:rPr>
      </w:pPr>
    </w:p>
    <w:p>
      <w:pPr>
        <w:ind w:left="4" w:right="20" w:hanging="4"/>
        <w:spacing w:after="0" w:line="285" w:lineRule="auto"/>
        <w:tabs>
          <w:tab w:leader="none" w:pos="247"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The annexes to this contract include the following: </w:t>
      </w:r>
      <w:r>
        <w:rPr>
          <w:rFonts w:ascii="Times New Roman" w:cs="Times New Roman" w:eastAsia="Times New Roman" w:hAnsi="Times New Roman"/>
          <w:sz w:val="16"/>
          <w:szCs w:val="16"/>
          <w:color w:val="auto"/>
        </w:rPr>
        <w:t>Annexes.[1. “Basic Information Form of the Contract”, 2. “Schedule of Rental Property Fee Payment”, 3. “Standard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Restoration of Original Condition”; if the content of the annexes is inconsistent with the main contract, the content of the annexes shall prevail in execution.]</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13" w:right="31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IN WITNESS WHEREOF the parties have entered into the following.</w:t>
            </w:r>
          </w:p>
        </w:tc>
        <w:tc>
          <w:tcPr>
            <w:tcW w:w="6240" w:type="dxa"/>
            <w:vAlign w:val="bottom"/>
          </w:tcPr>
          <w:p>
            <w:pPr>
              <w:spacing w:after="0"/>
              <w:rPr>
                <w:sz w:val="18"/>
                <w:szCs w:val="18"/>
                <w:color w:val="auto"/>
              </w:rPr>
            </w:pPr>
          </w:p>
        </w:tc>
      </w:tr>
      <w:tr>
        <w:trPr>
          <w:trHeight w:val="385"/>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Party A: (seal)</w:t>
            </w:r>
          </w:p>
        </w:tc>
        <w:tc>
          <w:tcPr>
            <w:tcW w:w="6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Party B: (seal)</w:t>
            </w:r>
          </w:p>
        </w:tc>
      </w:tr>
      <w:tr>
        <w:trPr>
          <w:trHeight w:val="385"/>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Legal representative/authorised representative:</w:t>
            </w:r>
          </w:p>
        </w:tc>
        <w:tc>
          <w:tcPr>
            <w:tcW w:w="6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Legal representative/authorized representative:</w:t>
            </w:r>
          </w:p>
        </w:tc>
      </w:tr>
      <w:tr>
        <w:trPr>
          <w:trHeight w:val="385"/>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Head of Operations:</w:t>
            </w:r>
          </w:p>
        </w:tc>
        <w:tc>
          <w:tcPr>
            <w:tcW w:w="624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Head of Operations.</w:t>
            </w:r>
          </w:p>
        </w:tc>
      </w:tr>
      <w:tr>
        <w:trPr>
          <w:trHeight w:val="385"/>
        </w:trPr>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2024.12.11</w:t>
            </w:r>
          </w:p>
        </w:tc>
        <w:tc>
          <w:tcPr>
            <w:tcW w:w="6240" w:type="dxa"/>
            <w:vAlign w:val="bottom"/>
          </w:tcPr>
          <w:p>
            <w:pPr>
              <w:spacing w:after="0"/>
              <w:rPr>
                <w:sz w:val="24"/>
                <w:szCs w:val="24"/>
                <w:color w:val="auto"/>
              </w:rPr>
            </w:pPr>
          </w:p>
        </w:tc>
      </w:tr>
      <w:tr>
        <w:trPr>
          <w:trHeight w:val="581"/>
        </w:trPr>
        <w:tc>
          <w:tcPr>
            <w:tcW w:w="50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6"/>
                <w:szCs w:val="16"/>
                <w:color w:val="auto"/>
              </w:rPr>
              <w:t>17</w:t>
            </w:r>
          </w:p>
        </w:tc>
      </w:tr>
    </w:tbl>
    <w:p>
      <w:pPr>
        <w:sectPr>
          <w:pgSz w:w="11900" w:h="16838" w:orient="portrait"/>
          <w:cols w:equalWidth="0" w:num="1">
            <w:col w:w="11260"/>
          </w:cols>
          <w:pgMar w:left="320" w:top="315" w:right="319" w:bottom="1440" w:gutter="0" w:footer="0" w:header="0"/>
        </w:sectPr>
      </w:pPr>
    </w:p>
    <w:bookmarkStart w:id="249" w:name="page250"/>
    <w:bookmarkEnd w:id="249"/>
    <w:p>
      <w:pPr>
        <w:ind w:left="160"/>
        <w:spacing w:after="0"/>
        <w:rPr>
          <w:sz w:val="20"/>
          <w:szCs w:val="20"/>
          <w:color w:val="auto"/>
        </w:rPr>
      </w:pPr>
      <w:r>
        <w:rPr>
          <w:rFonts w:ascii="Times New Roman" w:cs="Times New Roman" w:eastAsia="Times New Roman" w:hAnsi="Times New Roman"/>
          <w:sz w:val="16"/>
          <w:szCs w:val="16"/>
          <w:color w:val="auto"/>
        </w:rPr>
        <w:t>Annexes 1.</w:t>
      </w: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Basic Contract Information Form</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160" w:type="dxa"/>
            <w:vAlign w:val="bottom"/>
            <w:tcBorders>
              <w:top w:val="single" w:sz="8" w:color="auto"/>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6"/>
              </w:rPr>
              <w:t>Lessees</w:t>
            </w:r>
          </w:p>
        </w:tc>
        <w:tc>
          <w:tcPr>
            <w:tcW w:w="1120" w:type="dxa"/>
            <w:vAlign w:val="bottom"/>
            <w:tcBorders>
              <w:top w:val="single" w:sz="8" w:color="auto"/>
            </w:tcBorders>
          </w:tcPr>
          <w:p>
            <w:pPr>
              <w:spacing w:after="0"/>
              <w:rPr>
                <w:sz w:val="24"/>
                <w:szCs w:val="24"/>
                <w:color w:val="auto"/>
              </w:rPr>
            </w:pPr>
          </w:p>
        </w:tc>
        <w:tc>
          <w:tcPr>
            <w:tcW w:w="5620" w:type="dxa"/>
            <w:vAlign w:val="bottom"/>
            <w:tcBorders>
              <w:top w:val="single" w:sz="8" w:color="auto"/>
              <w:right w:val="single" w:sz="8" w:color="auto"/>
            </w:tcBorders>
          </w:tcPr>
          <w:p>
            <w:pPr>
              <w:jc w:val="center"/>
              <w:ind w:right="1080"/>
              <w:spacing w:after="0"/>
              <w:rPr>
                <w:sz w:val="20"/>
                <w:szCs w:val="20"/>
                <w:color w:val="auto"/>
              </w:rPr>
            </w:pPr>
            <w:r>
              <w:rPr>
                <w:rFonts w:ascii="Times New Roman" w:cs="Times New Roman" w:eastAsia="Times New Roman" w:hAnsi="Times New Roman"/>
                <w:sz w:val="16"/>
                <w:szCs w:val="16"/>
                <w:color w:val="auto"/>
              </w:rPr>
              <w:t>CLPS Dalian Co., Ltd.</w:t>
            </w:r>
          </w:p>
        </w:tc>
        <w:tc>
          <w:tcPr>
            <w:tcW w:w="1120" w:type="dxa"/>
            <w:vAlign w:val="bottom"/>
            <w:tcBorders>
              <w:top w:val="single" w:sz="8" w:color="auto"/>
              <w:right w:val="single" w:sz="8" w:color="auto"/>
            </w:tcBorders>
            <w:shd w:val="clear" w:color="auto" w:fill="E6E6E6"/>
          </w:tcPr>
          <w:p>
            <w:pPr>
              <w:ind w:left="80"/>
              <w:spacing w:after="0"/>
              <w:rPr>
                <w:sz w:val="20"/>
                <w:szCs w:val="20"/>
                <w:color w:val="auto"/>
              </w:rPr>
            </w:pPr>
            <w:r>
              <w:rPr>
                <w:rFonts w:ascii="Times New Roman" w:cs="Times New Roman" w:eastAsia="Times New Roman" w:hAnsi="Times New Roman"/>
                <w:sz w:val="16"/>
                <w:szCs w:val="16"/>
                <w:color w:val="auto"/>
              </w:rPr>
              <w:t>Email</w:t>
            </w:r>
          </w:p>
        </w:tc>
        <w:tc>
          <w:tcPr>
            <w:tcW w:w="640" w:type="dxa"/>
            <w:vAlign w:val="bottom"/>
            <w:tcBorders>
              <w:top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jc w:val="right"/>
              <w:ind w:right="10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160" w:type="dxa"/>
            <w:vAlign w:val="bottom"/>
            <w:tcBorders>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6"/>
              </w:rPr>
              <w:t>Contact</w:t>
            </w:r>
          </w:p>
        </w:tc>
        <w:tc>
          <w:tcPr>
            <w:tcW w:w="1120" w:type="dxa"/>
            <w:vAlign w:val="bottom"/>
          </w:tcPr>
          <w:p>
            <w:pPr>
              <w:spacing w:after="0"/>
              <w:rPr>
                <w:sz w:val="20"/>
                <w:szCs w:val="20"/>
                <w:color w:val="auto"/>
              </w:rPr>
            </w:pPr>
          </w:p>
        </w:tc>
        <w:tc>
          <w:tcPr>
            <w:tcW w:w="5620" w:type="dxa"/>
            <w:vAlign w:val="bottom"/>
            <w:tcBorders>
              <w:right w:val="single" w:sz="8" w:color="auto"/>
            </w:tcBorders>
            <w:vMerge w:val="restart"/>
          </w:tcPr>
          <w:p>
            <w:pPr>
              <w:jc w:val="center"/>
              <w:ind w:right="1060"/>
              <w:spacing w:after="0"/>
              <w:rPr>
                <w:sz w:val="20"/>
                <w:szCs w:val="20"/>
                <w:color w:val="auto"/>
              </w:rPr>
            </w:pPr>
            <w:r>
              <w:rPr>
                <w:rFonts w:ascii="Times New Roman" w:cs="Times New Roman" w:eastAsia="Times New Roman" w:hAnsi="Times New Roman"/>
                <w:sz w:val="16"/>
                <w:szCs w:val="16"/>
                <w:color w:val="auto"/>
                <w:w w:val="88"/>
              </w:rPr>
              <w:t>/</w:t>
            </w:r>
          </w:p>
        </w:tc>
        <w:tc>
          <w:tcPr>
            <w:tcW w:w="1120" w:type="dxa"/>
            <w:vAlign w:val="bottom"/>
            <w:tcBorders>
              <w:right w:val="single" w:sz="8" w:color="auto"/>
            </w:tcBorders>
            <w:vMerge w:val="restart"/>
            <w:shd w:val="clear" w:color="auto" w:fill="E6E6E6"/>
          </w:tcPr>
          <w:p>
            <w:pPr>
              <w:ind w:left="80"/>
              <w:spacing w:after="0"/>
              <w:rPr>
                <w:sz w:val="20"/>
                <w:szCs w:val="20"/>
                <w:color w:val="auto"/>
              </w:rPr>
            </w:pPr>
            <w:r>
              <w:rPr>
                <w:rFonts w:ascii="Times New Roman" w:cs="Times New Roman" w:eastAsia="Times New Roman" w:hAnsi="Times New Roman"/>
                <w:sz w:val="16"/>
                <w:szCs w:val="16"/>
                <w:color w:val="auto"/>
              </w:rPr>
              <w:t>Postcode</w:t>
            </w:r>
          </w:p>
        </w:tc>
        <w:tc>
          <w:tcPr>
            <w:tcW w:w="640" w:type="dxa"/>
            <w:vAlign w:val="bottom"/>
          </w:tcPr>
          <w:p>
            <w:pPr>
              <w:spacing w:after="0"/>
              <w:rPr>
                <w:sz w:val="20"/>
                <w:szCs w:val="20"/>
                <w:color w:val="auto"/>
              </w:rPr>
            </w:pPr>
          </w:p>
        </w:tc>
        <w:tc>
          <w:tcPr>
            <w:tcW w:w="1600" w:type="dxa"/>
            <w:vAlign w:val="bottom"/>
            <w:tcBorders>
              <w:right w:val="single" w:sz="8" w:color="auto"/>
            </w:tcBorders>
            <w:vMerge w:val="restart"/>
          </w:tcPr>
          <w:p>
            <w:pPr>
              <w:jc w:val="right"/>
              <w:ind w:right="820"/>
              <w:spacing w:after="0"/>
              <w:rPr>
                <w:sz w:val="20"/>
                <w:szCs w:val="20"/>
                <w:color w:val="auto"/>
              </w:rPr>
            </w:pPr>
            <w:r>
              <w:rPr>
                <w:rFonts w:ascii="Times New Roman" w:cs="Times New Roman" w:eastAsia="Times New Roman" w:hAnsi="Times New Roman"/>
                <w:sz w:val="16"/>
                <w:szCs w:val="16"/>
                <w:color w:val="auto"/>
              </w:rPr>
              <w:t>116000</w:t>
            </w:r>
          </w:p>
        </w:tc>
        <w:tc>
          <w:tcPr>
            <w:tcW w:w="0" w:type="dxa"/>
            <w:vAlign w:val="bottom"/>
          </w:tcPr>
          <w:p>
            <w:pPr>
              <w:spacing w:after="0"/>
              <w:rPr>
                <w:sz w:val="1"/>
                <w:szCs w:val="1"/>
                <w:color w:val="auto"/>
              </w:rPr>
            </w:pPr>
          </w:p>
        </w:tc>
      </w:tr>
      <w:tr>
        <w:trPr>
          <w:trHeight w:val="113"/>
        </w:trPr>
        <w:tc>
          <w:tcPr>
            <w:tcW w:w="1160" w:type="dxa"/>
            <w:vAlign w:val="bottom"/>
            <w:tcBorders>
              <w:left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8"/>
              </w:rPr>
              <w:t>number</w:t>
            </w:r>
          </w:p>
        </w:tc>
        <w:tc>
          <w:tcPr>
            <w:tcW w:w="1120" w:type="dxa"/>
            <w:vAlign w:val="bottom"/>
          </w:tcPr>
          <w:p>
            <w:pPr>
              <w:spacing w:after="0"/>
              <w:rPr>
                <w:sz w:val="9"/>
                <w:szCs w:val="9"/>
                <w:color w:val="auto"/>
              </w:rPr>
            </w:pPr>
          </w:p>
        </w:tc>
        <w:tc>
          <w:tcPr>
            <w:tcW w:w="56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shd w:val="clear" w:color="auto" w:fill="E6E6E6"/>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60" w:type="dxa"/>
            <w:vAlign w:val="bottom"/>
            <w:tcBorders>
              <w:left w:val="single" w:sz="8" w:color="auto"/>
              <w:right w:val="single" w:sz="8" w:color="auto"/>
            </w:tcBorders>
            <w:vMerge w:val="continue"/>
            <w:shd w:val="clear" w:color="auto" w:fill="E6E6E6"/>
          </w:tcPr>
          <w:p>
            <w:pPr>
              <w:spacing w:after="0"/>
              <w:rPr>
                <w:sz w:val="8"/>
                <w:szCs w:val="8"/>
                <w:color w:val="auto"/>
              </w:rPr>
            </w:pPr>
          </w:p>
        </w:tc>
        <w:tc>
          <w:tcPr>
            <w:tcW w:w="1120" w:type="dxa"/>
            <w:vAlign w:val="bottom"/>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shd w:val="clear" w:color="auto" w:fill="E6E6E6"/>
          </w:tcPr>
          <w:p>
            <w:pPr>
              <w:spacing w:after="0"/>
              <w:rPr>
                <w:sz w:val="8"/>
                <w:szCs w:val="8"/>
                <w:color w:val="auto"/>
              </w:rPr>
            </w:pPr>
          </w:p>
        </w:tc>
        <w:tc>
          <w:tcPr>
            <w:tcW w:w="6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160" w:type="dxa"/>
            <w:vAlign w:val="bottom"/>
            <w:tcBorders>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6"/>
              </w:rPr>
              <w:t>Contact</w:t>
            </w:r>
          </w:p>
        </w:tc>
        <w:tc>
          <w:tcPr>
            <w:tcW w:w="1120" w:type="dxa"/>
            <w:vAlign w:val="bottom"/>
          </w:tcPr>
          <w:p>
            <w:pPr>
              <w:spacing w:after="0"/>
              <w:rPr>
                <w:sz w:val="20"/>
                <w:szCs w:val="20"/>
                <w:color w:val="auto"/>
              </w:rPr>
            </w:pPr>
          </w:p>
        </w:tc>
        <w:tc>
          <w:tcPr>
            <w:tcW w:w="7380" w:type="dxa"/>
            <w:vAlign w:val="bottom"/>
            <w:gridSpan w:val="3"/>
            <w:vMerge w:val="restart"/>
          </w:tcPr>
          <w:p>
            <w:pPr>
              <w:jc w:val="center"/>
              <w:ind w:left="360"/>
              <w:spacing w:after="0"/>
              <w:rPr>
                <w:sz w:val="20"/>
                <w:szCs w:val="20"/>
                <w:color w:val="auto"/>
              </w:rPr>
            </w:pPr>
            <w:r>
              <w:rPr>
                <w:rFonts w:ascii="Times New Roman" w:cs="Times New Roman" w:eastAsia="Times New Roman" w:hAnsi="Times New Roman"/>
                <w:sz w:val="16"/>
                <w:szCs w:val="16"/>
                <w:color w:val="auto"/>
              </w:rPr>
              <w:t>Room #503-507, 5th Floor, No. 30 Cuitao Road, High tech Industrial Park, Dalian City, Liaoning Province</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1160" w:type="dxa"/>
            <w:vAlign w:val="bottom"/>
            <w:tcBorders>
              <w:left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address</w:t>
            </w:r>
          </w:p>
        </w:tc>
        <w:tc>
          <w:tcPr>
            <w:tcW w:w="1120" w:type="dxa"/>
            <w:vAlign w:val="bottom"/>
          </w:tcPr>
          <w:p>
            <w:pPr>
              <w:spacing w:after="0"/>
              <w:rPr>
                <w:sz w:val="9"/>
                <w:szCs w:val="9"/>
                <w:color w:val="auto"/>
              </w:rPr>
            </w:pPr>
          </w:p>
        </w:tc>
        <w:tc>
          <w:tcPr>
            <w:tcW w:w="7380" w:type="dxa"/>
            <w:vAlign w:val="bottom"/>
            <w:gridSpan w:val="3"/>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60" w:type="dxa"/>
            <w:vAlign w:val="bottom"/>
            <w:tcBorders>
              <w:left w:val="single" w:sz="8" w:color="auto"/>
              <w:right w:val="single" w:sz="8" w:color="auto"/>
            </w:tcBorders>
            <w:vMerge w:val="continue"/>
            <w:shd w:val="clear" w:color="auto" w:fill="E6E6E6"/>
          </w:tcPr>
          <w:p>
            <w:pPr>
              <w:spacing w:after="0"/>
              <w:rPr>
                <w:sz w:val="8"/>
                <w:szCs w:val="8"/>
                <w:color w:val="auto"/>
              </w:rPr>
            </w:pPr>
          </w:p>
        </w:tc>
        <w:tc>
          <w:tcPr>
            <w:tcW w:w="11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160" w:type="dxa"/>
            <w:vAlign w:val="bottom"/>
            <w:tcBorders>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Lease of</w:t>
            </w:r>
          </w:p>
        </w:tc>
        <w:tc>
          <w:tcPr>
            <w:tcW w:w="1120" w:type="dxa"/>
            <w:vAlign w:val="bottom"/>
          </w:tcPr>
          <w:p>
            <w:pPr>
              <w:spacing w:after="0"/>
              <w:rPr>
                <w:sz w:val="20"/>
                <w:szCs w:val="20"/>
                <w:color w:val="auto"/>
              </w:rPr>
            </w:pPr>
          </w:p>
        </w:tc>
        <w:tc>
          <w:tcPr>
            <w:tcW w:w="5620" w:type="dxa"/>
            <w:vAlign w:val="bottom"/>
            <w:tcBorders>
              <w:right w:val="single" w:sz="8" w:color="auto"/>
            </w:tcBorders>
            <w:vMerge w:val="restart"/>
          </w:tcPr>
          <w:p>
            <w:pPr>
              <w:jc w:val="center"/>
              <w:ind w:right="1020"/>
              <w:spacing w:after="0"/>
              <w:rPr>
                <w:sz w:val="20"/>
                <w:szCs w:val="20"/>
                <w:color w:val="auto"/>
              </w:rPr>
            </w:pPr>
            <w:r>
              <w:rPr>
                <w:rFonts w:ascii="Times New Roman" w:cs="Times New Roman" w:eastAsia="Times New Roman" w:hAnsi="Times New Roman"/>
                <w:sz w:val="16"/>
                <w:szCs w:val="16"/>
                <w:color w:val="auto"/>
                <w:w w:val="99"/>
              </w:rPr>
              <w:t>5/F, #503/504/505/506/507, 30 Cuitao Street, High-tech Park</w:t>
            </w:r>
          </w:p>
        </w:tc>
        <w:tc>
          <w:tcPr>
            <w:tcW w:w="1120" w:type="dxa"/>
            <w:vAlign w:val="bottom"/>
            <w:tcBorders>
              <w:right w:val="single" w:sz="8" w:color="auto"/>
            </w:tcBorders>
            <w:vMerge w:val="restart"/>
            <w:shd w:val="clear" w:color="auto" w:fill="E6E6E6"/>
          </w:tcPr>
          <w:p>
            <w:pPr>
              <w:ind w:left="120"/>
              <w:spacing w:after="0"/>
              <w:rPr>
                <w:sz w:val="20"/>
                <w:szCs w:val="20"/>
                <w:color w:val="auto"/>
              </w:rPr>
            </w:pPr>
            <w:r>
              <w:rPr>
                <w:rFonts w:ascii="Times New Roman" w:cs="Times New Roman" w:eastAsia="Times New Roman" w:hAnsi="Times New Roman"/>
                <w:sz w:val="16"/>
                <w:szCs w:val="16"/>
                <w:color w:val="auto"/>
              </w:rPr>
              <w:t>Building area</w:t>
            </w:r>
          </w:p>
        </w:tc>
        <w:tc>
          <w:tcPr>
            <w:tcW w:w="640" w:type="dxa"/>
            <w:vAlign w:val="bottom"/>
          </w:tcPr>
          <w:p>
            <w:pPr>
              <w:spacing w:after="0"/>
              <w:rPr>
                <w:sz w:val="20"/>
                <w:szCs w:val="20"/>
                <w:color w:val="auto"/>
              </w:rPr>
            </w:pPr>
          </w:p>
        </w:tc>
        <w:tc>
          <w:tcPr>
            <w:tcW w:w="16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1029.54 sqm</w:t>
            </w:r>
          </w:p>
        </w:tc>
        <w:tc>
          <w:tcPr>
            <w:tcW w:w="0" w:type="dxa"/>
            <w:vAlign w:val="bottom"/>
          </w:tcPr>
          <w:p>
            <w:pPr>
              <w:spacing w:after="0"/>
              <w:rPr>
                <w:sz w:val="1"/>
                <w:szCs w:val="1"/>
                <w:color w:val="auto"/>
              </w:rPr>
            </w:pPr>
          </w:p>
        </w:tc>
      </w:tr>
      <w:tr>
        <w:trPr>
          <w:trHeight w:val="113"/>
        </w:trPr>
        <w:tc>
          <w:tcPr>
            <w:tcW w:w="1160" w:type="dxa"/>
            <w:vAlign w:val="bottom"/>
            <w:tcBorders>
              <w:left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8"/>
              </w:rPr>
              <w:t>premises</w:t>
            </w:r>
          </w:p>
        </w:tc>
        <w:tc>
          <w:tcPr>
            <w:tcW w:w="1120" w:type="dxa"/>
            <w:vAlign w:val="bottom"/>
          </w:tcPr>
          <w:p>
            <w:pPr>
              <w:spacing w:after="0"/>
              <w:rPr>
                <w:sz w:val="9"/>
                <w:szCs w:val="9"/>
                <w:color w:val="auto"/>
              </w:rPr>
            </w:pPr>
          </w:p>
        </w:tc>
        <w:tc>
          <w:tcPr>
            <w:tcW w:w="56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shd w:val="clear" w:color="auto" w:fill="E6E6E6"/>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60" w:type="dxa"/>
            <w:vAlign w:val="bottom"/>
            <w:tcBorders>
              <w:left w:val="single" w:sz="8" w:color="auto"/>
              <w:right w:val="single" w:sz="8" w:color="auto"/>
            </w:tcBorders>
            <w:vMerge w:val="continue"/>
            <w:shd w:val="clear" w:color="auto" w:fill="E6E6E6"/>
          </w:tcPr>
          <w:p>
            <w:pPr>
              <w:spacing w:after="0"/>
              <w:rPr>
                <w:sz w:val="8"/>
                <w:szCs w:val="8"/>
                <w:color w:val="auto"/>
              </w:rPr>
            </w:pPr>
          </w:p>
        </w:tc>
        <w:tc>
          <w:tcPr>
            <w:tcW w:w="1120" w:type="dxa"/>
            <w:vAlign w:val="bottom"/>
          </w:tcPr>
          <w:p>
            <w:pPr>
              <w:spacing w:after="0"/>
              <w:rPr>
                <w:sz w:val="8"/>
                <w:szCs w:val="8"/>
                <w:color w:val="auto"/>
              </w:rPr>
            </w:pPr>
          </w:p>
        </w:tc>
        <w:tc>
          <w:tcPr>
            <w:tcW w:w="56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shd w:val="clear" w:color="auto" w:fill="E6E6E6"/>
          </w:tcPr>
          <w:p>
            <w:pPr>
              <w:spacing w:after="0"/>
              <w:rPr>
                <w:sz w:val="8"/>
                <w:szCs w:val="8"/>
                <w:color w:val="auto"/>
              </w:rPr>
            </w:pPr>
          </w:p>
        </w:tc>
        <w:tc>
          <w:tcPr>
            <w:tcW w:w="6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62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160" w:type="dxa"/>
            <w:vAlign w:val="bottom"/>
            <w:tcBorders>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House use</w:t>
            </w:r>
          </w:p>
        </w:tc>
        <w:tc>
          <w:tcPr>
            <w:tcW w:w="1120" w:type="dxa"/>
            <w:vAlign w:val="bottom"/>
          </w:tcPr>
          <w:p>
            <w:pPr>
              <w:spacing w:after="0"/>
              <w:rPr>
                <w:sz w:val="22"/>
                <w:szCs w:val="22"/>
                <w:color w:val="auto"/>
              </w:rPr>
            </w:pPr>
          </w:p>
        </w:tc>
        <w:tc>
          <w:tcPr>
            <w:tcW w:w="5620" w:type="dxa"/>
            <w:vAlign w:val="bottom"/>
          </w:tcPr>
          <w:p>
            <w:pPr>
              <w:jc w:val="center"/>
              <w:ind w:left="2120"/>
              <w:spacing w:after="0"/>
              <w:rPr>
                <w:sz w:val="20"/>
                <w:szCs w:val="20"/>
                <w:color w:val="auto"/>
              </w:rPr>
            </w:pPr>
            <w:r>
              <w:rPr>
                <w:rFonts w:ascii="Times New Roman" w:cs="Times New Roman" w:eastAsia="Times New Roman" w:hAnsi="Times New Roman"/>
                <w:sz w:val="16"/>
                <w:szCs w:val="16"/>
                <w:color w:val="auto"/>
                <w:w w:val="99"/>
              </w:rPr>
              <w:t>Business office use in software-related industries</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160" w:type="dxa"/>
            <w:vAlign w:val="bottom"/>
            <w:tcBorders>
              <w:left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Lease term</w:t>
            </w:r>
          </w:p>
        </w:tc>
        <w:tc>
          <w:tcPr>
            <w:tcW w:w="1120" w:type="dxa"/>
            <w:vAlign w:val="bottom"/>
          </w:tcPr>
          <w:p>
            <w:pPr>
              <w:spacing w:after="0"/>
              <w:rPr>
                <w:sz w:val="22"/>
                <w:szCs w:val="22"/>
                <w:color w:val="auto"/>
              </w:rPr>
            </w:pPr>
          </w:p>
        </w:tc>
        <w:tc>
          <w:tcPr>
            <w:tcW w:w="5620" w:type="dxa"/>
            <w:vAlign w:val="bottom"/>
          </w:tcPr>
          <w:p>
            <w:pPr>
              <w:jc w:val="center"/>
              <w:ind w:left="2120"/>
              <w:spacing w:after="0"/>
              <w:rPr>
                <w:sz w:val="20"/>
                <w:szCs w:val="20"/>
                <w:color w:val="auto"/>
              </w:rPr>
            </w:pPr>
            <w:r>
              <w:rPr>
                <w:rFonts w:ascii="Times New Roman" w:cs="Times New Roman" w:eastAsia="Times New Roman" w:hAnsi="Times New Roman"/>
                <w:sz w:val="16"/>
                <w:szCs w:val="16"/>
                <w:b w:val="1"/>
                <w:bCs w:val="1"/>
                <w:color w:val="auto"/>
                <w:w w:val="99"/>
              </w:rPr>
              <w:t>2024-12-31 to 2027-12-30</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1160" w:type="dxa"/>
            <w:vAlign w:val="bottom"/>
            <w:tcBorders>
              <w:left w:val="single" w:sz="8" w:color="auto"/>
              <w:bottom w:val="single" w:sz="8" w:color="auto"/>
              <w:right w:val="single" w:sz="8" w:color="auto"/>
            </w:tcBorders>
            <w:shd w:val="clear" w:color="auto" w:fill="E6E6E6"/>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6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1160" w:type="dxa"/>
            <w:vAlign w:val="bottom"/>
            <w:tcBorders>
              <w:left w:val="single" w:sz="8" w:color="auto"/>
              <w:right w:val="single" w:sz="8" w:color="E6E6E6"/>
            </w:tcBorders>
            <w:shd w:val="clear" w:color="auto" w:fill="E6E6E6"/>
          </w:tcPr>
          <w:p>
            <w:pPr>
              <w:spacing w:after="0"/>
              <w:rPr>
                <w:sz w:val="22"/>
                <w:szCs w:val="22"/>
                <w:color w:val="auto"/>
              </w:rPr>
            </w:pPr>
          </w:p>
        </w:tc>
        <w:tc>
          <w:tcPr>
            <w:tcW w:w="1120" w:type="dxa"/>
            <w:vAlign w:val="bottom"/>
            <w:tcBorders>
              <w:right w:val="single" w:sz="8" w:color="E6E6E6"/>
            </w:tcBorders>
            <w:shd w:val="clear" w:color="auto" w:fill="E6E6E6"/>
          </w:tcPr>
          <w:p>
            <w:pPr>
              <w:spacing w:after="0"/>
              <w:rPr>
                <w:sz w:val="22"/>
                <w:szCs w:val="22"/>
                <w:color w:val="auto"/>
              </w:rPr>
            </w:pPr>
          </w:p>
        </w:tc>
        <w:tc>
          <w:tcPr>
            <w:tcW w:w="5620" w:type="dxa"/>
            <w:vAlign w:val="bottom"/>
            <w:tcBorders>
              <w:right w:val="single" w:sz="8" w:color="E6E6E6"/>
            </w:tcBorders>
            <w:shd w:val="clear" w:color="auto" w:fill="E6E6E6"/>
          </w:tcPr>
          <w:p>
            <w:pPr>
              <w:ind w:left="2640"/>
              <w:spacing w:after="0"/>
              <w:rPr>
                <w:sz w:val="20"/>
                <w:szCs w:val="20"/>
                <w:color w:val="auto"/>
              </w:rPr>
            </w:pPr>
            <w:r>
              <w:rPr>
                <w:rFonts w:ascii="Times New Roman" w:cs="Times New Roman" w:eastAsia="Times New Roman" w:hAnsi="Times New Roman"/>
                <w:sz w:val="16"/>
                <w:szCs w:val="16"/>
                <w:color w:val="auto"/>
              </w:rPr>
              <w:t>Rental and other rates</w:t>
            </w:r>
          </w:p>
        </w:tc>
        <w:tc>
          <w:tcPr>
            <w:tcW w:w="1120" w:type="dxa"/>
            <w:vAlign w:val="bottom"/>
            <w:tcBorders>
              <w:right w:val="single" w:sz="8" w:color="E6E6E6"/>
            </w:tcBorders>
            <w:shd w:val="clear" w:color="auto" w:fill="E6E6E6"/>
          </w:tcPr>
          <w:p>
            <w:pPr>
              <w:spacing w:after="0"/>
              <w:rPr>
                <w:sz w:val="22"/>
                <w:szCs w:val="22"/>
                <w:color w:val="auto"/>
              </w:rPr>
            </w:pPr>
          </w:p>
        </w:tc>
        <w:tc>
          <w:tcPr>
            <w:tcW w:w="640" w:type="dxa"/>
            <w:vAlign w:val="bottom"/>
            <w:shd w:val="clear" w:color="auto" w:fill="E6E6E6"/>
          </w:tcPr>
          <w:p>
            <w:pPr>
              <w:spacing w:after="0"/>
              <w:rPr>
                <w:sz w:val="22"/>
                <w:szCs w:val="22"/>
                <w:color w:val="auto"/>
              </w:rPr>
            </w:pPr>
          </w:p>
        </w:tc>
        <w:tc>
          <w:tcPr>
            <w:tcW w:w="1600" w:type="dxa"/>
            <w:vAlign w:val="bottom"/>
            <w:tcBorders>
              <w:right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280" w:type="dxa"/>
            <w:vAlign w:val="bottom"/>
            <w:tcBorders>
              <w:left w:val="single" w:sz="8" w:color="auto"/>
              <w:bottom w:val="single" w:sz="8" w:color="auto"/>
              <w:right w:val="single" w:sz="8" w:color="E6E6E6"/>
            </w:tcBorders>
            <w:gridSpan w:val="2"/>
            <w:shd w:val="clear" w:color="auto" w:fill="E6E6E6"/>
          </w:tcPr>
          <w:p>
            <w:pPr>
              <w:spacing w:after="0"/>
              <w:rPr>
                <w:sz w:val="12"/>
                <w:szCs w:val="12"/>
                <w:color w:val="auto"/>
              </w:rPr>
            </w:pPr>
          </w:p>
        </w:tc>
        <w:tc>
          <w:tcPr>
            <w:tcW w:w="5620" w:type="dxa"/>
            <w:vAlign w:val="bottom"/>
            <w:tcBorders>
              <w:bottom w:val="single" w:sz="8" w:color="auto"/>
              <w:right w:val="single" w:sz="8" w:color="E6E6E6"/>
            </w:tcBorders>
            <w:shd w:val="clear" w:color="auto" w:fill="E6E6E6"/>
          </w:tcPr>
          <w:p>
            <w:pPr>
              <w:spacing w:after="0"/>
              <w:rPr>
                <w:sz w:val="12"/>
                <w:szCs w:val="12"/>
                <w:color w:val="auto"/>
              </w:rPr>
            </w:pPr>
          </w:p>
        </w:tc>
        <w:tc>
          <w:tcPr>
            <w:tcW w:w="1120" w:type="dxa"/>
            <w:vAlign w:val="bottom"/>
            <w:tcBorders>
              <w:bottom w:val="single" w:sz="8" w:color="auto"/>
              <w:right w:val="single" w:sz="8" w:color="E6E6E6"/>
            </w:tcBorders>
            <w:shd w:val="clear" w:color="auto" w:fill="E6E6E6"/>
          </w:tcPr>
          <w:p>
            <w:pPr>
              <w:spacing w:after="0"/>
              <w:rPr>
                <w:sz w:val="12"/>
                <w:szCs w:val="12"/>
                <w:color w:val="auto"/>
              </w:rPr>
            </w:pPr>
          </w:p>
        </w:tc>
        <w:tc>
          <w:tcPr>
            <w:tcW w:w="640" w:type="dxa"/>
            <w:vAlign w:val="bottom"/>
            <w:tcBorders>
              <w:bottom w:val="single" w:sz="8" w:color="auto"/>
            </w:tcBorders>
            <w:shd w:val="clear" w:color="auto" w:fill="E6E6E6"/>
          </w:tcPr>
          <w:p>
            <w:pPr>
              <w:spacing w:after="0"/>
              <w:rPr>
                <w:sz w:val="12"/>
                <w:szCs w:val="12"/>
                <w:color w:val="auto"/>
              </w:rPr>
            </w:pPr>
          </w:p>
        </w:tc>
        <w:tc>
          <w:tcPr>
            <w:tcW w:w="1600" w:type="dxa"/>
            <w:vAlign w:val="bottom"/>
            <w:tcBorders>
              <w:bottom w:val="single" w:sz="8" w:color="auto"/>
              <w:right w:val="single" w:sz="8" w:color="auto"/>
            </w:tcBorders>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2280" w:type="dxa"/>
            <w:vAlign w:val="bottom"/>
            <w:tcBorders>
              <w:left w:val="single" w:sz="8" w:color="auto"/>
              <w:right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Rental unit price</w:t>
            </w:r>
          </w:p>
        </w:tc>
        <w:tc>
          <w:tcPr>
            <w:tcW w:w="5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1.30RMB/calendar day*sqm</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E6E6E6"/>
            </w:tcBorders>
            <w:shd w:val="clear" w:color="auto" w:fill="E6E6E6"/>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898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280" w:type="dxa"/>
            <w:vAlign w:val="bottom"/>
            <w:tcBorders>
              <w:left w:val="single" w:sz="8" w:color="auto"/>
              <w:right w:val="single" w:sz="8" w:color="auto"/>
            </w:tcBorders>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7"/>
              </w:rPr>
              <w:t>Total rent fee</w:t>
            </w:r>
          </w:p>
        </w:tc>
        <w:tc>
          <w:tcPr>
            <w:tcW w:w="89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The total amount of rent fee payable (in capital letters) is: one million four hundred and sixty-five thousand five hundred and fifty (RMB</w:t>
            </w:r>
          </w:p>
        </w:tc>
        <w:tc>
          <w:tcPr>
            <w:tcW w:w="0" w:type="dxa"/>
            <w:vAlign w:val="bottom"/>
          </w:tcPr>
          <w:p>
            <w:pPr>
              <w:spacing w:after="0"/>
              <w:rPr>
                <w:sz w:val="1"/>
                <w:szCs w:val="1"/>
                <w:color w:val="auto"/>
              </w:rPr>
            </w:pPr>
          </w:p>
        </w:tc>
      </w:tr>
      <w:tr>
        <w:trPr>
          <w:trHeight w:val="113"/>
        </w:trPr>
        <w:tc>
          <w:tcPr>
            <w:tcW w:w="2280" w:type="dxa"/>
            <w:vAlign w:val="bottom"/>
            <w:tcBorders>
              <w:left w:val="single" w:sz="8" w:color="auto"/>
              <w:right w:val="single" w:sz="8" w:color="auto"/>
            </w:tcBorders>
            <w:gridSpan w:val="2"/>
            <w:vMerge w:val="continue"/>
            <w:shd w:val="clear" w:color="auto" w:fill="E6E6E6"/>
          </w:tcPr>
          <w:p>
            <w:pPr>
              <w:spacing w:after="0"/>
              <w:rPr>
                <w:sz w:val="9"/>
                <w:szCs w:val="9"/>
                <w:color w:val="auto"/>
              </w:rPr>
            </w:pPr>
          </w:p>
        </w:tc>
        <w:tc>
          <w:tcPr>
            <w:tcW w:w="5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1,465,550 )</w:t>
            </w: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60" w:type="dxa"/>
            <w:vAlign w:val="bottom"/>
            <w:tcBorders>
              <w:left w:val="single" w:sz="8" w:color="auto"/>
              <w:right w:val="single" w:sz="8" w:color="E6E6E6"/>
            </w:tcBorders>
            <w:shd w:val="clear" w:color="auto" w:fill="E6E6E6"/>
          </w:tcPr>
          <w:p>
            <w:pPr>
              <w:spacing w:after="0"/>
              <w:rPr>
                <w:sz w:val="8"/>
                <w:szCs w:val="8"/>
                <w:color w:val="auto"/>
              </w:rPr>
            </w:pPr>
          </w:p>
        </w:tc>
        <w:tc>
          <w:tcPr>
            <w:tcW w:w="1120" w:type="dxa"/>
            <w:vAlign w:val="bottom"/>
            <w:tcBorders>
              <w:right w:val="single" w:sz="8" w:color="auto"/>
            </w:tcBorders>
            <w:shd w:val="clear" w:color="auto" w:fill="E6E6E6"/>
          </w:tcPr>
          <w:p>
            <w:pPr>
              <w:spacing w:after="0"/>
              <w:rPr>
                <w:sz w:val="8"/>
                <w:szCs w:val="8"/>
                <w:color w:val="auto"/>
              </w:rPr>
            </w:pPr>
          </w:p>
        </w:tc>
        <w:tc>
          <w:tcPr>
            <w:tcW w:w="56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E6E6E6"/>
            </w:tcBorders>
            <w:shd w:val="clear" w:color="auto" w:fill="E6E6E6"/>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898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280" w:type="dxa"/>
            <w:vAlign w:val="bottom"/>
            <w:tcBorders>
              <w:left w:val="single" w:sz="8" w:color="auto"/>
              <w:right w:val="single" w:sz="8" w:color="auto"/>
            </w:tcBorders>
            <w:gridSpan w:val="2"/>
            <w:vMerge w:val="restart"/>
            <w:shd w:val="clear" w:color="auto" w:fill="E6E6E6"/>
          </w:tcPr>
          <w:p>
            <w:pPr>
              <w:jc w:val="center"/>
              <w:ind w:right="20"/>
              <w:spacing w:after="0"/>
              <w:rPr>
                <w:sz w:val="20"/>
                <w:szCs w:val="20"/>
                <w:color w:val="auto"/>
              </w:rPr>
            </w:pPr>
            <w:r>
              <w:rPr>
                <w:rFonts w:ascii="Times New Roman" w:cs="Times New Roman" w:eastAsia="Times New Roman" w:hAnsi="Times New Roman"/>
                <w:sz w:val="16"/>
                <w:szCs w:val="16"/>
                <w:color w:val="auto"/>
              </w:rPr>
              <w:t>Performance bond</w:t>
            </w:r>
          </w:p>
        </w:tc>
        <w:tc>
          <w:tcPr>
            <w:tcW w:w="89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The total amount of rent and property charges for 90 calendar days shall be paid by Party B to Party A together with the down payment,</w:t>
            </w:r>
          </w:p>
        </w:tc>
        <w:tc>
          <w:tcPr>
            <w:tcW w:w="0" w:type="dxa"/>
            <w:vAlign w:val="bottom"/>
          </w:tcPr>
          <w:p>
            <w:pPr>
              <w:spacing w:after="0"/>
              <w:rPr>
                <w:sz w:val="1"/>
                <w:szCs w:val="1"/>
                <w:color w:val="auto"/>
              </w:rPr>
            </w:pPr>
          </w:p>
        </w:tc>
      </w:tr>
      <w:tr>
        <w:trPr>
          <w:trHeight w:val="113"/>
        </w:trPr>
        <w:tc>
          <w:tcPr>
            <w:tcW w:w="2280" w:type="dxa"/>
            <w:vAlign w:val="bottom"/>
            <w:tcBorders>
              <w:left w:val="single" w:sz="8" w:color="auto"/>
              <w:right w:val="single" w:sz="8" w:color="auto"/>
            </w:tcBorders>
            <w:gridSpan w:val="2"/>
            <w:vMerge w:val="continue"/>
            <w:shd w:val="clear" w:color="auto" w:fill="E6E6E6"/>
          </w:tcPr>
          <w:p>
            <w:pPr>
              <w:spacing w:after="0"/>
              <w:rPr>
                <w:sz w:val="9"/>
                <w:szCs w:val="9"/>
                <w:color w:val="auto"/>
              </w:rPr>
            </w:pPr>
          </w:p>
        </w:tc>
        <w:tc>
          <w:tcPr>
            <w:tcW w:w="7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i.e. (in capital letters): one hundred and twenty thousand four hundred and fifty-six (RMB120,456.00)</w:t>
            </w: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60" w:type="dxa"/>
            <w:vAlign w:val="bottom"/>
            <w:tcBorders>
              <w:left w:val="single" w:sz="8" w:color="auto"/>
              <w:right w:val="single" w:sz="8" w:color="E6E6E6"/>
            </w:tcBorders>
            <w:shd w:val="clear" w:color="auto" w:fill="E6E6E6"/>
          </w:tcPr>
          <w:p>
            <w:pPr>
              <w:spacing w:after="0"/>
              <w:rPr>
                <w:sz w:val="8"/>
                <w:szCs w:val="8"/>
                <w:color w:val="auto"/>
              </w:rPr>
            </w:pPr>
          </w:p>
        </w:tc>
        <w:tc>
          <w:tcPr>
            <w:tcW w:w="1120" w:type="dxa"/>
            <w:vAlign w:val="bottom"/>
            <w:tcBorders>
              <w:right w:val="single" w:sz="8" w:color="auto"/>
            </w:tcBorders>
            <w:shd w:val="clear" w:color="auto" w:fill="E6E6E6"/>
          </w:tcPr>
          <w:p>
            <w:pPr>
              <w:spacing w:after="0"/>
              <w:rPr>
                <w:sz w:val="8"/>
                <w:szCs w:val="8"/>
                <w:color w:val="auto"/>
              </w:rPr>
            </w:pPr>
          </w:p>
        </w:tc>
        <w:tc>
          <w:tcPr>
            <w:tcW w:w="7380" w:type="dxa"/>
            <w:vAlign w:val="bottom"/>
            <w:gridSpan w:val="3"/>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280" w:type="dxa"/>
            <w:vAlign w:val="bottom"/>
            <w:tcBorders>
              <w:left w:val="single" w:sz="8" w:color="auto"/>
              <w:bottom w:val="single" w:sz="8" w:color="auto"/>
              <w:right w:val="single" w:sz="8" w:color="auto"/>
            </w:tcBorders>
            <w:gridSpan w:val="2"/>
            <w:shd w:val="clear" w:color="auto" w:fill="E6E6E6"/>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280" w:type="dxa"/>
            <w:vAlign w:val="bottom"/>
            <w:tcBorders>
              <w:left w:val="single" w:sz="8" w:color="auto"/>
              <w:right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Property management fee,</w:t>
            </w:r>
          </w:p>
        </w:tc>
        <w:tc>
          <w:tcPr>
            <w:tcW w:w="8980" w:type="dxa"/>
            <w:vAlign w:val="bottom"/>
            <w:tcBorders>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6"/>
                <w:szCs w:val="16"/>
                <w:color w:val="auto"/>
              </w:rPr>
              <w:t>Party B shall sign a separate property management contract with the property management company, and party B shall pay the property</w:t>
            </w:r>
          </w:p>
        </w:tc>
        <w:tc>
          <w:tcPr>
            <w:tcW w:w="0" w:type="dxa"/>
            <w:vAlign w:val="bottom"/>
          </w:tcPr>
          <w:p>
            <w:pPr>
              <w:spacing w:after="0"/>
              <w:rPr>
                <w:sz w:val="1"/>
                <w:szCs w:val="1"/>
                <w:color w:val="auto"/>
              </w:rPr>
            </w:pPr>
          </w:p>
        </w:tc>
      </w:tr>
      <w:tr>
        <w:trPr>
          <w:trHeight w:val="96"/>
        </w:trPr>
        <w:tc>
          <w:tcPr>
            <w:tcW w:w="2280" w:type="dxa"/>
            <w:vAlign w:val="bottom"/>
            <w:tcBorders>
              <w:left w:val="single" w:sz="8" w:color="auto"/>
              <w:right w:val="single" w:sz="8" w:color="auto"/>
            </w:tcBorders>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electricity fee, water fee, air</w:t>
            </w:r>
          </w:p>
        </w:tc>
        <w:tc>
          <w:tcPr>
            <w:tcW w:w="8980" w:type="dxa"/>
            <w:vAlign w:val="bottom"/>
            <w:tcBorders>
              <w:right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280" w:type="dxa"/>
            <w:vAlign w:val="bottom"/>
            <w:tcBorders>
              <w:left w:val="single" w:sz="8" w:color="auto"/>
              <w:right w:val="single" w:sz="8" w:color="auto"/>
            </w:tcBorders>
            <w:gridSpan w:val="2"/>
            <w:vMerge w:val="continue"/>
            <w:shd w:val="clear" w:color="auto" w:fill="E6E6E6"/>
          </w:tcPr>
          <w:p>
            <w:pPr>
              <w:spacing w:after="0"/>
              <w:rPr>
                <w:sz w:val="8"/>
                <w:szCs w:val="8"/>
                <w:color w:val="auto"/>
              </w:rPr>
            </w:pPr>
          </w:p>
        </w:tc>
        <w:tc>
          <w:tcPr>
            <w:tcW w:w="7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management company according to the provisions of the property management contract.</w:t>
            </w: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280" w:type="dxa"/>
            <w:vAlign w:val="bottom"/>
            <w:tcBorders>
              <w:left w:val="single" w:sz="8" w:color="auto"/>
              <w:right w:val="single" w:sz="8" w:color="auto"/>
            </w:tcBorders>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conditioning delay fee</w:t>
            </w:r>
          </w:p>
        </w:tc>
        <w:tc>
          <w:tcPr>
            <w:tcW w:w="7380" w:type="dxa"/>
            <w:vAlign w:val="bottom"/>
            <w:gridSpan w:val="3"/>
            <w:vMerge w:val="continue"/>
          </w:tcPr>
          <w:p>
            <w:pPr>
              <w:spacing w:after="0"/>
              <w:rPr>
                <w:sz w:val="9"/>
                <w:szCs w:val="9"/>
                <w:color w:val="auto"/>
              </w:rPr>
            </w:pP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280" w:type="dxa"/>
            <w:vAlign w:val="bottom"/>
            <w:tcBorders>
              <w:left w:val="single" w:sz="8" w:color="auto"/>
              <w:right w:val="single" w:sz="8" w:color="auto"/>
            </w:tcBorders>
            <w:gridSpan w:val="2"/>
            <w:vMerge w:val="continue"/>
            <w:shd w:val="clear" w:color="auto" w:fill="E6E6E6"/>
          </w:tcPr>
          <w:p>
            <w:pPr>
              <w:spacing w:after="0"/>
              <w:rPr>
                <w:sz w:val="8"/>
                <w:szCs w:val="8"/>
                <w:color w:val="auto"/>
              </w:rPr>
            </w:pPr>
          </w:p>
        </w:tc>
        <w:tc>
          <w:tcPr>
            <w:tcW w:w="5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280" w:type="dxa"/>
            <w:vAlign w:val="bottom"/>
            <w:tcBorders>
              <w:left w:val="single" w:sz="8" w:color="auto"/>
              <w:bottom w:val="single" w:sz="8" w:color="auto"/>
              <w:right w:val="single" w:sz="8" w:color="auto"/>
            </w:tcBorders>
            <w:gridSpan w:val="2"/>
            <w:shd w:val="clear" w:color="auto" w:fill="E6E6E6"/>
          </w:tcPr>
          <w:p>
            <w:pPr>
              <w:spacing w:after="0"/>
              <w:rPr>
                <w:sz w:val="10"/>
                <w:szCs w:val="10"/>
                <w:color w:val="auto"/>
              </w:rPr>
            </w:pPr>
          </w:p>
        </w:tc>
        <w:tc>
          <w:tcPr>
            <w:tcW w:w="7380" w:type="dxa"/>
            <w:vAlign w:val="bottom"/>
            <w:tcBorders>
              <w:bottom w:val="single" w:sz="8" w:color="auto"/>
            </w:tcBorders>
            <w:gridSpan w:val="3"/>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280" w:type="dxa"/>
            <w:vAlign w:val="bottom"/>
            <w:tcBorders>
              <w:left w:val="single" w:sz="8" w:color="auto"/>
              <w:right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Communication fee</w:t>
            </w:r>
          </w:p>
        </w:tc>
        <w:tc>
          <w:tcPr>
            <w:tcW w:w="73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Party B shall make the payment to the relevant communication service provider on its own.</w:t>
            </w: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E6E6E6"/>
            </w:tcBorders>
            <w:shd w:val="clear" w:color="auto" w:fill="E6E6E6"/>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898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280" w:type="dxa"/>
            <w:vAlign w:val="bottom"/>
            <w:tcBorders>
              <w:left w:val="single" w:sz="8" w:color="auto"/>
              <w:right w:val="single" w:sz="8" w:color="auto"/>
            </w:tcBorders>
            <w:gridSpan w:val="2"/>
            <w:vMerge w:val="restart"/>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Secondary decoration cost</w:t>
            </w:r>
          </w:p>
        </w:tc>
        <w:tc>
          <w:tcPr>
            <w:tcW w:w="89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Comply with the management regulations of Party A and the property management company regarding secondary decoration and</w:t>
            </w:r>
          </w:p>
        </w:tc>
        <w:tc>
          <w:tcPr>
            <w:tcW w:w="0" w:type="dxa"/>
            <w:vAlign w:val="bottom"/>
          </w:tcPr>
          <w:p>
            <w:pPr>
              <w:spacing w:after="0"/>
              <w:rPr>
                <w:sz w:val="1"/>
                <w:szCs w:val="1"/>
                <w:color w:val="auto"/>
              </w:rPr>
            </w:pPr>
          </w:p>
        </w:tc>
      </w:tr>
      <w:tr>
        <w:trPr>
          <w:trHeight w:val="113"/>
        </w:trPr>
        <w:tc>
          <w:tcPr>
            <w:tcW w:w="2280" w:type="dxa"/>
            <w:vAlign w:val="bottom"/>
            <w:tcBorders>
              <w:left w:val="single" w:sz="8" w:color="auto"/>
              <w:right w:val="single" w:sz="8" w:color="auto"/>
            </w:tcBorders>
            <w:gridSpan w:val="2"/>
            <w:vMerge w:val="continue"/>
            <w:shd w:val="clear" w:color="auto" w:fill="E6E6E6"/>
          </w:tcPr>
          <w:p>
            <w:pPr>
              <w:spacing w:after="0"/>
              <w:rPr>
                <w:sz w:val="9"/>
                <w:szCs w:val="9"/>
                <w:color w:val="auto"/>
              </w:rPr>
            </w:pPr>
          </w:p>
        </w:tc>
        <w:tc>
          <w:tcPr>
            <w:tcW w:w="7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relevant national regulations, and Party B shall bear all expenses incurred in the decoration.</w:t>
            </w:r>
          </w:p>
        </w:tc>
        <w:tc>
          <w:tcPr>
            <w:tcW w:w="1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160" w:type="dxa"/>
            <w:vAlign w:val="bottom"/>
            <w:tcBorders>
              <w:left w:val="single" w:sz="8" w:color="auto"/>
              <w:right w:val="single" w:sz="8" w:color="E6E6E6"/>
            </w:tcBorders>
            <w:shd w:val="clear" w:color="auto" w:fill="E6E6E6"/>
          </w:tcPr>
          <w:p>
            <w:pPr>
              <w:spacing w:after="0"/>
              <w:rPr>
                <w:sz w:val="8"/>
                <w:szCs w:val="8"/>
                <w:color w:val="auto"/>
              </w:rPr>
            </w:pPr>
          </w:p>
        </w:tc>
        <w:tc>
          <w:tcPr>
            <w:tcW w:w="1120" w:type="dxa"/>
            <w:vAlign w:val="bottom"/>
            <w:tcBorders>
              <w:right w:val="single" w:sz="8" w:color="auto"/>
            </w:tcBorders>
            <w:shd w:val="clear" w:color="auto" w:fill="E6E6E6"/>
          </w:tcPr>
          <w:p>
            <w:pPr>
              <w:spacing w:after="0"/>
              <w:rPr>
                <w:sz w:val="8"/>
                <w:szCs w:val="8"/>
                <w:color w:val="auto"/>
              </w:rPr>
            </w:pPr>
          </w:p>
        </w:tc>
        <w:tc>
          <w:tcPr>
            <w:tcW w:w="7380" w:type="dxa"/>
            <w:vAlign w:val="bottom"/>
            <w:gridSpan w:val="3"/>
            <w:vMerge w:val="continue"/>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280" w:type="dxa"/>
            <w:vAlign w:val="bottom"/>
            <w:tcBorders>
              <w:left w:val="single" w:sz="8" w:color="auto"/>
              <w:bottom w:val="single" w:sz="8" w:color="auto"/>
              <w:right w:val="single" w:sz="8" w:color="auto"/>
            </w:tcBorders>
            <w:gridSpan w:val="2"/>
            <w:shd w:val="clear" w:color="auto" w:fill="E6E6E6"/>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280" w:type="dxa"/>
            <w:vAlign w:val="bottom"/>
            <w:tcBorders>
              <w:left w:val="single" w:sz="8" w:color="auto"/>
              <w:right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Parking lot management fee</w:t>
            </w:r>
          </w:p>
        </w:tc>
        <w:tc>
          <w:tcPr>
            <w:tcW w:w="5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According to the parking fee standards of this building.</w:t>
            </w: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E6E6E6"/>
            </w:tcBorders>
            <w:shd w:val="clear" w:color="auto" w:fill="E6E6E6"/>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8980" w:type="dxa"/>
            <w:vAlign w:val="bottom"/>
            <w:tcBorders>
              <w:bottom w:val="single" w:sz="8" w:color="auto"/>
              <w:right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160" w:type="dxa"/>
            <w:vAlign w:val="bottom"/>
            <w:tcBorders>
              <w:left w:val="single" w:sz="8" w:color="auto"/>
              <w:right w:val="single" w:sz="8" w:color="E6E6E6"/>
            </w:tcBorders>
            <w:shd w:val="clear" w:color="auto" w:fill="E6E6E6"/>
          </w:tcPr>
          <w:p>
            <w:pPr>
              <w:spacing w:after="0"/>
              <w:rPr>
                <w:sz w:val="20"/>
                <w:szCs w:val="20"/>
                <w:color w:val="auto"/>
              </w:rPr>
            </w:pPr>
          </w:p>
        </w:tc>
        <w:tc>
          <w:tcPr>
            <w:tcW w:w="1120" w:type="dxa"/>
            <w:vAlign w:val="bottom"/>
            <w:tcBorders>
              <w:right w:val="single" w:sz="8" w:color="auto"/>
            </w:tcBorders>
            <w:shd w:val="clear" w:color="auto" w:fill="E6E6E6"/>
          </w:tcPr>
          <w:p>
            <w:pPr>
              <w:spacing w:after="0"/>
              <w:rPr>
                <w:sz w:val="20"/>
                <w:szCs w:val="20"/>
                <w:color w:val="auto"/>
              </w:rPr>
            </w:pPr>
          </w:p>
        </w:tc>
        <w:tc>
          <w:tcPr>
            <w:tcW w:w="89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If the power capacity demand of the leased room by Party B exceeds the design standards of this building, Party B may apply to Party A</w:t>
            </w:r>
          </w:p>
        </w:tc>
        <w:tc>
          <w:tcPr>
            <w:tcW w:w="0" w:type="dxa"/>
            <w:vAlign w:val="bottom"/>
          </w:tcPr>
          <w:p>
            <w:pPr>
              <w:spacing w:after="0"/>
              <w:rPr>
                <w:sz w:val="1"/>
                <w:szCs w:val="1"/>
                <w:color w:val="auto"/>
              </w:rPr>
            </w:pPr>
          </w:p>
        </w:tc>
      </w:tr>
      <w:tr>
        <w:trPr>
          <w:trHeight w:val="192"/>
        </w:trPr>
        <w:tc>
          <w:tcPr>
            <w:tcW w:w="2280" w:type="dxa"/>
            <w:vAlign w:val="bottom"/>
            <w:tcBorders>
              <w:left w:val="single" w:sz="8" w:color="auto"/>
              <w:right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Electricity capacity expansion</w:t>
            </w:r>
          </w:p>
        </w:tc>
        <w:tc>
          <w:tcPr>
            <w:tcW w:w="89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and the property management company for power capacity expansion. The capacity expansion plan of Party B shall be approved by</w:t>
            </w:r>
          </w:p>
        </w:tc>
        <w:tc>
          <w:tcPr>
            <w:tcW w:w="0" w:type="dxa"/>
            <w:vAlign w:val="bottom"/>
          </w:tcPr>
          <w:p>
            <w:pPr>
              <w:spacing w:after="0"/>
              <w:rPr>
                <w:sz w:val="1"/>
                <w:szCs w:val="1"/>
                <w:color w:val="auto"/>
              </w:rPr>
            </w:pPr>
          </w:p>
        </w:tc>
      </w:tr>
      <w:tr>
        <w:trPr>
          <w:trHeight w:val="192"/>
        </w:trPr>
        <w:tc>
          <w:tcPr>
            <w:tcW w:w="2280" w:type="dxa"/>
            <w:vAlign w:val="bottom"/>
            <w:tcBorders>
              <w:left w:val="single" w:sz="8" w:color="auto"/>
              <w:right w:val="single" w:sz="8" w:color="auto"/>
            </w:tcBorders>
            <w:gridSpan w:val="2"/>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fee</w:t>
            </w:r>
          </w:p>
        </w:tc>
        <w:tc>
          <w:tcPr>
            <w:tcW w:w="898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Party A and the property management company before construction, and Party B shall be responsible for the capacity expansion</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right w:val="single" w:sz="8" w:color="E6E6E6"/>
            </w:tcBorders>
            <w:shd w:val="clear" w:color="auto" w:fill="E6E6E6"/>
          </w:tcPr>
          <w:p>
            <w:pPr>
              <w:spacing w:after="0"/>
              <w:rPr>
                <w:sz w:val="18"/>
                <w:szCs w:val="18"/>
                <w:color w:val="auto"/>
              </w:rPr>
            </w:pPr>
          </w:p>
        </w:tc>
        <w:tc>
          <w:tcPr>
            <w:tcW w:w="1120" w:type="dxa"/>
            <w:vAlign w:val="bottom"/>
            <w:tcBorders>
              <w:right w:val="single" w:sz="8" w:color="auto"/>
            </w:tcBorders>
            <w:shd w:val="clear" w:color="auto" w:fill="E6E6E6"/>
          </w:tcPr>
          <w:p>
            <w:pPr>
              <w:spacing w:after="0"/>
              <w:rPr>
                <w:sz w:val="18"/>
                <w:szCs w:val="18"/>
                <w:color w:val="auto"/>
              </w:rPr>
            </w:pPr>
          </w:p>
        </w:tc>
        <w:tc>
          <w:tcPr>
            <w:tcW w:w="5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construction and bear the construction costs on its own.</w:t>
            </w: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160" w:type="dxa"/>
            <w:vAlign w:val="bottom"/>
            <w:tcBorders>
              <w:left w:val="single" w:sz="8" w:color="auto"/>
              <w:bottom w:val="single" w:sz="8" w:color="auto"/>
              <w:right w:val="single" w:sz="8" w:color="E6E6E6"/>
            </w:tcBorders>
            <w:shd w:val="clear" w:color="auto" w:fill="E6E6E6"/>
          </w:tcPr>
          <w:p>
            <w:pPr>
              <w:spacing w:after="0"/>
              <w:rPr>
                <w:sz w:val="10"/>
                <w:szCs w:val="10"/>
                <w:color w:val="auto"/>
              </w:rPr>
            </w:pPr>
          </w:p>
        </w:tc>
        <w:tc>
          <w:tcPr>
            <w:tcW w:w="1120" w:type="dxa"/>
            <w:vAlign w:val="bottom"/>
            <w:tcBorders>
              <w:bottom w:val="single" w:sz="8" w:color="auto"/>
              <w:right w:val="single" w:sz="8" w:color="auto"/>
            </w:tcBorders>
            <w:shd w:val="clear" w:color="auto" w:fill="E6E6E6"/>
          </w:tcPr>
          <w:p>
            <w:pPr>
              <w:spacing w:after="0"/>
              <w:rPr>
                <w:sz w:val="10"/>
                <w:szCs w:val="10"/>
                <w:color w:val="auto"/>
              </w:rPr>
            </w:pPr>
          </w:p>
        </w:tc>
        <w:tc>
          <w:tcPr>
            <w:tcW w:w="56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73"/>
        </w:trPr>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6"/>
                <w:szCs w:val="16"/>
                <w:color w:val="auto"/>
              </w:rPr>
              <w:t>18</w:t>
            </w:r>
          </w:p>
        </w:tc>
        <w:tc>
          <w:tcPr>
            <w:tcW w:w="1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5" w:right="319" w:bottom="1440" w:gutter="0" w:footer="0" w:header="0"/>
        </w:sectPr>
      </w:pPr>
    </w:p>
    <w:bookmarkStart w:id="250" w:name="page251"/>
    <w:bookmarkEnd w:id="2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226695</wp:posOffset>
            </wp:positionV>
            <wp:extent cx="7147560" cy="2955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1">
                      <a:extLst>
                        <a:ext uri="{28A0092B-C50C-407E-A947-70E740481C1C}"/>
                      </a:extLst>
                    </a:blip>
                    <a:srcRect/>
                    <a:stretch>
                      <a:fillRect/>
                    </a:stretch>
                  </pic:blipFill>
                  <pic:spPr bwMode="auto">
                    <a:xfrm>
                      <a:off x="0" y="0"/>
                      <a:ext cx="7147560" cy="2955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6"/>
        </w:trPr>
        <w:tc>
          <w:tcPr>
            <w:tcW w:w="2280" w:type="dxa"/>
            <w:vAlign w:val="bottom"/>
            <w:tcBorders>
              <w:right w:val="single" w:sz="8" w:color="E6E6E6"/>
            </w:tcBorders>
            <w:shd w:val="clear" w:color="auto" w:fill="E6E6E6"/>
          </w:tcPr>
          <w:p>
            <w:pPr>
              <w:spacing w:after="0"/>
              <w:rPr>
                <w:sz w:val="24"/>
                <w:szCs w:val="24"/>
                <w:color w:val="auto"/>
              </w:rPr>
            </w:pPr>
          </w:p>
        </w:tc>
        <w:tc>
          <w:tcPr>
            <w:tcW w:w="8960" w:type="dxa"/>
            <w:vAlign w:val="bottom"/>
            <w:shd w:val="clear" w:color="auto" w:fill="E6E6E6"/>
          </w:tcPr>
          <w:p>
            <w:pPr>
              <w:ind w:left="1960"/>
              <w:spacing w:after="0"/>
              <w:rPr>
                <w:sz w:val="20"/>
                <w:szCs w:val="20"/>
                <w:color w:val="auto"/>
              </w:rPr>
            </w:pPr>
            <w:r>
              <w:rPr>
                <w:rFonts w:ascii="Times New Roman" w:cs="Times New Roman" w:eastAsia="Times New Roman" w:hAnsi="Times New Roman"/>
                <w:sz w:val="16"/>
                <w:szCs w:val="16"/>
                <w:color w:val="auto"/>
              </w:rPr>
              <w:t>Existing facilities and finishes in the house</w:t>
            </w:r>
          </w:p>
        </w:tc>
        <w:tc>
          <w:tcPr>
            <w:tcW w:w="20" w:type="dxa"/>
            <w:vAlign w:val="bottom"/>
          </w:tcPr>
          <w:p>
            <w:pPr>
              <w:spacing w:after="0"/>
              <w:rPr>
                <w:sz w:val="24"/>
                <w:szCs w:val="24"/>
                <w:color w:val="auto"/>
              </w:rPr>
            </w:pPr>
          </w:p>
        </w:tc>
      </w:tr>
      <w:tr>
        <w:trPr>
          <w:trHeight w:val="76"/>
        </w:trPr>
        <w:tc>
          <w:tcPr>
            <w:tcW w:w="2280" w:type="dxa"/>
            <w:vAlign w:val="bottom"/>
            <w:tcBorders>
              <w:bottom w:val="single" w:sz="8" w:color="auto"/>
              <w:right w:val="single" w:sz="8" w:color="E6E6E6"/>
            </w:tcBorders>
            <w:shd w:val="clear" w:color="auto" w:fill="E6E6E6"/>
          </w:tcPr>
          <w:p>
            <w:pPr>
              <w:spacing w:after="0"/>
              <w:rPr>
                <w:sz w:val="6"/>
                <w:szCs w:val="6"/>
                <w:color w:val="auto"/>
              </w:rPr>
            </w:pPr>
          </w:p>
        </w:tc>
        <w:tc>
          <w:tcPr>
            <w:tcW w:w="8960" w:type="dxa"/>
            <w:vAlign w:val="bottom"/>
            <w:tcBorders>
              <w:bottom w:val="single" w:sz="8" w:color="auto"/>
            </w:tcBorders>
            <w:shd w:val="clear" w:color="auto" w:fill="E6E6E6"/>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64"/>
        </w:trPr>
        <w:tc>
          <w:tcPr>
            <w:tcW w:w="22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Central air conditioning</w:t>
            </w:r>
          </w:p>
        </w:tc>
        <w:tc>
          <w:tcPr>
            <w:tcW w:w="8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t>
            </w:r>
          </w:p>
        </w:tc>
        <w:tc>
          <w:tcPr>
            <w:tcW w:w="20" w:type="dxa"/>
            <w:vAlign w:val="bottom"/>
          </w:tcPr>
          <w:p>
            <w:pPr>
              <w:spacing w:after="0"/>
              <w:rPr>
                <w:sz w:val="22"/>
                <w:szCs w:val="22"/>
                <w:color w:val="auto"/>
              </w:rPr>
            </w:pPr>
          </w:p>
        </w:tc>
      </w:tr>
      <w:tr>
        <w:trPr>
          <w:trHeight w:val="72"/>
        </w:trPr>
        <w:tc>
          <w:tcPr>
            <w:tcW w:w="2280" w:type="dxa"/>
            <w:vAlign w:val="bottom"/>
            <w:tcBorders>
              <w:bottom w:val="single" w:sz="8" w:color="auto"/>
              <w:right w:val="single" w:sz="8" w:color="auto"/>
            </w:tcBorders>
            <w:shd w:val="clear" w:color="auto" w:fill="E6E6E6"/>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6"/>
        </w:trPr>
        <w:tc>
          <w:tcPr>
            <w:tcW w:w="22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Concrete floor</w:t>
            </w:r>
          </w:p>
        </w:tc>
        <w:tc>
          <w:tcPr>
            <w:tcW w:w="8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t>
            </w:r>
          </w:p>
        </w:tc>
        <w:tc>
          <w:tcPr>
            <w:tcW w:w="20" w:type="dxa"/>
            <w:vAlign w:val="bottom"/>
          </w:tcPr>
          <w:p>
            <w:pPr>
              <w:spacing w:after="0"/>
              <w:rPr>
                <w:sz w:val="22"/>
                <w:szCs w:val="22"/>
                <w:color w:val="auto"/>
              </w:rPr>
            </w:pPr>
          </w:p>
        </w:tc>
      </w:tr>
      <w:tr>
        <w:trPr>
          <w:trHeight w:val="72"/>
        </w:trPr>
        <w:tc>
          <w:tcPr>
            <w:tcW w:w="2280" w:type="dxa"/>
            <w:vAlign w:val="bottom"/>
            <w:tcBorders>
              <w:bottom w:val="single" w:sz="8" w:color="auto"/>
              <w:right w:val="single" w:sz="8" w:color="auto"/>
            </w:tcBorders>
            <w:shd w:val="clear" w:color="auto" w:fill="E6E6E6"/>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6"/>
        </w:trPr>
        <w:tc>
          <w:tcPr>
            <w:tcW w:w="22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Light fittings, switches, sockets</w:t>
            </w:r>
          </w:p>
        </w:tc>
        <w:tc>
          <w:tcPr>
            <w:tcW w:w="8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t>
            </w:r>
          </w:p>
        </w:tc>
        <w:tc>
          <w:tcPr>
            <w:tcW w:w="20" w:type="dxa"/>
            <w:vAlign w:val="bottom"/>
          </w:tcPr>
          <w:p>
            <w:pPr>
              <w:spacing w:after="0"/>
              <w:rPr>
                <w:sz w:val="22"/>
                <w:szCs w:val="22"/>
                <w:color w:val="auto"/>
              </w:rPr>
            </w:pPr>
          </w:p>
        </w:tc>
      </w:tr>
      <w:tr>
        <w:trPr>
          <w:trHeight w:val="72"/>
        </w:trPr>
        <w:tc>
          <w:tcPr>
            <w:tcW w:w="2280" w:type="dxa"/>
            <w:vAlign w:val="bottom"/>
            <w:tcBorders>
              <w:bottom w:val="single" w:sz="8" w:color="auto"/>
              <w:right w:val="single" w:sz="8" w:color="auto"/>
            </w:tcBorders>
            <w:shd w:val="clear" w:color="auto" w:fill="E6E6E6"/>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6"/>
        </w:trPr>
        <w:tc>
          <w:tcPr>
            <w:tcW w:w="22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6"/>
              </w:rPr>
              <w:t>Wall Wall</w:t>
            </w:r>
          </w:p>
        </w:tc>
        <w:tc>
          <w:tcPr>
            <w:tcW w:w="8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Emulsion paint and glass textures, good</w:t>
            </w:r>
          </w:p>
        </w:tc>
        <w:tc>
          <w:tcPr>
            <w:tcW w:w="20" w:type="dxa"/>
            <w:vAlign w:val="bottom"/>
          </w:tcPr>
          <w:p>
            <w:pPr>
              <w:spacing w:after="0"/>
              <w:rPr>
                <w:sz w:val="22"/>
                <w:szCs w:val="22"/>
                <w:color w:val="auto"/>
              </w:rPr>
            </w:pPr>
          </w:p>
        </w:tc>
      </w:tr>
      <w:tr>
        <w:trPr>
          <w:trHeight w:val="72"/>
        </w:trPr>
        <w:tc>
          <w:tcPr>
            <w:tcW w:w="2280" w:type="dxa"/>
            <w:vAlign w:val="bottom"/>
            <w:tcBorders>
              <w:bottom w:val="single" w:sz="8" w:color="auto"/>
              <w:right w:val="single" w:sz="8" w:color="auto"/>
            </w:tcBorders>
            <w:shd w:val="clear" w:color="auto" w:fill="E6E6E6"/>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6"/>
        </w:trPr>
        <w:tc>
          <w:tcPr>
            <w:tcW w:w="22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8"/>
              </w:rPr>
              <w:t>Sky Shed</w:t>
            </w:r>
          </w:p>
        </w:tc>
        <w:tc>
          <w:tcPr>
            <w:tcW w:w="8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t>
            </w:r>
          </w:p>
        </w:tc>
        <w:tc>
          <w:tcPr>
            <w:tcW w:w="20" w:type="dxa"/>
            <w:vAlign w:val="bottom"/>
          </w:tcPr>
          <w:p>
            <w:pPr>
              <w:spacing w:after="0"/>
              <w:rPr>
                <w:sz w:val="22"/>
                <w:szCs w:val="22"/>
                <w:color w:val="auto"/>
              </w:rPr>
            </w:pPr>
          </w:p>
        </w:tc>
      </w:tr>
      <w:tr>
        <w:trPr>
          <w:trHeight w:val="72"/>
        </w:trPr>
        <w:tc>
          <w:tcPr>
            <w:tcW w:w="2280" w:type="dxa"/>
            <w:vAlign w:val="bottom"/>
            <w:tcBorders>
              <w:bottom w:val="single" w:sz="8" w:color="auto"/>
              <w:right w:val="single" w:sz="8" w:color="auto"/>
            </w:tcBorders>
            <w:shd w:val="clear" w:color="auto" w:fill="E6E6E6"/>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6"/>
        </w:trPr>
        <w:tc>
          <w:tcPr>
            <w:tcW w:w="2280" w:type="dxa"/>
            <w:vAlign w:val="bottom"/>
            <w:tcBorders>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rPr>
              <w:t>Communication facilities</w:t>
            </w:r>
          </w:p>
        </w:tc>
        <w:tc>
          <w:tcPr>
            <w:tcW w:w="89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Voice and network access available</w:t>
            </w:r>
          </w:p>
        </w:tc>
        <w:tc>
          <w:tcPr>
            <w:tcW w:w="20" w:type="dxa"/>
            <w:vAlign w:val="bottom"/>
          </w:tcPr>
          <w:p>
            <w:pPr>
              <w:spacing w:after="0"/>
              <w:rPr>
                <w:sz w:val="22"/>
                <w:szCs w:val="22"/>
                <w:color w:val="auto"/>
              </w:rPr>
            </w:pPr>
          </w:p>
        </w:tc>
      </w:tr>
      <w:tr>
        <w:trPr>
          <w:trHeight w:val="76"/>
        </w:trPr>
        <w:tc>
          <w:tcPr>
            <w:tcW w:w="2280" w:type="dxa"/>
            <w:vAlign w:val="bottom"/>
            <w:tcBorders>
              <w:bottom w:val="single" w:sz="8" w:color="auto"/>
              <w:right w:val="single" w:sz="8" w:color="auto"/>
            </w:tcBorders>
            <w:shd w:val="clear" w:color="auto" w:fill="E6E6E6"/>
          </w:tcPr>
          <w:p>
            <w:pPr>
              <w:spacing w:after="0"/>
              <w:rPr>
                <w:sz w:val="6"/>
                <w:szCs w:val="6"/>
                <w:color w:val="auto"/>
              </w:rPr>
            </w:pPr>
          </w:p>
        </w:tc>
        <w:tc>
          <w:tcPr>
            <w:tcW w:w="8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64"/>
        </w:trPr>
        <w:tc>
          <w:tcPr>
            <w:tcW w:w="2280" w:type="dxa"/>
            <w:vAlign w:val="bottom"/>
            <w:tcBorders>
              <w:right w:val="single" w:sz="8" w:color="E6E6E6"/>
            </w:tcBorders>
            <w:shd w:val="clear" w:color="auto" w:fill="E6E6E6"/>
          </w:tcPr>
          <w:p>
            <w:pPr>
              <w:spacing w:after="0"/>
              <w:rPr>
                <w:sz w:val="22"/>
                <w:szCs w:val="22"/>
                <w:color w:val="auto"/>
              </w:rPr>
            </w:pPr>
          </w:p>
        </w:tc>
        <w:tc>
          <w:tcPr>
            <w:tcW w:w="8960" w:type="dxa"/>
            <w:vAlign w:val="bottom"/>
            <w:shd w:val="clear" w:color="auto" w:fill="E6E6E6"/>
          </w:tcPr>
          <w:p>
            <w:pPr>
              <w:ind w:left="2780"/>
              <w:spacing w:after="0"/>
              <w:rPr>
                <w:sz w:val="20"/>
                <w:szCs w:val="20"/>
                <w:color w:val="auto"/>
              </w:rPr>
            </w:pPr>
            <w:r>
              <w:rPr>
                <w:rFonts w:ascii="Times New Roman" w:cs="Times New Roman" w:eastAsia="Times New Roman" w:hAnsi="Times New Roman"/>
                <w:sz w:val="16"/>
                <w:szCs w:val="16"/>
                <w:color w:val="auto"/>
              </w:rPr>
              <w:t>Property Services</w:t>
            </w:r>
          </w:p>
        </w:tc>
        <w:tc>
          <w:tcPr>
            <w:tcW w:w="20" w:type="dxa"/>
            <w:vAlign w:val="bottom"/>
          </w:tcPr>
          <w:p>
            <w:pPr>
              <w:spacing w:after="0"/>
              <w:rPr>
                <w:sz w:val="22"/>
                <w:szCs w:val="22"/>
                <w:color w:val="auto"/>
              </w:rPr>
            </w:pPr>
          </w:p>
        </w:tc>
      </w:tr>
      <w:tr>
        <w:trPr>
          <w:trHeight w:val="84"/>
        </w:trPr>
        <w:tc>
          <w:tcPr>
            <w:tcW w:w="2280" w:type="dxa"/>
            <w:vAlign w:val="bottom"/>
            <w:tcBorders>
              <w:right w:val="single" w:sz="8" w:color="E6E6E6"/>
            </w:tcBorders>
            <w:shd w:val="clear" w:color="auto" w:fill="E6E6E6"/>
          </w:tcPr>
          <w:p>
            <w:pPr>
              <w:spacing w:after="0"/>
              <w:rPr>
                <w:sz w:val="7"/>
                <w:szCs w:val="7"/>
                <w:color w:val="auto"/>
              </w:rPr>
            </w:pPr>
          </w:p>
        </w:tc>
        <w:tc>
          <w:tcPr>
            <w:tcW w:w="8960" w:type="dxa"/>
            <w:vAlign w:val="bottom"/>
            <w:shd w:val="clear" w:color="auto" w:fill="E6E6E6"/>
          </w:tcPr>
          <w:p>
            <w:pPr>
              <w:spacing w:after="0"/>
              <w:rPr>
                <w:sz w:val="7"/>
                <w:szCs w:val="7"/>
                <w:color w:val="auto"/>
              </w:rPr>
            </w:pPr>
          </w:p>
        </w:tc>
        <w:tc>
          <w:tcPr>
            <w:tcW w:w="20" w:type="dxa"/>
            <w:vAlign w:val="bottom"/>
          </w:tcPr>
          <w:p>
            <w:pPr>
              <w:spacing w:after="0"/>
              <w:rPr>
                <w:sz w:val="7"/>
                <w:szCs w:val="7"/>
                <w:color w:val="auto"/>
              </w:rPr>
            </w:pPr>
          </w:p>
        </w:tc>
      </w:tr>
    </w:tbl>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Party B shall sign a separate property management contract with the property management company,execute according to the property management contract.</w:t>
      </w:r>
    </w:p>
    <w:p>
      <w:pPr>
        <w:spacing w:after="0" w:line="1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color w:val="auto"/>
        </w:rPr>
        <w:t>In-situ restoration standards</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Refer to Annex III of this Agreement: Standards for Restoration to Original Condition</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color w:val="auto"/>
        </w:rPr>
        <w:t>Annex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bond/Rental Property Fee Payment Schedule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380" w:type="dxa"/>
            <w:vAlign w:val="bottom"/>
            <w:tcBorders>
              <w:top w:val="single" w:sz="8" w:color="auto"/>
              <w:left w:val="single" w:sz="8" w:color="auto"/>
            </w:tcBorders>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Item</w:t>
            </w: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1200" w:type="dxa"/>
            <w:vAlign w:val="bottom"/>
            <w:tcBorders>
              <w:top w:val="single" w:sz="8" w:color="auto"/>
            </w:tcBorders>
          </w:tcPr>
          <w:p>
            <w:pPr>
              <w:jc w:val="center"/>
              <w:ind w:left="360"/>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480" w:type="dxa"/>
            <w:vAlign w:val="bottom"/>
            <w:tcBorders>
              <w:top w:val="single" w:sz="8" w:color="auto"/>
              <w:right w:val="single" w:sz="8" w:color="auto"/>
            </w:tcBorders>
          </w:tcPr>
          <w:p>
            <w:pPr>
              <w:spacing w:after="0"/>
              <w:rPr>
                <w:sz w:val="17"/>
                <w:szCs w:val="17"/>
                <w:color w:val="auto"/>
              </w:rPr>
            </w:pPr>
          </w:p>
        </w:tc>
        <w:tc>
          <w:tcPr>
            <w:tcW w:w="2020" w:type="dxa"/>
            <w:vAlign w:val="bottom"/>
            <w:tcBorders>
              <w:top w:val="single" w:sz="8" w:color="auto"/>
            </w:tcBorders>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Payable</w:t>
            </w:r>
          </w:p>
        </w:tc>
        <w:tc>
          <w:tcPr>
            <w:tcW w:w="220" w:type="dxa"/>
            <w:vAlign w:val="bottom"/>
            <w:tcBorders>
              <w:top w:val="single" w:sz="8" w:color="auto"/>
              <w:right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Duration</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Fees payable</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8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Deadline</w:t>
            </w:r>
          </w:p>
        </w:tc>
        <w:tc>
          <w:tcPr>
            <w:tcW w:w="2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rPr>
              <w:t>Start</w:t>
            </w:r>
          </w:p>
        </w:tc>
        <w:tc>
          <w:tcPr>
            <w:tcW w:w="2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End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0" w:type="dxa"/>
            <w:vAlign w:val="bottom"/>
          </w:tcPr>
          <w:p>
            <w:pPr>
              <w:spacing w:after="0"/>
              <w:rPr>
                <w:sz w:val="1"/>
                <w:szCs w:val="1"/>
                <w:color w:val="auto"/>
              </w:rPr>
            </w:pPr>
          </w:p>
        </w:tc>
      </w:tr>
      <w:tr>
        <w:trPr>
          <w:trHeight w:val="168"/>
        </w:trPr>
        <w:tc>
          <w:tcPr>
            <w:tcW w:w="2280" w:type="dxa"/>
            <w:vAlign w:val="bottom"/>
            <w:tcBorders>
              <w:left w:val="single" w:sz="8" w:color="auto"/>
              <w:right w:val="single" w:sz="8" w:color="auto"/>
            </w:tcBorders>
            <w:gridSpan w:val="3"/>
          </w:tcPr>
          <w:p>
            <w:pPr>
              <w:jc w:val="center"/>
              <w:ind w:right="20"/>
              <w:spacing w:after="0" w:line="168" w:lineRule="exact"/>
              <w:rPr>
                <w:sz w:val="20"/>
                <w:szCs w:val="20"/>
                <w:color w:val="auto"/>
              </w:rPr>
            </w:pPr>
            <w:r>
              <w:rPr>
                <w:rFonts w:ascii="Times New Roman" w:cs="Times New Roman" w:eastAsia="Times New Roman" w:hAnsi="Times New Roman"/>
                <w:sz w:val="16"/>
                <w:szCs w:val="16"/>
                <w:color w:val="auto"/>
              </w:rPr>
              <w:t>Performance bond</w:t>
            </w:r>
          </w:p>
        </w:tc>
        <w:tc>
          <w:tcPr>
            <w:tcW w:w="12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2020" w:type="dxa"/>
            <w:vAlign w:val="bottom"/>
            <w:gridSpan w:val="2"/>
          </w:tcPr>
          <w:p>
            <w:pPr>
              <w:jc w:val="center"/>
              <w:ind w:left="120"/>
              <w:spacing w:after="0" w:line="168" w:lineRule="exact"/>
              <w:rPr>
                <w:sz w:val="20"/>
                <w:szCs w:val="20"/>
                <w:color w:val="auto"/>
              </w:rPr>
            </w:pPr>
            <w:r>
              <w:rPr>
                <w:rFonts w:ascii="Times New Roman" w:cs="Times New Roman" w:eastAsia="Times New Roman" w:hAnsi="Times New Roman"/>
                <w:sz w:val="16"/>
                <w:szCs w:val="16"/>
                <w:color w:val="auto"/>
                <w:w w:val="99"/>
              </w:rPr>
              <w:t>Within 10 days after the</w:t>
            </w:r>
          </w:p>
        </w:tc>
        <w:tc>
          <w:tcPr>
            <w:tcW w:w="220" w:type="dxa"/>
            <w:vAlign w:val="bottom"/>
            <w:tcBorders>
              <w:right w:val="single" w:sz="8" w:color="auto"/>
            </w:tcBorders>
          </w:tcPr>
          <w:p>
            <w:pPr>
              <w:spacing w:after="0"/>
              <w:rPr>
                <w:sz w:val="14"/>
                <w:szCs w:val="14"/>
                <w:color w:val="auto"/>
              </w:rPr>
            </w:pPr>
          </w:p>
        </w:tc>
        <w:tc>
          <w:tcPr>
            <w:tcW w:w="1440" w:type="dxa"/>
            <w:vAlign w:val="bottom"/>
            <w:gridSpan w:val="2"/>
          </w:tcPr>
          <w:p>
            <w:pPr>
              <w:jc w:val="right"/>
              <w:ind w:right="160"/>
              <w:spacing w:after="0" w:line="168" w:lineRule="exact"/>
              <w:rPr>
                <w:sz w:val="20"/>
                <w:szCs w:val="20"/>
                <w:color w:val="auto"/>
              </w:rPr>
            </w:pPr>
            <w:r>
              <w:rPr>
                <w:rFonts w:ascii="Times New Roman" w:cs="Times New Roman" w:eastAsia="Times New Roman" w:hAnsi="Times New Roman"/>
                <w:sz w:val="16"/>
                <w:szCs w:val="16"/>
                <w:color w:val="auto"/>
              </w:rPr>
              <w:t>2024/12/31</w:t>
            </w:r>
          </w:p>
        </w:tc>
        <w:tc>
          <w:tcPr>
            <w:tcW w:w="26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gridSpan w:val="2"/>
          </w:tcPr>
          <w:p>
            <w:pPr>
              <w:jc w:val="right"/>
              <w:ind w:right="500"/>
              <w:spacing w:after="0" w:line="168" w:lineRule="exact"/>
              <w:rPr>
                <w:sz w:val="20"/>
                <w:szCs w:val="20"/>
                <w:color w:val="auto"/>
              </w:rPr>
            </w:pPr>
            <w:r>
              <w:rPr>
                <w:rFonts w:ascii="Times New Roman" w:cs="Times New Roman" w:eastAsia="Times New Roman" w:hAnsi="Times New Roman"/>
                <w:sz w:val="16"/>
                <w:szCs w:val="16"/>
                <w:color w:val="auto"/>
              </w:rPr>
              <w:t>2027/12/30</w:t>
            </w:r>
          </w:p>
        </w:tc>
        <w:tc>
          <w:tcPr>
            <w:tcW w:w="16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120,456</w:t>
            </w:r>
          </w:p>
        </w:tc>
        <w:tc>
          <w:tcPr>
            <w:tcW w:w="0" w:type="dxa"/>
            <w:vAlign w:val="bottom"/>
          </w:tcPr>
          <w:p>
            <w:pPr>
              <w:spacing w:after="0"/>
              <w:rPr>
                <w:sz w:val="1"/>
                <w:szCs w:val="1"/>
                <w:color w:val="auto"/>
              </w:rPr>
            </w:pPr>
          </w:p>
        </w:tc>
      </w:tr>
      <w:tr>
        <w:trPr>
          <w:trHeight w:val="209"/>
        </w:trPr>
        <w:tc>
          <w:tcPr>
            <w:tcW w:w="1380" w:type="dxa"/>
            <w:vAlign w:val="bottom"/>
            <w:tcBorders>
              <w:left w:val="single" w:sz="8" w:color="auto"/>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gridSpan w:val="2"/>
          </w:tcPr>
          <w:p>
            <w:pPr>
              <w:jc w:val="center"/>
              <w:ind w:left="120"/>
              <w:spacing w:after="0"/>
              <w:rPr>
                <w:sz w:val="20"/>
                <w:szCs w:val="20"/>
                <w:color w:val="auto"/>
              </w:rPr>
            </w:pPr>
            <w:r>
              <w:rPr>
                <w:rFonts w:ascii="Times New Roman" w:cs="Times New Roman" w:eastAsia="Times New Roman" w:hAnsi="Times New Roman"/>
                <w:sz w:val="16"/>
                <w:szCs w:val="16"/>
                <w:color w:val="auto"/>
              </w:rPr>
              <w:t>contract takes effect</w:t>
            </w:r>
          </w:p>
        </w:tc>
        <w:tc>
          <w:tcPr>
            <w:tcW w:w="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bottom w:val="single" w:sz="8" w:color="5B9BD5"/>
              <w:right w:val="single" w:sz="8" w:color="auto"/>
            </w:tcBorders>
            <w:vMerge w:val="restart"/>
            <w:shd w:val="clear" w:color="auto" w:fill="5B9BD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Item</w:t>
            </w:r>
          </w:p>
        </w:tc>
        <w:tc>
          <w:tcPr>
            <w:tcW w:w="780" w:type="dxa"/>
            <w:vAlign w:val="bottom"/>
            <w:tcBorders>
              <w:bottom w:val="single" w:sz="8" w:color="5B9BD5"/>
              <w:right w:val="single" w:sz="8" w:color="auto"/>
            </w:tcBorders>
            <w:shd w:val="clear" w:color="auto" w:fill="5B9BD5"/>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Borders>
              <w:bottom w:val="single" w:sz="8" w:color="5B9BD5"/>
              <w:right w:val="single" w:sz="8" w:color="5B9BD5"/>
            </w:tcBorders>
            <w:shd w:val="clear" w:color="auto" w:fill="5B9BD5"/>
          </w:tcPr>
          <w:p>
            <w:pPr>
              <w:spacing w:after="0"/>
              <w:rPr>
                <w:sz w:val="16"/>
                <w:szCs w:val="16"/>
                <w:color w:val="auto"/>
              </w:rPr>
            </w:pPr>
          </w:p>
        </w:tc>
        <w:tc>
          <w:tcPr>
            <w:tcW w:w="3420" w:type="dxa"/>
            <w:vAlign w:val="bottom"/>
            <w:tcBorders>
              <w:bottom w:val="single" w:sz="8" w:color="5B9BD5"/>
              <w:right w:val="single" w:sz="8" w:color="auto"/>
            </w:tcBorders>
            <w:gridSpan w:val="3"/>
            <w:vMerge w:val="restart"/>
            <w:shd w:val="clear" w:color="auto" w:fill="5B9BD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Payable Deadline</w:t>
            </w:r>
          </w:p>
        </w:tc>
        <w:tc>
          <w:tcPr>
            <w:tcW w:w="280" w:type="dxa"/>
            <w:vAlign w:val="bottom"/>
            <w:tcBorders>
              <w:bottom w:val="single" w:sz="8" w:color="auto"/>
            </w:tcBorders>
            <w:shd w:val="clear" w:color="auto" w:fill="5B9BD5"/>
          </w:tcPr>
          <w:p>
            <w:pPr>
              <w:spacing w:after="0"/>
              <w:rPr>
                <w:sz w:val="16"/>
                <w:szCs w:val="16"/>
                <w:color w:val="auto"/>
              </w:rPr>
            </w:pPr>
          </w:p>
        </w:tc>
        <w:tc>
          <w:tcPr>
            <w:tcW w:w="220" w:type="dxa"/>
            <w:vAlign w:val="bottom"/>
            <w:tcBorders>
              <w:bottom w:val="single" w:sz="8" w:color="auto"/>
              <w:right w:val="single" w:sz="8" w:color="5B9BD5"/>
            </w:tcBorders>
            <w:shd w:val="clear" w:color="auto" w:fill="5B9BD5"/>
          </w:tcPr>
          <w:p>
            <w:pPr>
              <w:spacing w:after="0"/>
              <w:rPr>
                <w:sz w:val="16"/>
                <w:szCs w:val="16"/>
                <w:color w:val="auto"/>
              </w:rPr>
            </w:pPr>
          </w:p>
        </w:tc>
        <w:tc>
          <w:tcPr>
            <w:tcW w:w="1440" w:type="dxa"/>
            <w:vAlign w:val="bottom"/>
            <w:tcBorders>
              <w:bottom w:val="single" w:sz="8" w:color="auto"/>
            </w:tcBorders>
            <w:gridSpan w:val="2"/>
            <w:shd w:val="clear" w:color="auto" w:fill="5B9BD5"/>
          </w:tcPr>
          <w:p>
            <w:pPr>
              <w:ind w:left="760"/>
              <w:spacing w:after="0"/>
              <w:rPr>
                <w:sz w:val="20"/>
                <w:szCs w:val="20"/>
                <w:color w:val="auto"/>
              </w:rPr>
            </w:pPr>
            <w:r>
              <w:rPr>
                <w:rFonts w:ascii="Times New Roman" w:cs="Times New Roman" w:eastAsia="Times New Roman" w:hAnsi="Times New Roman"/>
                <w:sz w:val="16"/>
                <w:szCs w:val="16"/>
                <w:b w:val="1"/>
                <w:bCs w:val="1"/>
                <w:color w:val="auto"/>
              </w:rPr>
              <w:t>Duration</w:t>
            </w:r>
          </w:p>
        </w:tc>
        <w:tc>
          <w:tcPr>
            <w:tcW w:w="260" w:type="dxa"/>
            <w:vAlign w:val="bottom"/>
            <w:tcBorders>
              <w:bottom w:val="single" w:sz="8" w:color="auto"/>
              <w:right w:val="single" w:sz="8" w:color="5B9BD5"/>
            </w:tcBorders>
            <w:shd w:val="clear" w:color="auto" w:fill="5B9BD5"/>
          </w:tcPr>
          <w:p>
            <w:pPr>
              <w:spacing w:after="0"/>
              <w:rPr>
                <w:sz w:val="16"/>
                <w:szCs w:val="16"/>
                <w:color w:val="auto"/>
              </w:rPr>
            </w:pPr>
          </w:p>
        </w:tc>
        <w:tc>
          <w:tcPr>
            <w:tcW w:w="960" w:type="dxa"/>
            <w:vAlign w:val="bottom"/>
            <w:tcBorders>
              <w:bottom w:val="single" w:sz="8" w:color="auto"/>
              <w:right w:val="single" w:sz="8" w:color="auto"/>
            </w:tcBorders>
            <w:shd w:val="clear" w:color="auto" w:fill="5B9BD5"/>
          </w:tcPr>
          <w:p>
            <w:pPr>
              <w:spacing w:after="0"/>
              <w:rPr>
                <w:sz w:val="16"/>
                <w:szCs w:val="16"/>
                <w:color w:val="auto"/>
              </w:rPr>
            </w:pPr>
          </w:p>
        </w:tc>
        <w:tc>
          <w:tcPr>
            <w:tcW w:w="720" w:type="dxa"/>
            <w:vAlign w:val="bottom"/>
            <w:tcBorders>
              <w:bottom w:val="single" w:sz="8" w:color="5B9BD5"/>
              <w:right w:val="single" w:sz="8" w:color="5B9BD5"/>
            </w:tcBorders>
            <w:shd w:val="clear" w:color="auto" w:fill="5B9BD5"/>
          </w:tcPr>
          <w:p>
            <w:pPr>
              <w:spacing w:after="0"/>
              <w:rPr>
                <w:sz w:val="16"/>
                <w:szCs w:val="16"/>
                <w:color w:val="auto"/>
              </w:rPr>
            </w:pPr>
          </w:p>
        </w:tc>
        <w:tc>
          <w:tcPr>
            <w:tcW w:w="1680" w:type="dxa"/>
            <w:vAlign w:val="bottom"/>
            <w:tcBorders>
              <w:bottom w:val="single" w:sz="8" w:color="5B9BD5"/>
              <w:right w:val="single" w:sz="8" w:color="auto"/>
            </w:tcBorders>
            <w:vMerge w:val="restart"/>
            <w:shd w:val="clear" w:color="auto" w:fill="5B9BD5"/>
          </w:tcPr>
          <w:p>
            <w:pPr>
              <w:ind w:left="20"/>
              <w:spacing w:after="0"/>
              <w:rPr>
                <w:sz w:val="20"/>
                <w:szCs w:val="20"/>
                <w:color w:val="auto"/>
              </w:rPr>
            </w:pPr>
            <w:r>
              <w:rPr>
                <w:rFonts w:ascii="Times New Roman" w:cs="Times New Roman" w:eastAsia="Times New Roman" w:hAnsi="Times New Roman"/>
                <w:sz w:val="16"/>
                <w:szCs w:val="16"/>
                <w:b w:val="1"/>
                <w:bCs w:val="1"/>
                <w:color w:val="auto"/>
              </w:rPr>
              <w:t>Rent payable</w:t>
            </w:r>
          </w:p>
        </w:tc>
        <w:tc>
          <w:tcPr>
            <w:tcW w:w="0" w:type="dxa"/>
            <w:vAlign w:val="bottom"/>
          </w:tcPr>
          <w:p>
            <w:pPr>
              <w:spacing w:after="0"/>
              <w:rPr>
                <w:sz w:val="1"/>
                <w:szCs w:val="1"/>
                <w:color w:val="auto"/>
              </w:rPr>
            </w:pPr>
          </w:p>
        </w:tc>
      </w:tr>
      <w:tr>
        <w:trPr>
          <w:trHeight w:val="76"/>
        </w:trPr>
        <w:tc>
          <w:tcPr>
            <w:tcW w:w="1380" w:type="dxa"/>
            <w:vAlign w:val="bottom"/>
            <w:tcBorders>
              <w:left w:val="single" w:sz="8" w:color="auto"/>
              <w:right w:val="single" w:sz="8" w:color="auto"/>
            </w:tcBorders>
            <w:vMerge w:val="continue"/>
            <w:shd w:val="clear" w:color="auto" w:fill="5B9BD5"/>
          </w:tcPr>
          <w:p>
            <w:pPr>
              <w:spacing w:after="0"/>
              <w:rPr>
                <w:sz w:val="6"/>
                <w:szCs w:val="6"/>
                <w:color w:val="auto"/>
              </w:rPr>
            </w:pPr>
          </w:p>
        </w:tc>
        <w:tc>
          <w:tcPr>
            <w:tcW w:w="780" w:type="dxa"/>
            <w:vAlign w:val="bottom"/>
            <w:tcBorders>
              <w:right w:val="single" w:sz="8" w:color="auto"/>
            </w:tcBorders>
            <w:vMerge w:val="restart"/>
            <w:shd w:val="clear" w:color="auto" w:fill="5B9BD5"/>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120" w:type="dxa"/>
            <w:vAlign w:val="bottom"/>
            <w:tcBorders>
              <w:right w:val="single" w:sz="8" w:color="5B9BD5"/>
            </w:tcBorders>
            <w:shd w:val="clear" w:color="auto" w:fill="5B9BD5"/>
          </w:tcPr>
          <w:p>
            <w:pPr>
              <w:spacing w:after="0"/>
              <w:rPr>
                <w:sz w:val="6"/>
                <w:szCs w:val="6"/>
                <w:color w:val="auto"/>
              </w:rPr>
            </w:pPr>
          </w:p>
        </w:tc>
        <w:tc>
          <w:tcPr>
            <w:tcW w:w="3420" w:type="dxa"/>
            <w:vAlign w:val="bottom"/>
            <w:tcBorders>
              <w:right w:val="single" w:sz="8" w:color="auto"/>
            </w:tcBorders>
            <w:gridSpan w:val="3"/>
            <w:vMerge w:val="continue"/>
            <w:shd w:val="clear" w:color="auto" w:fill="5B9BD5"/>
          </w:tcPr>
          <w:p>
            <w:pPr>
              <w:spacing w:after="0"/>
              <w:rPr>
                <w:sz w:val="6"/>
                <w:szCs w:val="6"/>
                <w:color w:val="auto"/>
              </w:rPr>
            </w:pPr>
          </w:p>
        </w:tc>
        <w:tc>
          <w:tcPr>
            <w:tcW w:w="280" w:type="dxa"/>
            <w:vAlign w:val="bottom"/>
            <w:shd w:val="clear" w:color="auto" w:fill="5B9BD5"/>
          </w:tcPr>
          <w:p>
            <w:pPr>
              <w:spacing w:after="0"/>
              <w:rPr>
                <w:sz w:val="6"/>
                <w:szCs w:val="6"/>
                <w:color w:val="auto"/>
              </w:rPr>
            </w:pPr>
          </w:p>
        </w:tc>
        <w:tc>
          <w:tcPr>
            <w:tcW w:w="220" w:type="dxa"/>
            <w:vAlign w:val="bottom"/>
            <w:tcBorders>
              <w:right w:val="single" w:sz="8" w:color="5B9BD5"/>
            </w:tcBorders>
            <w:shd w:val="clear" w:color="auto" w:fill="5B9BD5"/>
          </w:tcPr>
          <w:p>
            <w:pPr>
              <w:spacing w:after="0"/>
              <w:rPr>
                <w:sz w:val="6"/>
                <w:szCs w:val="6"/>
                <w:color w:val="auto"/>
              </w:rPr>
            </w:pPr>
          </w:p>
        </w:tc>
        <w:tc>
          <w:tcPr>
            <w:tcW w:w="1080" w:type="dxa"/>
            <w:vAlign w:val="bottom"/>
            <w:tcBorders>
              <w:right w:val="single" w:sz="8" w:color="auto"/>
            </w:tcBorders>
            <w:vMerge w:val="restart"/>
            <w:shd w:val="clear" w:color="auto" w:fill="5B9BD5"/>
          </w:tcPr>
          <w:p>
            <w:pPr>
              <w:ind w:left="100"/>
              <w:spacing w:after="0"/>
              <w:rPr>
                <w:sz w:val="20"/>
                <w:szCs w:val="20"/>
                <w:color w:val="auto"/>
              </w:rPr>
            </w:pPr>
            <w:r>
              <w:rPr>
                <w:rFonts w:ascii="Times New Roman" w:cs="Times New Roman" w:eastAsia="Times New Roman" w:hAnsi="Times New Roman"/>
                <w:sz w:val="16"/>
                <w:szCs w:val="16"/>
                <w:b w:val="1"/>
                <w:bCs w:val="1"/>
                <w:color w:val="auto"/>
              </w:rPr>
              <w:t>Start</w:t>
            </w:r>
          </w:p>
        </w:tc>
        <w:tc>
          <w:tcPr>
            <w:tcW w:w="360" w:type="dxa"/>
            <w:vAlign w:val="bottom"/>
            <w:shd w:val="clear" w:color="auto" w:fill="5B9BD5"/>
          </w:tcPr>
          <w:p>
            <w:pPr>
              <w:spacing w:after="0"/>
              <w:rPr>
                <w:sz w:val="6"/>
                <w:szCs w:val="6"/>
                <w:color w:val="auto"/>
              </w:rPr>
            </w:pPr>
          </w:p>
        </w:tc>
        <w:tc>
          <w:tcPr>
            <w:tcW w:w="260" w:type="dxa"/>
            <w:vAlign w:val="bottom"/>
            <w:tcBorders>
              <w:right w:val="single" w:sz="8" w:color="5B9BD5"/>
            </w:tcBorders>
            <w:shd w:val="clear" w:color="auto" w:fill="5B9BD5"/>
          </w:tcPr>
          <w:p>
            <w:pPr>
              <w:spacing w:after="0"/>
              <w:rPr>
                <w:sz w:val="6"/>
                <w:szCs w:val="6"/>
                <w:color w:val="auto"/>
              </w:rPr>
            </w:pPr>
          </w:p>
        </w:tc>
        <w:tc>
          <w:tcPr>
            <w:tcW w:w="960" w:type="dxa"/>
            <w:vAlign w:val="bottom"/>
            <w:tcBorders>
              <w:right w:val="single" w:sz="8" w:color="auto"/>
            </w:tcBorders>
            <w:vMerge w:val="restart"/>
            <w:shd w:val="clear" w:color="auto" w:fill="5B9BD5"/>
          </w:tcPr>
          <w:p>
            <w:pPr>
              <w:ind w:left="20"/>
              <w:spacing w:after="0"/>
              <w:rPr>
                <w:sz w:val="20"/>
                <w:szCs w:val="20"/>
                <w:color w:val="auto"/>
              </w:rPr>
            </w:pPr>
            <w:r>
              <w:rPr>
                <w:rFonts w:ascii="Times New Roman" w:cs="Times New Roman" w:eastAsia="Times New Roman" w:hAnsi="Times New Roman"/>
                <w:sz w:val="16"/>
                <w:szCs w:val="16"/>
                <w:b w:val="1"/>
                <w:bCs w:val="1"/>
                <w:color w:val="auto"/>
              </w:rPr>
              <w:t>End</w:t>
            </w:r>
          </w:p>
        </w:tc>
        <w:tc>
          <w:tcPr>
            <w:tcW w:w="720" w:type="dxa"/>
            <w:vAlign w:val="bottom"/>
            <w:tcBorders>
              <w:right w:val="single" w:sz="8" w:color="5B9BD5"/>
            </w:tcBorders>
            <w:shd w:val="clear" w:color="auto" w:fill="5B9BD5"/>
          </w:tcPr>
          <w:p>
            <w:pPr>
              <w:spacing w:after="0"/>
              <w:rPr>
                <w:sz w:val="6"/>
                <w:szCs w:val="6"/>
                <w:color w:val="auto"/>
              </w:rPr>
            </w:pPr>
          </w:p>
        </w:tc>
        <w:tc>
          <w:tcPr>
            <w:tcW w:w="1680" w:type="dxa"/>
            <w:vAlign w:val="bottom"/>
            <w:tcBorders>
              <w:right w:val="single" w:sz="8" w:color="auto"/>
            </w:tcBorders>
            <w:vMerge w:val="continue"/>
            <w:shd w:val="clear" w:color="auto" w:fill="5B9BD5"/>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bottom w:val="single" w:sz="8" w:color="auto"/>
              <w:right w:val="single" w:sz="8" w:color="auto"/>
            </w:tcBorders>
            <w:shd w:val="clear" w:color="auto" w:fill="5B9BD5"/>
          </w:tcPr>
          <w:p>
            <w:pPr>
              <w:spacing w:after="0"/>
              <w:rPr>
                <w:sz w:val="9"/>
                <w:szCs w:val="9"/>
                <w:color w:val="auto"/>
              </w:rPr>
            </w:pPr>
          </w:p>
        </w:tc>
        <w:tc>
          <w:tcPr>
            <w:tcW w:w="780" w:type="dxa"/>
            <w:vAlign w:val="bottom"/>
            <w:tcBorders>
              <w:bottom w:val="single" w:sz="8" w:color="auto"/>
              <w:right w:val="single" w:sz="8" w:color="auto"/>
            </w:tcBorders>
            <w:vMerge w:val="continue"/>
            <w:shd w:val="clear" w:color="auto" w:fill="5B9BD5"/>
          </w:tcPr>
          <w:p>
            <w:pPr>
              <w:spacing w:after="0"/>
              <w:rPr>
                <w:sz w:val="9"/>
                <w:szCs w:val="9"/>
                <w:color w:val="auto"/>
              </w:rPr>
            </w:pPr>
          </w:p>
        </w:tc>
        <w:tc>
          <w:tcPr>
            <w:tcW w:w="120" w:type="dxa"/>
            <w:vAlign w:val="bottom"/>
            <w:tcBorders>
              <w:bottom w:val="single" w:sz="8" w:color="auto"/>
              <w:right w:val="single" w:sz="8" w:color="5B9BD5"/>
            </w:tcBorders>
            <w:shd w:val="clear" w:color="auto" w:fill="5B9BD5"/>
          </w:tcPr>
          <w:p>
            <w:pPr>
              <w:spacing w:after="0"/>
              <w:rPr>
                <w:sz w:val="9"/>
                <w:szCs w:val="9"/>
                <w:color w:val="auto"/>
              </w:rPr>
            </w:pPr>
          </w:p>
        </w:tc>
        <w:tc>
          <w:tcPr>
            <w:tcW w:w="1200" w:type="dxa"/>
            <w:vAlign w:val="bottom"/>
            <w:tcBorders>
              <w:bottom w:val="single" w:sz="8" w:color="auto"/>
            </w:tcBorders>
            <w:shd w:val="clear" w:color="auto" w:fill="5B9BD5"/>
          </w:tcPr>
          <w:p>
            <w:pPr>
              <w:spacing w:after="0"/>
              <w:rPr>
                <w:sz w:val="9"/>
                <w:szCs w:val="9"/>
                <w:color w:val="auto"/>
              </w:rPr>
            </w:pPr>
          </w:p>
        </w:tc>
        <w:tc>
          <w:tcPr>
            <w:tcW w:w="480" w:type="dxa"/>
            <w:vAlign w:val="bottom"/>
            <w:tcBorders>
              <w:bottom w:val="single" w:sz="8" w:color="auto"/>
              <w:right w:val="single" w:sz="8" w:color="5B9BD5"/>
            </w:tcBorders>
            <w:shd w:val="clear" w:color="auto" w:fill="5B9BD5"/>
          </w:tcPr>
          <w:p>
            <w:pPr>
              <w:spacing w:after="0"/>
              <w:rPr>
                <w:sz w:val="9"/>
                <w:szCs w:val="9"/>
                <w:color w:val="auto"/>
              </w:rPr>
            </w:pPr>
          </w:p>
        </w:tc>
        <w:tc>
          <w:tcPr>
            <w:tcW w:w="1740" w:type="dxa"/>
            <w:vAlign w:val="bottom"/>
            <w:tcBorders>
              <w:bottom w:val="single" w:sz="8" w:color="auto"/>
              <w:right w:val="single" w:sz="8" w:color="auto"/>
            </w:tcBorders>
            <w:shd w:val="clear" w:color="auto" w:fill="5B9BD5"/>
          </w:tcPr>
          <w:p>
            <w:pPr>
              <w:spacing w:after="0"/>
              <w:rPr>
                <w:sz w:val="9"/>
                <w:szCs w:val="9"/>
                <w:color w:val="auto"/>
              </w:rPr>
            </w:pPr>
          </w:p>
        </w:tc>
        <w:tc>
          <w:tcPr>
            <w:tcW w:w="280" w:type="dxa"/>
            <w:vAlign w:val="bottom"/>
            <w:tcBorders>
              <w:bottom w:val="single" w:sz="8" w:color="auto"/>
            </w:tcBorders>
            <w:shd w:val="clear" w:color="auto" w:fill="5B9BD5"/>
          </w:tcPr>
          <w:p>
            <w:pPr>
              <w:spacing w:after="0"/>
              <w:rPr>
                <w:sz w:val="9"/>
                <w:szCs w:val="9"/>
                <w:color w:val="auto"/>
              </w:rPr>
            </w:pPr>
          </w:p>
        </w:tc>
        <w:tc>
          <w:tcPr>
            <w:tcW w:w="220" w:type="dxa"/>
            <w:vAlign w:val="bottom"/>
            <w:tcBorders>
              <w:bottom w:val="single" w:sz="8" w:color="auto"/>
              <w:right w:val="single" w:sz="8" w:color="5B9BD5"/>
            </w:tcBorders>
            <w:shd w:val="clear" w:color="auto" w:fill="5B9BD5"/>
          </w:tcPr>
          <w:p>
            <w:pPr>
              <w:spacing w:after="0"/>
              <w:rPr>
                <w:sz w:val="9"/>
                <w:szCs w:val="9"/>
                <w:color w:val="auto"/>
              </w:rPr>
            </w:pPr>
          </w:p>
        </w:tc>
        <w:tc>
          <w:tcPr>
            <w:tcW w:w="1080" w:type="dxa"/>
            <w:vAlign w:val="bottom"/>
            <w:tcBorders>
              <w:bottom w:val="single" w:sz="8" w:color="auto"/>
              <w:right w:val="single" w:sz="8" w:color="auto"/>
            </w:tcBorders>
            <w:vMerge w:val="continue"/>
            <w:shd w:val="clear" w:color="auto" w:fill="5B9BD5"/>
          </w:tcPr>
          <w:p>
            <w:pPr>
              <w:spacing w:after="0"/>
              <w:rPr>
                <w:sz w:val="9"/>
                <w:szCs w:val="9"/>
                <w:color w:val="auto"/>
              </w:rPr>
            </w:pPr>
          </w:p>
        </w:tc>
        <w:tc>
          <w:tcPr>
            <w:tcW w:w="360" w:type="dxa"/>
            <w:vAlign w:val="bottom"/>
            <w:tcBorders>
              <w:bottom w:val="single" w:sz="8" w:color="auto"/>
            </w:tcBorders>
            <w:shd w:val="clear" w:color="auto" w:fill="5B9BD5"/>
          </w:tcPr>
          <w:p>
            <w:pPr>
              <w:spacing w:after="0"/>
              <w:rPr>
                <w:sz w:val="9"/>
                <w:szCs w:val="9"/>
                <w:color w:val="auto"/>
              </w:rPr>
            </w:pPr>
          </w:p>
        </w:tc>
        <w:tc>
          <w:tcPr>
            <w:tcW w:w="260" w:type="dxa"/>
            <w:vAlign w:val="bottom"/>
            <w:tcBorders>
              <w:bottom w:val="single" w:sz="8" w:color="auto"/>
              <w:right w:val="single" w:sz="8" w:color="5B9BD5"/>
            </w:tcBorders>
            <w:shd w:val="clear" w:color="auto" w:fill="5B9BD5"/>
          </w:tcPr>
          <w:p>
            <w:pPr>
              <w:spacing w:after="0"/>
              <w:rPr>
                <w:sz w:val="9"/>
                <w:szCs w:val="9"/>
                <w:color w:val="auto"/>
              </w:rPr>
            </w:pPr>
          </w:p>
        </w:tc>
        <w:tc>
          <w:tcPr>
            <w:tcW w:w="960" w:type="dxa"/>
            <w:vAlign w:val="bottom"/>
            <w:tcBorders>
              <w:bottom w:val="single" w:sz="8" w:color="auto"/>
              <w:right w:val="single" w:sz="8" w:color="auto"/>
            </w:tcBorders>
            <w:vMerge w:val="continue"/>
            <w:shd w:val="clear" w:color="auto" w:fill="5B9BD5"/>
          </w:tcPr>
          <w:p>
            <w:pPr>
              <w:spacing w:after="0"/>
              <w:rPr>
                <w:sz w:val="9"/>
                <w:szCs w:val="9"/>
                <w:color w:val="auto"/>
              </w:rPr>
            </w:pPr>
          </w:p>
        </w:tc>
        <w:tc>
          <w:tcPr>
            <w:tcW w:w="720" w:type="dxa"/>
            <w:vAlign w:val="bottom"/>
            <w:tcBorders>
              <w:bottom w:val="single" w:sz="8" w:color="auto"/>
              <w:right w:val="single" w:sz="8" w:color="5B9BD5"/>
            </w:tcBorders>
            <w:shd w:val="clear" w:color="auto" w:fill="5B9BD5"/>
          </w:tcPr>
          <w:p>
            <w:pPr>
              <w:spacing w:after="0"/>
              <w:rPr>
                <w:sz w:val="9"/>
                <w:szCs w:val="9"/>
                <w:color w:val="auto"/>
              </w:rPr>
            </w:pPr>
          </w:p>
        </w:tc>
        <w:tc>
          <w:tcPr>
            <w:tcW w:w="1680" w:type="dxa"/>
            <w:vAlign w:val="bottom"/>
            <w:tcBorders>
              <w:bottom w:val="single" w:sz="8" w:color="auto"/>
              <w:right w:val="single" w:sz="8" w:color="auto"/>
            </w:tcBorders>
            <w:shd w:val="clear" w:color="auto" w:fill="5B9BD5"/>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Within 10 days after the contract takes effect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2024/12/31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2025/3/31</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122,131</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2025/3/15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2025/4/1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2025/6/30</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2025/6/15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2025/7/1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2025/9/30</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2025/9/15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2025/10/1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2025/12/31</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2025/12/15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2026/1/1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2026/3/31</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Rent Property Fee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2026/3/15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2026/4/1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2026/6/30</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76"/>
        </w:trPr>
        <w:tc>
          <w:tcPr>
            <w:tcW w:w="1380" w:type="dxa"/>
            <w:vAlign w:val="bottom"/>
            <w:tcBorders>
              <w:left w:val="single" w:sz="8" w:color="auto"/>
              <w:right w:val="single" w:sz="8" w:color="auto"/>
            </w:tcBorders>
            <w:vMerge w:val="continue"/>
          </w:tcPr>
          <w:p>
            <w:pPr>
              <w:spacing w:after="0"/>
              <w:rPr>
                <w:sz w:val="6"/>
                <w:szCs w:val="6"/>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20" w:type="dxa"/>
            <w:vAlign w:val="bottom"/>
            <w:tcBorders>
              <w:right w:val="single" w:sz="8" w:color="auto"/>
            </w:tcBorders>
            <w:gridSpan w:val="2"/>
            <w:vMerge w:val="restart"/>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2026/6/15</w:t>
            </w:r>
          </w:p>
        </w:tc>
        <w:tc>
          <w:tcPr>
            <w:tcW w:w="28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2026/7/1</w:t>
            </w:r>
          </w:p>
        </w:tc>
        <w:tc>
          <w:tcPr>
            <w:tcW w:w="360" w:type="dxa"/>
            <w:vAlign w:val="bottom"/>
          </w:tcPr>
          <w:p>
            <w:pPr>
              <w:spacing w:after="0"/>
              <w:rPr>
                <w:sz w:val="6"/>
                <w:szCs w:val="6"/>
                <w:color w:val="auto"/>
              </w:rPr>
            </w:pPr>
          </w:p>
        </w:tc>
        <w:tc>
          <w:tcPr>
            <w:tcW w:w="122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2026/9/30</w:t>
            </w:r>
          </w:p>
        </w:tc>
        <w:tc>
          <w:tcPr>
            <w:tcW w:w="720" w:type="dxa"/>
            <w:vAlign w:val="bottom"/>
          </w:tcPr>
          <w:p>
            <w:pPr>
              <w:spacing w:after="0"/>
              <w:rPr>
                <w:sz w:val="6"/>
                <w:szCs w:val="6"/>
                <w:color w:val="auto"/>
              </w:rPr>
            </w:pPr>
          </w:p>
        </w:tc>
        <w:tc>
          <w:tcPr>
            <w:tcW w:w="1680" w:type="dxa"/>
            <w:vAlign w:val="bottom"/>
            <w:tcBorders>
              <w:right w:val="single" w:sz="8" w:color="auto"/>
            </w:tcBorders>
            <w:vMerge w:val="restart"/>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08"/>
        </w:trPr>
        <w:tc>
          <w:tcPr>
            <w:tcW w:w="1380" w:type="dxa"/>
            <w:vAlign w:val="bottom"/>
            <w:tcBorders>
              <w:left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220" w:type="dxa"/>
            <w:vAlign w:val="bottom"/>
            <w:tcBorders>
              <w:bottom w:val="single" w:sz="8" w:color="auto"/>
              <w:right w:val="single" w:sz="8" w:color="auto"/>
            </w:tcBorders>
            <w:gridSpan w:val="2"/>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gridSpan w:val="2"/>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2026/9/15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2026/10/1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2026/12/31</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2026/12/15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2027/1/1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2027/3/31</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2027/3/15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2027/4/1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2027/6/30</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2027/6/15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2027/7/1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2027/9/30</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gridSpan w:val="2"/>
          </w:tcPr>
          <w:p>
            <w:pPr>
              <w:jc w:val="center"/>
              <w:ind w:right="1260"/>
              <w:spacing w:after="0"/>
              <w:rPr>
                <w:sz w:val="20"/>
                <w:szCs w:val="20"/>
                <w:color w:val="auto"/>
              </w:rPr>
            </w:pPr>
            <w:r>
              <w:rPr>
                <w:rFonts w:ascii="Times New Roman" w:cs="Times New Roman" w:eastAsia="Times New Roman" w:hAnsi="Times New Roman"/>
                <w:sz w:val="16"/>
                <w:szCs w:val="16"/>
                <w:color w:val="auto"/>
                <w:w w:val="98"/>
              </w:rPr>
              <w:t>2027/9/15</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2027/10/1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2027/12/30</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80"/>
              <w:spacing w:after="0"/>
              <w:rPr>
                <w:sz w:val="20"/>
                <w:szCs w:val="20"/>
                <w:color w:val="auto"/>
              </w:rPr>
            </w:pPr>
            <w:r>
              <w:rPr>
                <w:rFonts w:ascii="Times New Roman" w:cs="Times New Roman" w:eastAsia="Times New Roman" w:hAnsi="Times New Roman"/>
                <w:sz w:val="16"/>
                <w:szCs w:val="16"/>
                <w:color w:val="auto"/>
                <w:w w:val="99"/>
              </w:rPr>
              <w:t>122,129</w:t>
            </w:r>
          </w:p>
        </w:tc>
        <w:tc>
          <w:tcPr>
            <w:tcW w:w="0" w:type="dxa"/>
            <w:vAlign w:val="bottom"/>
          </w:tcPr>
          <w:p>
            <w:pPr>
              <w:spacing w:after="0"/>
              <w:rPr>
                <w:sz w:val="1"/>
                <w:szCs w:val="1"/>
                <w:color w:val="auto"/>
              </w:rPr>
            </w:pPr>
          </w:p>
        </w:tc>
      </w:tr>
      <w:tr>
        <w:trPr>
          <w:trHeight w:val="184"/>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660"/>
              <w:spacing w:after="0"/>
              <w:rPr>
                <w:sz w:val="20"/>
                <w:szCs w:val="20"/>
                <w:color w:val="auto"/>
              </w:rPr>
            </w:pPr>
            <w:r>
              <w:rPr>
                <w:rFonts w:ascii="Times New Roman" w:cs="Times New Roman" w:eastAsia="Times New Roman" w:hAnsi="Times New Roman"/>
                <w:sz w:val="16"/>
                <w:szCs w:val="16"/>
                <w:color w:val="auto"/>
              </w:rPr>
              <w:t>1,465,550.00</w:t>
            </w:r>
          </w:p>
        </w:tc>
        <w:tc>
          <w:tcPr>
            <w:tcW w:w="0" w:type="dxa"/>
            <w:vAlign w:val="bottom"/>
          </w:tcPr>
          <w:p>
            <w:pPr>
              <w:spacing w:after="0"/>
              <w:rPr>
                <w:sz w:val="1"/>
                <w:szCs w:val="1"/>
                <w:color w:val="auto"/>
              </w:rPr>
            </w:pPr>
          </w:p>
        </w:tc>
      </w:tr>
      <w:tr>
        <w:trPr>
          <w:trHeight w:val="573"/>
        </w:trPr>
        <w:tc>
          <w:tcPr>
            <w:tcW w:w="1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16" w:right="319" w:bottom="1440" w:gutter="0" w:footer="0" w:header="0"/>
        </w:sectPr>
      </w:pPr>
    </w:p>
    <w:bookmarkStart w:id="252" w:name="page253"/>
    <w:bookmarkEnd w:id="252"/>
    <w:p>
      <w:pPr>
        <w:ind w:left="4"/>
        <w:spacing w:after="0"/>
        <w:rPr>
          <w:sz w:val="20"/>
          <w:szCs w:val="20"/>
          <w:color w:val="auto"/>
        </w:rPr>
      </w:pPr>
      <w:r>
        <w:rPr>
          <w:rFonts w:ascii="Times New Roman" w:cs="Times New Roman" w:eastAsia="Times New Roman" w:hAnsi="Times New Roman"/>
          <w:sz w:val="16"/>
          <w:szCs w:val="16"/>
          <w:color w:val="auto"/>
        </w:rPr>
        <w:t>Remarks:</w:t>
      </w:r>
    </w:p>
    <w:p>
      <w:pPr>
        <w:spacing w:after="0" w:line="201" w:lineRule="exact"/>
        <w:rPr>
          <w:sz w:val="20"/>
          <w:szCs w:val="20"/>
          <w:color w:val="auto"/>
        </w:rPr>
      </w:pPr>
    </w:p>
    <w:p>
      <w:pPr>
        <w:jc w:val="both"/>
        <w:ind w:left="4" w:hanging="4"/>
        <w:spacing w:after="0" w:line="255" w:lineRule="auto"/>
        <w:tabs>
          <w:tab w:leader="none" w:pos="16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view of the agreement signed by Party A, Party B, and Dalian Software Park Rongyuan Development Co., Ltd. on March 19, 2024, which stipulates a performance bond of 217,747.71 yuan, and this contract stipulates a performance bond of 120,456 yuan, both parties agree to offset the performance bond stipulated in this contract from the performance bond stipulated in the agreement, and Party B does not need to pay. After this contract comes into effect, Party A shall issue a performance bond receipt to Party B for an amount of 120,456 yuan, and Party B shall return the performance bond receipt for the amount of 217,747.71 yuan stipulated in the agreement to Party A. The difference between the two performance bonds shall be part of the first installment rent of this contract. Party B shall pay the remaining first installment rent to Party A within</w:t>
      </w:r>
    </w:p>
    <w:p>
      <w:pPr>
        <w:spacing w:after="0" w:line="1" w:lineRule="exact"/>
        <w:rPr>
          <w:rFonts w:ascii="Times New Roman" w:cs="Times New Roman" w:eastAsia="Times New Roman" w:hAnsi="Times New Roman"/>
          <w:sz w:val="16"/>
          <w:szCs w:val="16"/>
          <w:color w:val="auto"/>
        </w:rPr>
      </w:pPr>
    </w:p>
    <w:p>
      <w:pPr>
        <w:ind w:left="204" w:hanging="204"/>
        <w:spacing w:after="0"/>
        <w:tabs>
          <w:tab w:leader="none" w:pos="20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the effective date of this contract, and Party A shall issue an invoice for the first installment rent of RMB 122,131 to Party B.</w:t>
      </w:r>
    </w:p>
    <w:p>
      <w:pPr>
        <w:spacing w:after="0" w:line="184" w:lineRule="exact"/>
        <w:rPr>
          <w:rFonts w:ascii="Times New Roman" w:cs="Times New Roman" w:eastAsia="Times New Roman" w:hAnsi="Times New Roman"/>
          <w:sz w:val="16"/>
          <w:szCs w:val="16"/>
          <w:color w:val="auto"/>
        </w:rPr>
      </w:pPr>
    </w:p>
    <w:p>
      <w:pPr>
        <w:ind w:left="4" w:right="20" w:hanging="4"/>
        <w:spacing w:after="0" w:line="283" w:lineRule="auto"/>
        <w:tabs>
          <w:tab w:leader="none" w:pos="17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Rent is calculated based on a payment cycle of every three months. Except for the initial rent, Party B shall pay Party A the rent for the remaining periods in accordance with the “Rent Payment Details Table”.</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15 days after confirming receipt of all rent for each representative period, Party A shall provide Party B with a valid invoice of equal amount. If Party B pays by wire transfer, the time when Party A confirms receipt of the rent shall be based on the date when the bank issues the wire transfer voucher.</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Payee: Dalian Metro Construction Co., Ltd.</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Bank: Construction Bank Dalian Branch Business Department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Payment account for performance bond: 21201501400059008888-0001</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Payment account for rent: 21201501400059008888-0002</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16" w:right="3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6"/>
          <w:szCs w:val="16"/>
          <w:color w:val="auto"/>
        </w:rPr>
        <w:t>Annex III.</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In-situ restoration standards</w:t>
      </w:r>
    </w:p>
    <w:p>
      <w:pPr>
        <w:spacing w:after="0" w:line="203" w:lineRule="exact"/>
        <w:rPr>
          <w:sz w:val="20"/>
          <w:szCs w:val="20"/>
          <w:color w:val="auto"/>
        </w:rPr>
      </w:pPr>
    </w:p>
    <w:p>
      <w:pPr>
        <w:spacing w:after="0" w:line="195" w:lineRule="exact"/>
        <w:rPr>
          <w:sz w:val="20"/>
          <w:szCs w:val="20"/>
          <w:color w:val="auto"/>
        </w:rPr>
      </w:pPr>
      <w:r>
        <w:rPr>
          <w:rFonts w:ascii="SimSun" w:cs="SimSun" w:eastAsia="SimSun" w:hAnsi="SimSun"/>
          <w:sz w:val="16"/>
          <w:szCs w:val="16"/>
          <w:color w:val="auto"/>
        </w:rPr>
        <w:t>一、</w:t>
      </w:r>
      <w:r>
        <w:rPr>
          <w:rFonts w:ascii="Times New Roman" w:cs="Times New Roman" w:eastAsia="Times New Roman" w:hAnsi="Times New Roman"/>
          <w:sz w:val="16"/>
          <w:szCs w:val="16"/>
          <w:color w:val="auto"/>
        </w:rPr>
        <w:t>Civil, renovation component.</w:t>
      </w:r>
    </w:p>
    <w:p>
      <w:pPr>
        <w:spacing w:after="0" w:line="238" w:lineRule="exact"/>
        <w:rPr>
          <w:sz w:val="20"/>
          <w:szCs w:val="20"/>
          <w:color w:val="auto"/>
        </w:rPr>
      </w:pPr>
    </w:p>
    <w:p>
      <w:pPr>
        <w:ind w:left="860" w:hanging="287"/>
        <w:spacing w:after="0" w:line="283" w:lineRule="auto"/>
        <w:tabs>
          <w:tab w:leader="none" w:pos="8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Flooring: removal of carpets (floor coverings, flooring, partitions, etc.), removal of ground penetrations, etc., restoration to concrete floors and ensuring that the floors are level and free of glue stains.</w:t>
      </w:r>
    </w:p>
    <w:p>
      <w:pPr>
        <w:spacing w:after="0" w:line="167"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Walls: surface potholes and holes filled in, large white walls need to be treated as a whole and restored to a white wall with a neat, even colour and no run-off etc.</w:t>
      </w:r>
    </w:p>
    <w:p>
      <w:pPr>
        <w:spacing w:after="0" w:line="224"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Shed surface: flat keel, neat and undamaged mineral wool board (mineral wool board using the original brand of the building or a brand of the same grade).</w:t>
      </w:r>
    </w:p>
    <w:p>
      <w:pPr>
        <w:spacing w:after="0" w:line="224"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doors and windows should be removed, and doors and windows should be opened, closed and locked properly, and the glass should be clean and tidy; changes to the building’s architecture and structure should be restored to the original state of the building.</w:t>
      </w:r>
    </w:p>
    <w:p>
      <w:pPr>
        <w:spacing w:after="0" w:line="167" w:lineRule="exact"/>
        <w:rPr>
          <w:sz w:val="20"/>
          <w:szCs w:val="20"/>
          <w:color w:val="auto"/>
        </w:rPr>
      </w:pPr>
    </w:p>
    <w:p>
      <w:pPr>
        <w:spacing w:after="0" w:line="195" w:lineRule="exact"/>
        <w:rPr>
          <w:sz w:val="20"/>
          <w:szCs w:val="20"/>
          <w:color w:val="auto"/>
        </w:rPr>
      </w:pPr>
      <w:r>
        <w:rPr>
          <w:rFonts w:ascii="SimSun" w:cs="SimSun" w:eastAsia="SimSun" w:hAnsi="SimSun"/>
          <w:sz w:val="16"/>
          <w:szCs w:val="16"/>
          <w:color w:val="auto"/>
        </w:rPr>
        <w:t>二、</w:t>
      </w:r>
      <w:r>
        <w:rPr>
          <w:rFonts w:ascii="Times New Roman" w:cs="Times New Roman" w:eastAsia="Times New Roman" w:hAnsi="Times New Roman"/>
          <w:sz w:val="16"/>
          <w:szCs w:val="16"/>
          <w:color w:val="auto"/>
        </w:rPr>
        <w:t>Electrical section.</w:t>
      </w:r>
    </w:p>
    <w:p>
      <w:pPr>
        <w:spacing w:after="0" w:line="238" w:lineRule="exact"/>
        <w:rPr>
          <w:sz w:val="20"/>
          <w:szCs w:val="20"/>
          <w:color w:val="auto"/>
        </w:rPr>
      </w:pPr>
    </w:p>
    <w:p>
      <w:pPr>
        <w:jc w:val="both"/>
        <w:ind w:left="860" w:hanging="287"/>
        <w:spacing w:after="0" w:line="267" w:lineRule="auto"/>
        <w:tabs>
          <w:tab w:leader="none" w:pos="8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grille lights that are displaced are restored to their original position in the building (with reference to the original drawings of the building, the replacement grille lights are restored to the original brand of the building or to a brand of the same grade), the installation is smooth and the fluorescent tubes are bright and neat.</w:t>
      </w:r>
    </w:p>
    <w:p>
      <w:pPr>
        <w:spacing w:after="0" w:line="179"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hangers of the relocated grilles are secure, properly fixed and free from looseness and shaking.</w:t>
      </w:r>
    </w:p>
    <w:p>
      <w:pPr>
        <w:spacing w:after="0" w:line="224"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roof and wall strong and weak power lines finishing, to ensure that the lines are in the line groove, line pipe, no exposed lines, line pipe, line groove fixed well, across the earth wire connection is secure and reasonable.</w:t>
      </w:r>
    </w:p>
    <w:p>
      <w:pPr>
        <w:spacing w:after="0" w:line="167"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the wiring in the distribution box is regular, the air switch is normal and tidy, and the distribution box meets the requirements of the building.</w:t>
      </w:r>
    </w:p>
    <w:p>
      <w:pPr>
        <w:spacing w:after="0" w:line="224"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Wall switches (relocated switches restored to the building’s original position) are in working order and tidy.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54" w:name="page255"/>
    <w:bookmarkEnd w:id="254"/>
    <w:p>
      <w:pPr>
        <w:spacing w:after="0" w:line="195" w:lineRule="exact"/>
        <w:rPr>
          <w:sz w:val="20"/>
          <w:szCs w:val="20"/>
          <w:color w:val="auto"/>
        </w:rPr>
      </w:pPr>
      <w:r>
        <w:rPr>
          <w:rFonts w:ascii="SimSun" w:cs="SimSun" w:eastAsia="SimSun" w:hAnsi="SimSun"/>
          <w:sz w:val="16"/>
          <w:szCs w:val="16"/>
          <w:color w:val="auto"/>
        </w:rPr>
        <w:t>三、</w:t>
      </w:r>
      <w:r>
        <w:rPr>
          <w:rFonts w:ascii="Times New Roman" w:cs="Times New Roman" w:eastAsia="Times New Roman" w:hAnsi="Times New Roman"/>
          <w:sz w:val="16"/>
          <w:szCs w:val="16"/>
          <w:color w:val="auto"/>
        </w:rPr>
        <w:t>Air conditioning section.</w:t>
      </w:r>
    </w:p>
    <w:p>
      <w:pPr>
        <w:spacing w:after="0" w:line="238" w:lineRule="exact"/>
        <w:rPr>
          <w:sz w:val="20"/>
          <w:szCs w:val="20"/>
          <w:color w:val="auto"/>
        </w:rPr>
      </w:pPr>
    </w:p>
    <w:p>
      <w:pPr>
        <w:ind w:left="860" w:hanging="287"/>
        <w:spacing w:after="0" w:line="283" w:lineRule="auto"/>
        <w:tabs>
          <w:tab w:leader="none" w:pos="8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Displacement of fan coils (ceiling-mounted multi-connector panels), restoration of air outlet positions to the original position in the building (refer to the original drawings of the building) and ensuring that the return air outlet filters are clean.</w:t>
      </w:r>
    </w:p>
    <w:p>
      <w:pPr>
        <w:spacing w:after="0" w:line="167"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Displacement of the three-speed switch to its original position in the building (the replacement three-speed switch is restored to the original brand of the building or to a brand of the same grade) and to ensure that its various control switches are in order and that the panel is tidy.</w:t>
      </w:r>
    </w:p>
    <w:p>
      <w:pPr>
        <w:spacing w:after="0" w:line="167"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fan coil motor starts, stops and changes speed normally, without any unusual noise.</w:t>
      </w:r>
    </w:p>
    <w:p>
      <w:pPr>
        <w:spacing w:after="0" w:line="225" w:lineRule="exact"/>
        <w:rPr>
          <w:sz w:val="20"/>
          <w:szCs w:val="20"/>
          <w:color w:val="auto"/>
        </w:rPr>
      </w:pPr>
    </w:p>
    <w:p>
      <w:pPr>
        <w:spacing w:after="0" w:line="195" w:lineRule="exact"/>
        <w:rPr>
          <w:sz w:val="20"/>
          <w:szCs w:val="20"/>
          <w:color w:val="auto"/>
        </w:rPr>
      </w:pPr>
      <w:r>
        <w:rPr>
          <w:rFonts w:ascii="SimSun" w:cs="SimSun" w:eastAsia="SimSun" w:hAnsi="SimSun"/>
          <w:sz w:val="16"/>
          <w:szCs w:val="16"/>
          <w:color w:val="auto"/>
        </w:rPr>
        <w:t>四、</w:t>
      </w:r>
      <w:r>
        <w:rPr>
          <w:rFonts w:ascii="Times New Roman" w:cs="Times New Roman" w:eastAsia="Times New Roman" w:hAnsi="Times New Roman"/>
          <w:sz w:val="16"/>
          <w:szCs w:val="16"/>
          <w:color w:val="auto"/>
        </w:rPr>
        <w:t>Firefighting section.</w:t>
      </w:r>
    </w:p>
    <w:p>
      <w:pPr>
        <w:spacing w:after="0" w:line="238" w:lineRule="exact"/>
        <w:rPr>
          <w:sz w:val="20"/>
          <w:szCs w:val="20"/>
          <w:color w:val="auto"/>
        </w:rPr>
      </w:pPr>
    </w:p>
    <w:p>
      <w:pPr>
        <w:ind w:left="860" w:hanging="287"/>
        <w:spacing w:after="0"/>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Restore the building to its original position after spraying has been moved to meet fire protection requirements, free from dirt and leaks.</w:t>
      </w:r>
    </w:p>
    <w:p>
      <w:pPr>
        <w:spacing w:after="0" w:line="224"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Modified fire protection pipework to meet fire protection requirements, with reasonable hanger configurations, firm and free from leaks.</w:t>
      </w:r>
    </w:p>
    <w:p>
      <w:pPr>
        <w:spacing w:after="0" w:line="224" w:lineRule="exact"/>
        <w:rPr>
          <w:rFonts w:ascii="Times New Roman" w:cs="Times New Roman" w:eastAsia="Times New Roman" w:hAnsi="Times New Roman"/>
          <w:sz w:val="16"/>
          <w:szCs w:val="16"/>
          <w:color w:val="auto"/>
        </w:rPr>
      </w:pPr>
    </w:p>
    <w:p>
      <w:pPr>
        <w:ind w:left="860" w:hanging="287"/>
        <w:spacing w:after="0" w:line="283" w:lineRule="auto"/>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smoke sensor is relocated and restored to its original position in the building (the new additional smoke sensor is removed and restored to the original logic of the original fire mainframe in the building) to meet the fire protection requirements, and the smoke signal and feedback is normal.</w:t>
      </w:r>
    </w:p>
    <w:p>
      <w:pPr>
        <w:spacing w:after="0" w:line="167" w:lineRule="exact"/>
        <w:rPr>
          <w:rFonts w:ascii="Times New Roman" w:cs="Times New Roman" w:eastAsia="Times New Roman" w:hAnsi="Times New Roman"/>
          <w:sz w:val="16"/>
          <w:szCs w:val="16"/>
          <w:color w:val="auto"/>
        </w:rPr>
      </w:pPr>
    </w:p>
    <w:p>
      <w:pPr>
        <w:ind w:left="860" w:hanging="287"/>
        <w:spacing w:after="0"/>
        <w:tabs>
          <w:tab w:leader="none" w:pos="8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layout of the room after restoration meets the requirements of the fire code.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color w:val="auto"/>
        </w:rPr>
        <w:t>Note: The above standard descriptions are subject to the original drawings of the building if they are not exhaustive.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137795</wp:posOffset>
            </wp:positionV>
            <wp:extent cx="4505325" cy="60706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6">
                      <a:extLst>
                        <a:ext uri="{28A0092B-C50C-407E-A947-70E740481C1C}"/>
                      </a:extLst>
                    </a:blip>
                    <a:srcRect/>
                    <a:stretch>
                      <a:fillRect/>
                    </a:stretch>
                  </pic:blipFill>
                  <pic:spPr bwMode="auto">
                    <a:xfrm>
                      <a:off x="0" y="0"/>
                      <a:ext cx="4505325" cy="6070600"/>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type w:val="continuous"/>
        </w:sectPr>
      </w:pPr>
    </w:p>
    <w:bookmarkStart w:id="256" w:name="page257"/>
    <w:bookmarkEnd w:id="256"/>
    <w:p>
      <w:pPr>
        <w:jc w:val="right"/>
        <w:spacing w:after="0"/>
        <w:rPr>
          <w:sz w:val="20"/>
          <w:szCs w:val="20"/>
          <w:color w:val="auto"/>
        </w:rPr>
      </w:pPr>
      <w:r>
        <w:rPr>
          <w:rFonts w:ascii="Times New Roman" w:cs="Times New Roman" w:eastAsia="Times New Roman" w:hAnsi="Times New Roman"/>
          <w:sz w:val="16"/>
          <w:szCs w:val="16"/>
          <w:b w:val="1"/>
          <w:bCs w:val="1"/>
          <w:color w:val="auto"/>
        </w:rPr>
        <w:t>Exhibit 10.11</w:t>
      </w:r>
    </w:p>
    <w:p>
      <w:pPr>
        <w:spacing w:after="0" w:line="27" w:lineRule="exact"/>
        <w:rPr>
          <w:sz w:val="20"/>
          <w:szCs w:val="20"/>
          <w:color w:val="auto"/>
        </w:rPr>
      </w:pPr>
    </w:p>
    <w:p>
      <w:pPr>
        <w:ind w:left="5924"/>
        <w:spacing w:after="0"/>
        <w:rPr>
          <w:sz w:val="20"/>
          <w:szCs w:val="20"/>
          <w:color w:val="auto"/>
        </w:rPr>
      </w:pPr>
      <w:r>
        <w:rPr>
          <w:rFonts w:ascii="Times New Roman" w:cs="Times New Roman" w:eastAsia="Times New Roman" w:hAnsi="Times New Roman"/>
          <w:sz w:val="16"/>
          <w:szCs w:val="16"/>
          <w:b w:val="1"/>
          <w:bCs w:val="1"/>
          <w:color w:val="auto"/>
        </w:rPr>
        <w:t>NO.</w:t>
      </w:r>
    </w:p>
    <w:p>
      <w:pPr>
        <w:spacing w:after="0" w:line="206"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16"/>
          <w:szCs w:val="16"/>
          <w:b w:val="1"/>
          <w:bCs w:val="1"/>
          <w:color w:val="auto"/>
        </w:rPr>
        <w:t>Guangzhou Fengxing Plaza office lease contract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Lessor: </w:t>
      </w:r>
      <w:r>
        <w:rPr>
          <w:rFonts w:ascii="Times New Roman" w:cs="Times New Roman" w:eastAsia="Times New Roman" w:hAnsi="Times New Roman"/>
          <w:sz w:val="16"/>
          <w:szCs w:val="16"/>
          <w:u w:val="single" w:color="auto"/>
          <w:color w:val="auto"/>
        </w:rPr>
        <w:t>Guangzhou Fengwei Decoration Engineering Co., Ltd.</w:t>
      </w:r>
      <w:r>
        <w:rPr>
          <w:rFonts w:ascii="Times New Roman" w:cs="Times New Roman" w:eastAsia="Times New Roman" w:hAnsi="Times New Roman"/>
          <w:sz w:val="16"/>
          <w:szCs w:val="16"/>
          <w:color w:val="auto"/>
        </w:rPr>
        <w:t xml:space="preserve"> (hereinafter referred to as Party A)</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Address: </w:t>
      </w:r>
      <w:r>
        <w:rPr>
          <w:rFonts w:ascii="Times New Roman" w:cs="Times New Roman" w:eastAsia="Times New Roman" w:hAnsi="Times New Roman"/>
          <w:sz w:val="16"/>
          <w:szCs w:val="16"/>
          <w:u w:val="single" w:color="auto"/>
          <w:color w:val="auto"/>
        </w:rPr>
        <w:t>2807, No. 67, Tianhe East Road, Tianhe District, Guangzhou</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Tel: </w:t>
      </w:r>
      <w:r>
        <w:rPr>
          <w:rFonts w:ascii="Times New Roman" w:cs="Times New Roman" w:eastAsia="Times New Roman" w:hAnsi="Times New Roman"/>
          <w:sz w:val="16"/>
          <w:szCs w:val="16"/>
          <w:u w:val="single" w:color="auto"/>
          <w:color w:val="auto"/>
        </w:rPr>
        <w:t>020-38394333</w:t>
      </w:r>
      <w:r>
        <w:rPr>
          <w:rFonts w:ascii="Times New Roman" w:cs="Times New Roman" w:eastAsia="Times New Roman" w:hAnsi="Times New Roman"/>
          <w:sz w:val="16"/>
          <w:szCs w:val="16"/>
          <w:color w:val="auto"/>
        </w:rPr>
        <w:t xml:space="preserve"> Postal Code: </w:t>
      </w:r>
      <w:r>
        <w:rPr>
          <w:rFonts w:ascii="Times New Roman" w:cs="Times New Roman" w:eastAsia="Times New Roman" w:hAnsi="Times New Roman"/>
          <w:sz w:val="16"/>
          <w:szCs w:val="16"/>
          <w:u w:val="single" w:color="auto"/>
          <w:color w:val="auto"/>
        </w:rPr>
        <w:t>510620</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Legal representative: </w:t>
      </w:r>
      <w:r>
        <w:rPr>
          <w:rFonts w:ascii="Times New Roman" w:cs="Times New Roman" w:eastAsia="Times New Roman" w:hAnsi="Times New Roman"/>
          <w:sz w:val="16"/>
          <w:szCs w:val="16"/>
          <w:u w:val="single" w:color="auto"/>
          <w:color w:val="auto"/>
        </w:rPr>
        <w:t>Li Buyun</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Lessee: </w:t>
      </w:r>
      <w:r>
        <w:rPr>
          <w:rFonts w:ascii="Times New Roman" w:cs="Times New Roman" w:eastAsia="Times New Roman" w:hAnsi="Times New Roman"/>
          <w:sz w:val="16"/>
          <w:szCs w:val="16"/>
          <w:u w:val="single" w:color="auto"/>
          <w:color w:val="auto"/>
        </w:rPr>
        <w:t>CLPS Guangzhou Co., Ltd.</w:t>
      </w:r>
      <w:r>
        <w:rPr>
          <w:rFonts w:ascii="Times New Roman" w:cs="Times New Roman" w:eastAsia="Times New Roman" w:hAnsi="Times New Roman"/>
          <w:sz w:val="16"/>
          <w:szCs w:val="16"/>
          <w:color w:val="auto"/>
        </w:rPr>
        <w:t xml:space="preserve"> (hereinafter referred to as Party B)</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Address: </w:t>
      </w:r>
      <w:r>
        <w:rPr>
          <w:rFonts w:ascii="Times New Roman" w:cs="Times New Roman" w:eastAsia="Times New Roman" w:hAnsi="Times New Roman"/>
          <w:sz w:val="16"/>
          <w:szCs w:val="16"/>
          <w:u w:val="single" w:color="auto"/>
          <w:color w:val="auto"/>
        </w:rPr>
        <w:t>Unit 01-11, 20th floor, No. 67 Tianhe East Road, Tianhe District, Guangzhou</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Tel: </w:t>
      </w:r>
      <w:r>
        <w:rPr>
          <w:rFonts w:ascii="Times New Roman" w:cs="Times New Roman" w:eastAsia="Times New Roman" w:hAnsi="Times New Roman"/>
          <w:sz w:val="16"/>
          <w:szCs w:val="16"/>
          <w:u w:val="single" w:color="auto"/>
          <w:color w:val="auto"/>
        </w:rPr>
        <w:t>020-38068088</w:t>
      </w:r>
      <w:r>
        <w:rPr>
          <w:rFonts w:ascii="Times New Roman" w:cs="Times New Roman" w:eastAsia="Times New Roman" w:hAnsi="Times New Roman"/>
          <w:sz w:val="16"/>
          <w:szCs w:val="16"/>
          <w:color w:val="auto"/>
        </w:rPr>
        <w:t xml:space="preserve"> Postal Code: </w:t>
      </w:r>
      <w:r>
        <w:rPr>
          <w:rFonts w:ascii="Times New Roman" w:cs="Times New Roman" w:eastAsia="Times New Roman" w:hAnsi="Times New Roman"/>
          <w:sz w:val="16"/>
          <w:szCs w:val="16"/>
          <w:u w:val="single" w:color="auto"/>
          <w:color w:val="auto"/>
        </w:rPr>
        <w:t>510620</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representative</w:t>
      </w:r>
      <w:r>
        <w:rPr>
          <w:rFonts w:ascii="Times New Roman" w:cs="Times New Roman" w:eastAsia="Times New Roman" w:hAnsi="Times New Roman"/>
          <w:sz w:val="16"/>
          <w:szCs w:val="16"/>
          <w:u w:val="single" w:color="auto"/>
          <w:color w:val="auto"/>
        </w:rPr>
        <w:t>: Yang Xiaofeng</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Contact person and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-17145</wp:posOffset>
            </wp:positionV>
            <wp:extent cx="71247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8">
                      <a:extLst>
                        <a:ext uri="{28A0092B-C50C-407E-A947-70E740481C1C}"/>
                      </a:extLst>
                    </a:blip>
                    <a:srcRect/>
                    <a:stretch>
                      <a:fillRect/>
                    </a:stretch>
                  </pic:blipFill>
                  <pic:spPr bwMode="auto">
                    <a:xfrm>
                      <a:off x="0" y="0"/>
                      <a:ext cx="712470" cy="7620"/>
                    </a:xfrm>
                    <a:prstGeom prst="rect">
                      <a:avLst/>
                    </a:prstGeom>
                    <a:noFill/>
                  </pic:spPr>
                </pic:pic>
              </a:graphicData>
            </a:graphic>
          </wp:anchor>
        </w:drawing>
      </w:r>
    </w:p>
    <w:p>
      <w:pPr>
        <w:spacing w:after="0" w:line="164" w:lineRule="exact"/>
        <w:rPr>
          <w:sz w:val="20"/>
          <w:szCs w:val="20"/>
          <w:color w:val="auto"/>
        </w:rPr>
      </w:pPr>
    </w:p>
    <w:p>
      <w:pPr>
        <w:ind w:left="384"/>
        <w:spacing w:after="0"/>
        <w:rPr>
          <w:sz w:val="20"/>
          <w:szCs w:val="20"/>
          <w:color w:val="auto"/>
        </w:rPr>
      </w:pPr>
      <w:r>
        <w:rPr>
          <w:rFonts w:ascii="Times New Roman" w:cs="Times New Roman" w:eastAsia="Times New Roman" w:hAnsi="Times New Roman"/>
          <w:sz w:val="16"/>
          <w:szCs w:val="16"/>
          <w:color w:val="auto"/>
        </w:rPr>
        <w:t>Through friendly negotiation, both parties hereby enter into this contract with respect to Party B’s lease of Party A’s premises for mutual compliance.</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 Name, address and size of the premises.</w:t>
      </w:r>
    </w:p>
    <w:p>
      <w:pPr>
        <w:spacing w:after="0" w:line="201"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u w:val="single" w:color="auto"/>
          <w:color w:val="auto"/>
        </w:rPr>
        <w:t>Unit 01-11, 20th Floor, No. 67 Tianhe East Road, Tianhe District, Guangzhou</w:t>
      </w:r>
      <w:r>
        <w:rPr>
          <w:rFonts w:ascii="Times New Roman" w:cs="Times New Roman" w:eastAsia="Times New Roman" w:hAnsi="Times New Roman"/>
          <w:sz w:val="16"/>
          <w:szCs w:val="16"/>
          <w:color w:val="auto"/>
        </w:rPr>
        <w:t xml:space="preserve"> (hereinafter referred to as “the house”, see Annex 3 for details, the drawing is for general identification purposes only and does not show the size of the house). The house has a rented floor area of </w:t>
      </w:r>
      <w:r>
        <w:rPr>
          <w:rFonts w:ascii="Times New Roman" w:cs="Times New Roman" w:eastAsia="Times New Roman" w:hAnsi="Times New Roman"/>
          <w:sz w:val="16"/>
          <w:szCs w:val="16"/>
          <w:u w:val="single" w:color="auto"/>
          <w:color w:val="auto"/>
        </w:rPr>
        <w:t>2354.13</w:t>
      </w:r>
      <w:r>
        <w:rPr>
          <w:rFonts w:ascii="Times New Roman" w:cs="Times New Roman" w:eastAsia="Times New Roman" w:hAnsi="Times New Roman"/>
          <w:sz w:val="16"/>
          <w:szCs w:val="16"/>
          <w:color w:val="auto"/>
        </w:rPr>
        <w:t xml:space="preserve"> square meters.</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2 Usage</w:t>
      </w:r>
    </w:p>
    <w:p>
      <w:pPr>
        <w:spacing w:after="0" w:line="201"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6"/>
          <w:szCs w:val="16"/>
          <w:color w:val="auto"/>
        </w:rPr>
        <w:t xml:space="preserve">The house is rented to Party B for office use. The name of Party B’s business in this house is </w:t>
      </w:r>
      <w:r>
        <w:rPr>
          <w:rFonts w:ascii="Times New Roman" w:cs="Times New Roman" w:eastAsia="Times New Roman" w:hAnsi="Times New Roman"/>
          <w:sz w:val="16"/>
          <w:szCs w:val="16"/>
          <w:u w:val="single" w:color="auto"/>
          <w:color w:val="auto"/>
        </w:rPr>
        <w:t>CLPS Guangzhou Co., Ltd.</w:t>
      </w:r>
      <w:r>
        <w:rPr>
          <w:rFonts w:ascii="Times New Roman" w:cs="Times New Roman" w:eastAsia="Times New Roman" w:hAnsi="Times New Roman"/>
          <w:sz w:val="16"/>
          <w:szCs w:val="16"/>
          <w:color w:val="auto"/>
        </w:rPr>
        <w:t xml:space="preserve">,Its business scope is </w:t>
      </w:r>
      <w:r>
        <w:rPr>
          <w:rFonts w:ascii="Times New Roman" w:cs="Times New Roman" w:eastAsia="Times New Roman" w:hAnsi="Times New Roman"/>
          <w:sz w:val="16"/>
          <w:szCs w:val="16"/>
          <w:u w:val="single" w:color="auto"/>
          <w:color w:val="auto"/>
        </w:rPr>
        <w:t>software and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technology services</w:t>
      </w:r>
      <w:r>
        <w:rPr>
          <w:rFonts w:ascii="Times New Roman" w:cs="Times New Roman" w:eastAsia="Times New Roman" w:hAnsi="Times New Roman"/>
          <w:sz w:val="16"/>
          <w:szCs w:val="16"/>
          <w:color w:val="auto"/>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3 Lease Period</w:t>
      </w:r>
    </w:p>
    <w:p>
      <w:pPr>
        <w:spacing w:after="0" w:line="201" w:lineRule="exact"/>
        <w:rPr>
          <w:sz w:val="20"/>
          <w:szCs w:val="20"/>
          <w:color w:val="auto"/>
        </w:rPr>
      </w:pPr>
    </w:p>
    <w:p>
      <w:pPr>
        <w:jc w:val="both"/>
        <w:ind w:left="4" w:hanging="4"/>
        <w:spacing w:after="0" w:line="261" w:lineRule="auto"/>
        <w:tabs>
          <w:tab w:leader="none" w:pos="16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leases the house for a contract period of </w:t>
      </w:r>
      <w:r>
        <w:rPr>
          <w:rFonts w:ascii="Times New Roman" w:cs="Times New Roman" w:eastAsia="Times New Roman" w:hAnsi="Times New Roman"/>
          <w:sz w:val="16"/>
          <w:szCs w:val="16"/>
          <w:u w:val="single" w:color="auto"/>
          <w:color w:val="auto"/>
        </w:rPr>
        <w:t>40</w:t>
      </w:r>
      <w:r>
        <w:rPr>
          <w:rFonts w:ascii="Times New Roman" w:cs="Times New Roman" w:eastAsia="Times New Roman" w:hAnsi="Times New Roman"/>
          <w:sz w:val="16"/>
          <w:szCs w:val="16"/>
          <w:color w:val="auto"/>
        </w:rPr>
        <w:t xml:space="preserve"> months from the start date of the lease period, from </w:t>
      </w:r>
      <w:r>
        <w:rPr>
          <w:rFonts w:ascii="Times New Roman" w:cs="Times New Roman" w:eastAsia="Times New Roman" w:hAnsi="Times New Roman"/>
          <w:sz w:val="16"/>
          <w:szCs w:val="16"/>
          <w:u w:val="single" w:color="auto"/>
          <w:color w:val="auto"/>
        </w:rPr>
        <w:t>October 15, 2023</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February 14, 2027</w:t>
      </w:r>
      <w:r>
        <w:rPr>
          <w:rFonts w:ascii="Times New Roman" w:cs="Times New Roman" w:eastAsia="Times New Roman" w:hAnsi="Times New Roman"/>
          <w:sz w:val="16"/>
          <w:szCs w:val="16"/>
          <w:color w:val="auto"/>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372745</wp:posOffset>
            </wp:positionV>
            <wp:extent cx="7147560" cy="152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257" w:name="page258"/>
    <w:bookmarkEnd w:id="257"/>
    <w:p>
      <w:pPr>
        <w:ind w:left="4" w:right="20" w:hanging="4"/>
        <w:spacing w:after="0" w:line="283" w:lineRule="auto"/>
        <w:tabs>
          <w:tab w:leader="none" w:pos="17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the lease contract, neither party may unilaterally cancel or terminate the lease contract, except in the circumstances where the contract can be terminated as stipulated by law and the lease contract.</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4 Rent</w:t>
      </w:r>
    </w:p>
    <w:p>
      <w:pPr>
        <w:spacing w:after="0" w:line="213" w:lineRule="exact"/>
        <w:rPr>
          <w:sz w:val="20"/>
          <w:szCs w:val="20"/>
          <w:color w:val="auto"/>
        </w:rPr>
      </w:pPr>
    </w:p>
    <w:p>
      <w:pPr>
        <w:ind w:left="4" w:right="20" w:hanging="4"/>
        <w:spacing w:after="0" w:line="206" w:lineRule="exact"/>
        <w:tabs>
          <w:tab w:leader="none" w:pos="164"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B’s monthly rent for renting the house is RMB: </w:t>
      </w:r>
      <w:r>
        <w:rPr>
          <w:rFonts w:ascii="Times New Roman" w:cs="Times New Roman" w:eastAsia="Times New Roman" w:hAnsi="Times New Roman"/>
          <w:sz w:val="16"/>
          <w:szCs w:val="16"/>
          <w:u w:val="single" w:color="auto"/>
          <w:color w:val="auto"/>
        </w:rPr>
        <w:t>247,184.00</w:t>
      </w:r>
      <w:r>
        <w:rPr>
          <w:rFonts w:ascii="Times New Roman" w:cs="Times New Roman" w:eastAsia="Times New Roman" w:hAnsi="Times New Roman"/>
          <w:sz w:val="16"/>
          <w:szCs w:val="16"/>
          <w:color w:val="auto"/>
        </w:rPr>
        <w:t xml:space="preserve"> </w:t>
      </w:r>
      <w:r>
        <w:rPr>
          <w:rFonts w:ascii="SimSun" w:cs="SimSun" w:eastAsia="SimSun" w:hAnsi="SimSun"/>
          <w:sz w:val="16"/>
          <w:szCs w:val="16"/>
          <w:color w:val="auto"/>
        </w:rPr>
        <w:t>，</w:t>
      </w:r>
      <w:r>
        <w:rPr>
          <w:rFonts w:ascii="Times New Roman" w:cs="Times New Roman" w:eastAsia="Times New Roman" w:hAnsi="Times New Roman"/>
          <w:sz w:val="16"/>
          <w:szCs w:val="16"/>
          <w:u w:val="single" w:color="auto"/>
          <w:color w:val="auto"/>
        </w:rPr>
        <w:t>RMB 105</w:t>
      </w:r>
      <w:r>
        <w:rPr>
          <w:rFonts w:ascii="Times New Roman" w:cs="Times New Roman" w:eastAsia="Times New Roman" w:hAnsi="Times New Roman"/>
          <w:sz w:val="16"/>
          <w:szCs w:val="16"/>
          <w:color w:val="auto"/>
        </w:rPr>
        <w:t xml:space="preserve"> per square meter (rent does not include property management fees, water, electricity and other expenses). From the third year of tenancy, the monthly rent will increase by 5% per annum. The specific rent is as follows.</w:t>
      </w:r>
    </w:p>
    <w:p>
      <w:pPr>
        <w:spacing w:after="0" w:line="174" w:lineRule="exact"/>
        <w:rPr>
          <w:sz w:val="20"/>
          <w:szCs w:val="20"/>
          <w:color w:val="auto"/>
        </w:rPr>
      </w:pPr>
    </w:p>
    <w:tbl>
      <w:tblPr>
        <w:tblLayout w:type="fixed"/>
        <w:tblInd w:w="14" w:type="dxa"/>
        <w:tblCellMar>
          <w:top w:w="0" w:type="dxa"/>
          <w:left w:w="0" w:type="dxa"/>
          <w:bottom w:w="0" w:type="dxa"/>
          <w:right w:w="0" w:type="dxa"/>
        </w:tblCellMar>
      </w:tblPr>
      <w:tr>
        <w:trPr>
          <w:trHeight w:val="204"/>
        </w:trPr>
        <w:tc>
          <w:tcPr>
            <w:tcW w:w="6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Rental time</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Rent (RMB/month)</w:t>
            </w:r>
          </w:p>
        </w:tc>
      </w:tr>
      <w:tr>
        <w:trPr>
          <w:trHeight w:val="184"/>
        </w:trPr>
        <w:tc>
          <w:tcPr>
            <w:tcW w:w="6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15, 2023 to February 14, 2024</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Rent-free period</w:t>
            </w:r>
          </w:p>
        </w:tc>
      </w:tr>
      <w:tr>
        <w:trPr>
          <w:trHeight w:val="184"/>
        </w:trPr>
        <w:tc>
          <w:tcPr>
            <w:tcW w:w="6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February 15, 2024 to February 14, 2026</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247,184.00</w:t>
            </w:r>
          </w:p>
        </w:tc>
      </w:tr>
      <w:tr>
        <w:trPr>
          <w:trHeight w:val="184"/>
        </w:trPr>
        <w:tc>
          <w:tcPr>
            <w:tcW w:w="6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February 15, 2026 to February 14, 2027</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259,543.00</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 The house is paid according to the principle of first payment and then use, and the specific time of rent payment is as follows:</w:t>
      </w:r>
    </w:p>
    <w:p>
      <w:pPr>
        <w:spacing w:after="0" w:line="213" w:lineRule="exact"/>
        <w:rPr>
          <w:sz w:val="20"/>
          <w:szCs w:val="20"/>
          <w:color w:val="auto"/>
        </w:rPr>
      </w:pPr>
    </w:p>
    <w:p>
      <w:pPr>
        <w:ind w:left="284"/>
        <w:spacing w:after="0" w:line="195" w:lineRule="exact"/>
        <w:rPr>
          <w:sz w:val="20"/>
          <w:szCs w:val="20"/>
          <w:color w:val="auto"/>
        </w:rPr>
      </w:pPr>
      <w:r>
        <w:rPr>
          <w:rFonts w:ascii="Times New Roman" w:cs="Times New Roman" w:eastAsia="Times New Roman" w:hAnsi="Times New Roman"/>
          <w:sz w:val="16"/>
          <w:szCs w:val="16"/>
          <w:color w:val="auto"/>
        </w:rPr>
        <w:t>2.1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Party B shall pay the first (monthly) rent after the expiration of the rent-free period within 3 working days before the date of the lease contract, calculated in </w:t>
      </w:r>
      <w:r>
        <w:rPr>
          <w:rFonts w:ascii="Times New Roman" w:cs="Times New Roman" w:eastAsia="Times New Roman" w:hAnsi="Times New Roman"/>
          <w:sz w:val="16"/>
          <w:szCs w:val="16"/>
          <w:u w:val="single" w:color="auto"/>
          <w:color w:val="auto"/>
        </w:rPr>
        <w:t>RMB</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247,184.00 yuan</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284"/>
        <w:spacing w:after="0" w:line="195" w:lineRule="exact"/>
        <w:rPr>
          <w:sz w:val="20"/>
          <w:szCs w:val="20"/>
          <w:color w:val="auto"/>
        </w:rPr>
      </w:pPr>
      <w:r>
        <w:rPr>
          <w:rFonts w:ascii="Times New Roman" w:cs="Times New Roman" w:eastAsia="Times New Roman" w:hAnsi="Times New Roman"/>
          <w:sz w:val="16"/>
          <w:szCs w:val="16"/>
          <w:color w:val="auto"/>
        </w:rPr>
        <w:t>2.2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Before </w:t>
      </w:r>
      <w:r>
        <w:rPr>
          <w:rFonts w:ascii="Times New Roman" w:cs="Times New Roman" w:eastAsia="Times New Roman" w:hAnsi="Times New Roman"/>
          <w:sz w:val="16"/>
          <w:szCs w:val="16"/>
          <w:u w:val="single" w:color="auto"/>
          <w:color w:val="auto"/>
        </w:rPr>
        <w:t>March 15, 2024,</w:t>
      </w:r>
      <w:r>
        <w:rPr>
          <w:rFonts w:ascii="Times New Roman" w:cs="Times New Roman" w:eastAsia="Times New Roman" w:hAnsi="Times New Roman"/>
          <w:sz w:val="16"/>
          <w:szCs w:val="16"/>
          <w:color w:val="auto"/>
        </w:rPr>
        <w:t xml:space="preserve"> Party B shall pay Party A the rent from March 15, 2024 to March 31, 2024, calculated as </w:t>
      </w:r>
      <w:r>
        <w:rPr>
          <w:rFonts w:ascii="Times New Roman" w:cs="Times New Roman" w:eastAsia="Times New Roman" w:hAnsi="Times New Roman"/>
          <w:sz w:val="16"/>
          <w:szCs w:val="16"/>
          <w:u w:val="single" w:color="auto"/>
          <w:color w:val="auto"/>
        </w:rPr>
        <w:t>RMB 135,553.00 yuan.</w:t>
      </w:r>
    </w:p>
    <w:p>
      <w:pPr>
        <w:spacing w:after="0" w:line="214" w:lineRule="exact"/>
        <w:rPr>
          <w:sz w:val="20"/>
          <w:szCs w:val="20"/>
          <w:color w:val="auto"/>
        </w:rPr>
      </w:pPr>
    </w:p>
    <w:p>
      <w:pPr>
        <w:ind w:left="284"/>
        <w:spacing w:after="0" w:line="195" w:lineRule="exact"/>
        <w:rPr>
          <w:sz w:val="20"/>
          <w:szCs w:val="20"/>
          <w:color w:val="auto"/>
        </w:rPr>
      </w:pPr>
      <w:r>
        <w:rPr>
          <w:rFonts w:ascii="Times New Roman" w:cs="Times New Roman" w:eastAsia="Times New Roman" w:hAnsi="Times New Roman"/>
          <w:sz w:val="16"/>
          <w:szCs w:val="16"/>
          <w:color w:val="auto"/>
        </w:rPr>
        <w:t>2.3</w:t>
      </w:r>
      <w:r>
        <w:rPr>
          <w:rFonts w:ascii="SimSun" w:cs="SimSun" w:eastAsia="SimSun" w:hAnsi="SimSun"/>
          <w:sz w:val="16"/>
          <w:szCs w:val="16"/>
          <w:color w:val="auto"/>
        </w:rPr>
        <w:t>、</w:t>
      </w:r>
      <w:r>
        <w:rPr>
          <w:rFonts w:ascii="Times New Roman" w:cs="Times New Roman" w:eastAsia="Times New Roman" w:hAnsi="Times New Roman"/>
          <w:sz w:val="16"/>
          <w:szCs w:val="16"/>
          <w:color w:val="auto"/>
        </w:rPr>
        <w:t>Party B shall pay the next month’s rent to Party A before the end of each month (28-31), and Party A may implement it in accordance with the provisions of Article</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8, Paragraph 2 of this contract.</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 Party B’s rent can be delivered to Party A’s account by transfer:</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Account name: Guangzhou Fengwei Decoration Engineering Co., Ltd</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Bank: China Merchants Bank Fengxing Sub-branch</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Account number: 120906300410888</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5 Management Fees</w:t>
      </w:r>
    </w:p>
    <w:p>
      <w:pPr>
        <w:spacing w:after="0" w:line="201" w:lineRule="exact"/>
        <w:rPr>
          <w:sz w:val="20"/>
          <w:szCs w:val="20"/>
          <w:color w:val="auto"/>
        </w:rPr>
      </w:pPr>
    </w:p>
    <w:p>
      <w:pPr>
        <w:jc w:val="both"/>
        <w:ind w:left="4" w:hanging="4"/>
        <w:spacing w:after="0" w:line="267" w:lineRule="auto"/>
        <w:tabs>
          <w:tab w:leader="none" w:pos="182"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58" w:name="page259"/>
    <w:bookmarkEnd w:id="258"/>
    <w:p>
      <w:pPr>
        <w:ind w:left="4"/>
        <w:spacing w:after="0"/>
        <w:rPr>
          <w:sz w:val="20"/>
          <w:szCs w:val="20"/>
          <w:color w:val="auto"/>
        </w:rPr>
      </w:pPr>
      <w:r>
        <w:rPr>
          <w:rFonts w:ascii="Times New Roman" w:cs="Times New Roman" w:eastAsia="Times New Roman" w:hAnsi="Times New Roman"/>
          <w:sz w:val="16"/>
          <w:szCs w:val="16"/>
          <w:color w:val="auto"/>
        </w:rPr>
        <w:t>Property company address: the first floor of No. 23, Tianhe South 2nd Road, Tianhe District, Guangzhou</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Property company telephone: 87518183</w:t>
      </w:r>
    </w:p>
    <w:p>
      <w:pPr>
        <w:spacing w:after="0" w:line="184" w:lineRule="exact"/>
        <w:rPr>
          <w:sz w:val="20"/>
          <w:szCs w:val="20"/>
          <w:color w:val="auto"/>
        </w:rPr>
      </w:pPr>
    </w:p>
    <w:p>
      <w:pPr>
        <w:jc w:val="both"/>
        <w:ind w:left="4" w:right="20" w:hanging="4"/>
        <w:spacing w:after="0" w:line="267" w:lineRule="auto"/>
        <w:tabs>
          <w:tab w:leader="none" w:pos="197"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monthly management fee for the house is </w:t>
      </w:r>
      <w:r>
        <w:rPr>
          <w:rFonts w:ascii="Times New Roman" w:cs="Times New Roman" w:eastAsia="Times New Roman" w:hAnsi="Times New Roman"/>
          <w:sz w:val="16"/>
          <w:szCs w:val="16"/>
          <w:u w:val="single" w:color="auto"/>
          <w:color w:val="auto"/>
        </w:rPr>
        <w:t>RMB58,853.00 (RMB58,853.00) RMB 25 per square metre.</w:t>
      </w:r>
      <w:r>
        <w:rPr>
          <w:rFonts w:ascii="Times New Roman" w:cs="Times New Roman" w:eastAsia="Times New Roman" w:hAnsi="Times New Roman"/>
          <w:sz w:val="16"/>
          <w:szCs w:val="16"/>
          <w:color w:val="auto"/>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spacing w:after="0" w:line="155"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paid first and used later, and the specific time of management fee payment is as follows:</w:t>
      </w:r>
    </w:p>
    <w:p>
      <w:pPr>
        <w:spacing w:after="0" w:line="201" w:lineRule="exact"/>
        <w:rPr>
          <w:sz w:val="20"/>
          <w:szCs w:val="20"/>
          <w:color w:val="auto"/>
        </w:rPr>
      </w:pPr>
    </w:p>
    <w:p>
      <w:pPr>
        <w:ind w:left="284" w:right="20"/>
        <w:spacing w:after="0" w:line="283" w:lineRule="auto"/>
        <w:rPr>
          <w:sz w:val="20"/>
          <w:szCs w:val="20"/>
          <w:color w:val="auto"/>
        </w:rPr>
      </w:pPr>
      <w:r>
        <w:rPr>
          <w:rFonts w:ascii="Times New Roman" w:cs="Times New Roman" w:eastAsia="Times New Roman" w:hAnsi="Times New Roman"/>
          <w:sz w:val="16"/>
          <w:szCs w:val="16"/>
          <w:color w:val="auto"/>
        </w:rPr>
        <w:t xml:space="preserve">3.1 Party B shall pay the first (monthly) management fee after the expiration of the rent-free period within 3 working days before the date of the lease contract, calculated in </w:t>
      </w:r>
      <w:r>
        <w:rPr>
          <w:rFonts w:ascii="Times New Roman" w:cs="Times New Roman" w:eastAsia="Times New Roman" w:hAnsi="Times New Roman"/>
          <w:sz w:val="16"/>
          <w:szCs w:val="16"/>
          <w:u w:val="single" w:color="auto"/>
          <w:color w:val="auto"/>
        </w:rPr>
        <w:t>RMB 58,853.00.</w:t>
      </w:r>
    </w:p>
    <w:p>
      <w:pPr>
        <w:spacing w:after="0" w:line="143"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 xml:space="preserve">3.2 Before </w:t>
      </w:r>
      <w:r>
        <w:rPr>
          <w:rFonts w:ascii="Times New Roman" w:cs="Times New Roman" w:eastAsia="Times New Roman" w:hAnsi="Times New Roman"/>
          <w:sz w:val="16"/>
          <w:szCs w:val="16"/>
          <w:u w:val="single" w:color="auto"/>
          <w:color w:val="auto"/>
        </w:rPr>
        <w:t>March 15, 2024</w:t>
      </w:r>
      <w:r>
        <w:rPr>
          <w:rFonts w:ascii="Times New Roman" w:cs="Times New Roman" w:eastAsia="Times New Roman" w:hAnsi="Times New Roman"/>
          <w:sz w:val="16"/>
          <w:szCs w:val="16"/>
          <w:color w:val="auto"/>
        </w:rPr>
        <w:t xml:space="preserve">, Party B shall pay Party A a management fee from </w:t>
      </w:r>
      <w:r>
        <w:rPr>
          <w:rFonts w:ascii="Times New Roman" w:cs="Times New Roman" w:eastAsia="Times New Roman" w:hAnsi="Times New Roman"/>
          <w:sz w:val="16"/>
          <w:szCs w:val="16"/>
          <w:u w:val="single" w:color="auto"/>
          <w:color w:val="auto"/>
        </w:rPr>
        <w:t>March 15, 2024</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March 31, 2024</w:t>
      </w:r>
      <w:r>
        <w:rPr>
          <w:rFonts w:ascii="Times New Roman" w:cs="Times New Roman" w:eastAsia="Times New Roman" w:hAnsi="Times New Roman"/>
          <w:sz w:val="16"/>
          <w:szCs w:val="16"/>
          <w:color w:val="auto"/>
        </w:rPr>
        <w:t xml:space="preserve">, calculated in the amount of </w:t>
      </w:r>
      <w:r>
        <w:rPr>
          <w:rFonts w:ascii="Times New Roman" w:cs="Times New Roman" w:eastAsia="Times New Roman" w:hAnsi="Times New Roman"/>
          <w:sz w:val="16"/>
          <w:szCs w:val="16"/>
          <w:u w:val="single" w:color="auto"/>
          <w:color w:val="auto"/>
        </w:rPr>
        <w:t>RMB 32,274.00 yuan (i.e.</w:t>
      </w:r>
    </w:p>
    <w:p>
      <w:pPr>
        <w:spacing w:after="0" w:line="25"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u w:val="single" w:color="auto"/>
          <w:color w:val="auto"/>
        </w:rPr>
        <w:t>RMB 32,274.00)</w:t>
      </w: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284"/>
        <w:spacing w:after="0" w:line="283" w:lineRule="auto"/>
        <w:rPr>
          <w:sz w:val="20"/>
          <w:szCs w:val="20"/>
          <w:color w:val="auto"/>
        </w:rPr>
      </w:pPr>
      <w:r>
        <w:rPr>
          <w:rFonts w:ascii="Times New Roman" w:cs="Times New Roman" w:eastAsia="Times New Roman" w:hAnsi="Times New Roman"/>
          <w:sz w:val="16"/>
          <w:szCs w:val="16"/>
          <w:color w:val="auto"/>
        </w:rPr>
        <w:t>3.3 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spacing w:after="0" w:line="143" w:lineRule="exact"/>
        <w:rPr>
          <w:sz w:val="20"/>
          <w:szCs w:val="20"/>
          <w:color w:val="auto"/>
        </w:rPr>
      </w:pPr>
    </w:p>
    <w:p>
      <w:pPr>
        <w:ind w:left="4" w:right="3720" w:hanging="4"/>
        <w:spacing w:after="0" w:line="501" w:lineRule="auto"/>
        <w:tabs>
          <w:tab w:leader="none" w:pos="164"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B’s management fee can be delivered to the property management company’s account in the form of transfer: Account name: Guangdong Fengwei Property Management Co., Ltd</w:t>
      </w:r>
    </w:p>
    <w:p>
      <w:pPr>
        <w:spacing w:after="0" w:line="1"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ICBC Tianhe Sub-branch</w:t>
      </w:r>
    </w:p>
    <w:p>
      <w:pPr>
        <w:spacing w:after="0" w:line="200" w:lineRule="exact"/>
        <w:rPr>
          <w:rFonts w:ascii="Times New Roman" w:cs="Times New Roman" w:eastAsia="Times New Roman" w:hAnsi="Times New Roman"/>
          <w:sz w:val="16"/>
          <w:szCs w:val="16"/>
          <w:color w:val="auto"/>
        </w:rPr>
      </w:pPr>
    </w:p>
    <w:p>
      <w:pPr>
        <w:ind w:left="4" w:right="8580"/>
        <w:spacing w:after="0" w:line="5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 number: 3602013419200318634 Article 6 Performance bond</w:t>
      </w:r>
    </w:p>
    <w:p>
      <w:pPr>
        <w:spacing w:after="0" w:line="1" w:lineRule="exact"/>
        <w:rPr>
          <w:sz w:val="20"/>
          <w:szCs w:val="20"/>
          <w:color w:val="auto"/>
        </w:rPr>
      </w:pPr>
    </w:p>
    <w:p>
      <w:pPr>
        <w:jc w:val="both"/>
        <w:ind w:left="4" w:right="20" w:hanging="4"/>
        <w:spacing w:after="0" w:line="267" w:lineRule="auto"/>
        <w:tabs>
          <w:tab w:leader="none" w:pos="168"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shall, within 3 working days before the date of commencement of the lease contract (but no later than the start date of the lease period), pay Party A the equivalent of two months’ rent in the first year: </w:t>
      </w:r>
      <w:r>
        <w:rPr>
          <w:rFonts w:ascii="Times New Roman" w:cs="Times New Roman" w:eastAsia="Times New Roman" w:hAnsi="Times New Roman"/>
          <w:sz w:val="16"/>
          <w:szCs w:val="16"/>
          <w:u w:val="single" w:color="auto"/>
          <w:color w:val="auto"/>
        </w:rPr>
        <w:t>RMB 494,368.00</w:t>
      </w:r>
      <w:r>
        <w:rPr>
          <w:rFonts w:ascii="Times New Roman" w:cs="Times New Roman" w:eastAsia="Times New Roman" w:hAnsi="Times New Roman"/>
          <w:sz w:val="16"/>
          <w:szCs w:val="16"/>
          <w:color w:val="auto"/>
        </w:rPr>
        <w:t xml:space="preserve"> and management fee </w:t>
      </w:r>
      <w:r>
        <w:rPr>
          <w:rFonts w:ascii="Times New Roman" w:cs="Times New Roman" w:eastAsia="Times New Roman" w:hAnsi="Times New Roman"/>
          <w:sz w:val="16"/>
          <w:szCs w:val="16"/>
          <w:u w:val="single" w:color="auto"/>
          <w:color w:val="auto"/>
        </w:rPr>
        <w:t>(RMB 117,706.00)</w:t>
      </w:r>
      <w:r>
        <w:rPr>
          <w:rFonts w:ascii="Times New Roman" w:cs="Times New Roman" w:eastAsia="Times New Roman" w:hAnsi="Times New Roman"/>
          <w:sz w:val="16"/>
          <w:szCs w:val="16"/>
          <w:color w:val="auto"/>
        </w:rPr>
        <w:t xml:space="preserve">, a total of RMB: </w:t>
      </w:r>
      <w:r>
        <w:rPr>
          <w:rFonts w:ascii="Times New Roman" w:cs="Times New Roman" w:eastAsia="Times New Roman" w:hAnsi="Times New Roman"/>
          <w:sz w:val="16"/>
          <w:szCs w:val="16"/>
          <w:i w:val="1"/>
          <w:iCs w:val="1"/>
          <w:u w:val="single" w:color="auto"/>
          <w:color w:val="auto"/>
        </w:rPr>
        <w:t>612,074.00 CNY</w:t>
      </w:r>
      <w:r>
        <w:rPr>
          <w:rFonts w:ascii="Times New Roman" w:cs="Times New Roman" w:eastAsia="Times New Roman" w:hAnsi="Times New Roman"/>
          <w:sz w:val="16"/>
          <w:szCs w:val="16"/>
          <w:color w:val="auto"/>
        </w:rPr>
        <w:t xml:space="preserve"> It can be delivered to the account of Party A and the property management company in the form of transfer, and the performance bond cannot be used against rent, management fees and other expenses.</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59" w:name="page260"/>
    <w:bookmarkEnd w:id="259"/>
    <w:p>
      <w:pPr>
        <w:jc w:val="both"/>
        <w:ind w:left="4" w:hanging="4"/>
        <w:spacing w:after="0" w:line="259" w:lineRule="auto"/>
        <w:tabs>
          <w:tab w:leader="none" w:pos="16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183"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7 Other Expenses</w:t>
      </w:r>
    </w:p>
    <w:p>
      <w:pPr>
        <w:spacing w:after="0" w:line="201" w:lineRule="exact"/>
        <w:rPr>
          <w:sz w:val="20"/>
          <w:szCs w:val="20"/>
          <w:color w:val="auto"/>
        </w:rPr>
      </w:pPr>
    </w:p>
    <w:p>
      <w:pPr>
        <w:jc w:val="both"/>
        <w:ind w:left="4" w:right="20" w:hanging="4"/>
        <w:spacing w:after="0" w:line="267" w:lineRule="auto"/>
        <w:tabs>
          <w:tab w:leader="none" w:pos="168"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rent-free period, Party B does not need to pay the rent of the house to Party A, but must pay the management fee for the rent-free period from </w:t>
      </w:r>
      <w:r>
        <w:rPr>
          <w:rFonts w:ascii="Times New Roman" w:cs="Times New Roman" w:eastAsia="Times New Roman" w:hAnsi="Times New Roman"/>
          <w:sz w:val="16"/>
          <w:szCs w:val="16"/>
          <w:u w:val="single" w:color="auto"/>
          <w:color w:val="auto"/>
        </w:rPr>
        <w:t>October 15, 2023</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February 14, 2024 (RMB 235,412.00)</w:t>
      </w:r>
      <w:r>
        <w:rPr>
          <w:rFonts w:ascii="Times New Roman" w:cs="Times New Roman" w:eastAsia="Times New Roman" w:hAnsi="Times New Roman"/>
          <w:sz w:val="16"/>
          <w:szCs w:val="16"/>
          <w:color w:val="auto"/>
        </w:rPr>
        <w:t xml:space="preserve"> before handing over the site, and the utility fee during the rent-free period shall be paid in accordance with the provisions of paragraph 2 of this Article.</w:t>
      </w:r>
    </w:p>
    <w:p>
      <w:pPr>
        <w:spacing w:after="0" w:line="155"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Self-water and electricity bills and shared costs</w:t>
      </w:r>
    </w:p>
    <w:p>
      <w:pPr>
        <w:spacing w:after="0" w:line="201"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 Telephone and network fees</w:t>
      </w:r>
    </w:p>
    <w:p>
      <w:pPr>
        <w:spacing w:after="0" w:line="20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spacing w:after="0" w:line="143" w:lineRule="exact"/>
        <w:rPr>
          <w:sz w:val="20"/>
          <w:szCs w:val="20"/>
          <w:color w:val="auto"/>
        </w:rPr>
      </w:pPr>
    </w:p>
    <w:p>
      <w:pPr>
        <w:ind w:left="164" w:hanging="164"/>
        <w:spacing w:after="0"/>
        <w:tabs>
          <w:tab w:leader="none" w:pos="164"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Air conditioning management regulations and costs</w:t>
      </w:r>
    </w:p>
    <w:p>
      <w:pPr>
        <w:spacing w:after="0" w:line="200"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Use of central air conditioning</w:t>
      </w:r>
    </w:p>
    <w:p>
      <w:pPr>
        <w:spacing w:after="0" w:line="201"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1.1 Air conditioning in the office building is available from 8:00 to 18:00 on Monday to Friday, 8:00 am to 12:00 pm on Saturday, and is closed on Saturday afternoon, Sunday and public holidays.</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60" w:name="page261"/>
    <w:bookmarkEnd w:id="260"/>
    <w:p>
      <w:pPr>
        <w:jc w:val="both"/>
        <w:ind w:left="4" w:right="20"/>
        <w:spacing w:after="0" w:line="206" w:lineRule="exact"/>
        <w:rPr>
          <w:sz w:val="20"/>
          <w:szCs w:val="20"/>
          <w:color w:val="auto"/>
        </w:rPr>
      </w:pPr>
      <w:r>
        <w:rPr>
          <w:rFonts w:ascii="Times New Roman" w:cs="Times New Roman" w:eastAsia="Times New Roman" w:hAnsi="Times New Roman"/>
          <w:sz w:val="16"/>
          <w:szCs w:val="16"/>
          <w:color w:val="auto"/>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ascii="SimSun" w:cs="SimSun" w:eastAsia="SimSun" w:hAnsi="SimSun"/>
          <w:sz w:val="16"/>
          <w:szCs w:val="16"/>
          <w:color w:val="auto"/>
        </w:rPr>
        <w:t>《</w:t>
      </w:r>
      <w:r>
        <w:rPr>
          <w:rFonts w:ascii="Times New Roman" w:cs="Times New Roman" w:eastAsia="Times New Roman" w:hAnsi="Times New Roman"/>
          <w:sz w:val="16"/>
          <w:szCs w:val="16"/>
          <w:color w:val="auto"/>
        </w:rPr>
        <w:t>Fengxing Plaza Weekend/Holiday Overtime Air Conditioning Charging Standard.</w:t>
      </w:r>
      <w:r>
        <w:rPr>
          <w:rFonts w:ascii="SimSun" w:cs="SimSun" w:eastAsia="SimSun" w:hAnsi="SimSun"/>
          <w:sz w:val="16"/>
          <w:szCs w:val="16"/>
          <w:color w:val="auto"/>
        </w:rPr>
        <w:t>》</w:t>
      </w:r>
    </w:p>
    <w:p>
      <w:pPr>
        <w:spacing w:after="0" w:line="190"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Note: Property company approval conditions: More than 30% of the units in the building (calculated by floor area) apply for overtime before the central air conditioning can be started.</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 Split air conditioner installation and use</w:t>
      </w:r>
    </w:p>
    <w:p>
      <w:pPr>
        <w:spacing w:after="0" w:line="20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Without the written consent of Party A or the property company, Party B is strictly prohibited from installing split air conditioning within the scope of the rented house or using the public area of the building.</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8 Rights and obligations of Party B</w:t>
      </w:r>
    </w:p>
    <w:p>
      <w:pPr>
        <w:spacing w:after="0" w:line="201" w:lineRule="exact"/>
        <w:rPr>
          <w:sz w:val="20"/>
          <w:szCs w:val="20"/>
          <w:color w:val="auto"/>
        </w:rPr>
      </w:pPr>
    </w:p>
    <w:p>
      <w:pPr>
        <w:jc w:val="both"/>
        <w:ind w:left="4" w:right="20" w:hanging="4"/>
        <w:spacing w:after="0" w:line="261" w:lineRule="auto"/>
        <w:tabs>
          <w:tab w:leader="none" w:pos="165"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Times New Roman" w:cs="Times New Roman" w:eastAsia="Times New Roman" w:hAnsi="Times New Roman"/>
          <w:sz w:val="16"/>
          <w:szCs w:val="16"/>
          <w:u w:val="single" w:color="auto"/>
          <w:color w:val="auto"/>
        </w:rPr>
        <w:t>but Party B needs to be notified at least 7 working days in advance,</w:t>
      </w:r>
      <w:r>
        <w:rPr>
          <w:rFonts w:ascii="Times New Roman" w:cs="Times New Roman" w:eastAsia="Times New Roman" w:hAnsi="Times New Roman"/>
          <w:sz w:val="16"/>
          <w:szCs w:val="16"/>
          <w:color w:val="auto"/>
        </w:rPr>
        <w:t xml:space="preserve"> and the performance bond paid by Party B will not be refunded.</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171"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pay Party A rent, management fee and other fees payable by Party B on time. If the payment is overdue, Party A or the property management company may exercise the following relevant rights and interests from Party B:</w:t>
      </w:r>
    </w:p>
    <w:p>
      <w:pPr>
        <w:spacing w:after="0" w:line="143" w:lineRule="exact"/>
        <w:rPr>
          <w:sz w:val="20"/>
          <w:szCs w:val="20"/>
          <w:color w:val="auto"/>
        </w:rPr>
      </w:pPr>
    </w:p>
    <w:p>
      <w:pPr>
        <w:jc w:val="both"/>
        <w:ind w:left="4" w:hanging="4"/>
        <w:spacing w:after="0" w:line="267" w:lineRule="auto"/>
        <w:tabs>
          <w:tab w:leader="none" w:pos="277"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26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61" w:name="page262"/>
    <w:bookmarkEnd w:id="261"/>
    <w:p>
      <w:pPr>
        <w:jc w:val="both"/>
        <w:ind w:left="4" w:right="20" w:hanging="4"/>
        <w:spacing w:after="0" w:line="259" w:lineRule="auto"/>
        <w:tabs>
          <w:tab w:leader="none" w:pos="167"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spacing w:after="0" w:line="161" w:lineRule="exact"/>
        <w:rPr>
          <w:rFonts w:ascii="Times New Roman" w:cs="Times New Roman" w:eastAsia="Times New Roman" w:hAnsi="Times New Roman"/>
          <w:sz w:val="16"/>
          <w:szCs w:val="16"/>
          <w:color w:val="auto"/>
        </w:rPr>
      </w:pPr>
    </w:p>
    <w:p>
      <w:pPr>
        <w:jc w:val="both"/>
        <w:ind w:left="4" w:hanging="4"/>
        <w:spacing w:after="0" w:line="267" w:lineRule="auto"/>
        <w:tabs>
          <w:tab w:leader="none" w:pos="16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164"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spacing w:after="0" w:line="161" w:lineRule="exact"/>
        <w:rPr>
          <w:rFonts w:ascii="Times New Roman" w:cs="Times New Roman" w:eastAsia="Times New Roman" w:hAnsi="Times New Roman"/>
          <w:sz w:val="16"/>
          <w:szCs w:val="16"/>
          <w:color w:val="auto"/>
        </w:rPr>
      </w:pPr>
    </w:p>
    <w:p>
      <w:pPr>
        <w:jc w:val="both"/>
        <w:ind w:left="4" w:hanging="4"/>
        <w:spacing w:after="0" w:line="267" w:lineRule="auto"/>
        <w:tabs>
          <w:tab w:leader="none" w:pos="17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62" w:name="page263"/>
    <w:bookmarkEnd w:id="262"/>
    <w:p>
      <w:pPr>
        <w:jc w:val="both"/>
        <w:ind w:left="4" w:right="20" w:hanging="4"/>
        <w:spacing w:after="0" w:line="267" w:lineRule="auto"/>
        <w:tabs>
          <w:tab w:leader="none" w:pos="169"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spacing w:after="0" w:line="156"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spacing w:after="0" w:line="165" w:lineRule="exact"/>
        <w:rPr>
          <w:sz w:val="20"/>
          <w:szCs w:val="20"/>
          <w:color w:val="auto"/>
        </w:rPr>
      </w:pPr>
    </w:p>
    <w:p>
      <w:pPr>
        <w:jc w:val="both"/>
        <w:ind w:left="4" w:right="20" w:hanging="4"/>
        <w:spacing w:after="0" w:line="267" w:lineRule="auto"/>
        <w:tabs>
          <w:tab w:leader="none" w:pos="254"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spacing w:after="0" w:line="155" w:lineRule="exact"/>
        <w:rPr>
          <w:rFonts w:ascii="Times New Roman" w:cs="Times New Roman" w:eastAsia="Times New Roman" w:hAnsi="Times New Roman"/>
          <w:sz w:val="16"/>
          <w:szCs w:val="16"/>
          <w:color w:val="auto"/>
        </w:rPr>
      </w:pPr>
    </w:p>
    <w:p>
      <w:pPr>
        <w:jc w:val="both"/>
        <w:ind w:left="4" w:hanging="4"/>
        <w:spacing w:after="0" w:line="257" w:lineRule="auto"/>
        <w:tabs>
          <w:tab w:leader="none" w:pos="25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spacing w:after="0" w:line="164" w:lineRule="exact"/>
        <w:rPr>
          <w:rFonts w:ascii="Times New Roman" w:cs="Times New Roman" w:eastAsia="Times New Roman" w:hAnsi="Times New Roman"/>
          <w:sz w:val="16"/>
          <w:szCs w:val="16"/>
          <w:color w:val="auto"/>
        </w:rPr>
      </w:pPr>
    </w:p>
    <w:p>
      <w:pPr>
        <w:ind w:left="4" w:right="20" w:hanging="4"/>
        <w:spacing w:after="0" w:line="283" w:lineRule="auto"/>
        <w:tabs>
          <w:tab w:leader="none" w:pos="25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abide by the property management of the building, and shall not open the windows on the glass curtain wall without the consent of Party A or the property management company.</w:t>
      </w:r>
    </w:p>
    <w:p>
      <w:pPr>
        <w:spacing w:after="0" w:line="143"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247"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63" w:name="page264"/>
    <w:bookmarkEnd w:id="263"/>
    <w:p>
      <w:pPr>
        <w:jc w:val="both"/>
        <w:ind w:left="4" w:right="20" w:hanging="4"/>
        <w:spacing w:after="0" w:line="259" w:lineRule="auto"/>
        <w:tabs>
          <w:tab w:leader="none" w:pos="25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spacing w:after="0" w:line="161"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B’s decoration plan is reviewed and approved by Party A or the property company, there is no need to restore the original state after the lease expires.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9 Rights and obligations of Party A</w:t>
      </w:r>
    </w:p>
    <w:p>
      <w:pPr>
        <w:spacing w:after="0" w:line="201" w:lineRule="exact"/>
        <w:rPr>
          <w:sz w:val="20"/>
          <w:szCs w:val="20"/>
          <w:color w:val="auto"/>
        </w:rPr>
      </w:pPr>
    </w:p>
    <w:p>
      <w:pPr>
        <w:jc w:val="both"/>
        <w:ind w:left="4" w:right="20" w:hanging="4"/>
        <w:spacing w:after="0" w:line="257" w:lineRule="auto"/>
        <w:tabs>
          <w:tab w:leader="none" w:pos="16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spacing w:after="0" w:line="164" w:lineRule="exact"/>
        <w:rPr>
          <w:rFonts w:ascii="Times New Roman" w:cs="Times New Roman" w:eastAsia="Times New Roman" w:hAnsi="Times New Roman"/>
          <w:sz w:val="16"/>
          <w:szCs w:val="16"/>
          <w:color w:val="auto"/>
        </w:rPr>
      </w:pPr>
    </w:p>
    <w:p>
      <w:pPr>
        <w:ind w:left="4" w:hanging="4"/>
        <w:spacing w:after="0" w:line="283" w:lineRule="auto"/>
        <w:tabs>
          <w:tab w:leader="none" w:pos="17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9"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spacing w:after="0" w:line="156" w:lineRule="exact"/>
        <w:rPr>
          <w:sz w:val="20"/>
          <w:szCs w:val="20"/>
          <w:color w:val="auto"/>
        </w:rPr>
      </w:pPr>
    </w:p>
    <w:p>
      <w:pPr>
        <w:ind w:left="4"/>
        <w:spacing w:after="0" w:line="283" w:lineRule="auto"/>
        <w:rPr>
          <w:sz w:val="20"/>
          <w:szCs w:val="20"/>
          <w:color w:val="auto"/>
        </w:rPr>
      </w:pPr>
      <w:r>
        <w:rPr>
          <w:rFonts w:ascii="Times New Roman" w:cs="Times New Roman" w:eastAsia="Times New Roman" w:hAnsi="Times New Roman"/>
          <w:sz w:val="16"/>
          <w:szCs w:val="16"/>
          <w:color w:val="auto"/>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spacing w:after="0" w:line="143" w:lineRule="exact"/>
        <w:rPr>
          <w:sz w:val="20"/>
          <w:szCs w:val="20"/>
          <w:color w:val="auto"/>
        </w:rPr>
      </w:pPr>
    </w:p>
    <w:p>
      <w:pPr>
        <w:jc w:val="both"/>
        <w:ind w:left="4" w:right="20" w:hanging="4"/>
        <w:spacing w:after="0" w:line="259" w:lineRule="auto"/>
        <w:tabs>
          <w:tab w:leader="none" w:pos="171"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64" w:name="page265"/>
    <w:bookmarkEnd w:id="264"/>
    <w:p>
      <w:pPr>
        <w:ind w:left="4" w:right="20" w:hanging="4"/>
        <w:spacing w:after="0" w:line="283" w:lineRule="auto"/>
        <w:tabs>
          <w:tab w:leader="none" w:pos="19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8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not arbitrarily take back the house in advance. If it is withdrawn in advance, Party A shall return the performance bond paid by Party B twice.</w:t>
      </w:r>
    </w:p>
    <w:p>
      <w:pPr>
        <w:spacing w:after="0" w:line="200"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17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spacing w:after="0" w:line="161" w:lineRule="exact"/>
        <w:rPr>
          <w:rFonts w:ascii="Times New Roman" w:cs="Times New Roman" w:eastAsia="Times New Roman" w:hAnsi="Times New Roman"/>
          <w:sz w:val="16"/>
          <w:szCs w:val="16"/>
          <w:color w:val="auto"/>
        </w:rPr>
      </w:pPr>
    </w:p>
    <w:p>
      <w:pPr>
        <w:ind w:left="4" w:right="500" w:hanging="4"/>
        <w:spacing w:after="0" w:line="501" w:lineRule="auto"/>
        <w:tabs>
          <w:tab w:leader="none" w:pos="164"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it has the right to entrust the property management services stipulated in this contract to Guangdong Fengwei Property Management Co., Ltd. Article 10 Termination of Contract and Return of Leased Unit</w:t>
      </w:r>
    </w:p>
    <w:p>
      <w:pPr>
        <w:spacing w:after="0" w:line="1" w:lineRule="exact"/>
        <w:rPr>
          <w:sz w:val="20"/>
          <w:szCs w:val="20"/>
          <w:color w:val="auto"/>
        </w:rPr>
      </w:pPr>
    </w:p>
    <w:p>
      <w:pPr>
        <w:jc w:val="both"/>
        <w:ind w:left="4" w:hanging="4"/>
        <w:spacing w:after="0" w:line="256" w:lineRule="auto"/>
        <w:tabs>
          <w:tab w:leader="none" w:pos="165"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65" w:name="page266"/>
    <w:bookmarkEnd w:id="265"/>
    <w:p>
      <w:pPr>
        <w:jc w:val="both"/>
        <w:ind w:left="4" w:right="20" w:hanging="4"/>
        <w:spacing w:after="0" w:line="259" w:lineRule="auto"/>
        <w:tabs>
          <w:tab w:leader="none" w:pos="174"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173"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spacing w:after="0" w:line="161" w:lineRule="exact"/>
        <w:rPr>
          <w:rFonts w:ascii="Times New Roman" w:cs="Times New Roman" w:eastAsia="Times New Roman" w:hAnsi="Times New Roman"/>
          <w:sz w:val="16"/>
          <w:szCs w:val="16"/>
          <w:color w:val="auto"/>
        </w:rPr>
      </w:pPr>
    </w:p>
    <w:p>
      <w:pPr>
        <w:jc w:val="both"/>
        <w:ind w:left="4" w:hanging="4"/>
        <w:spacing w:after="0" w:line="267" w:lineRule="auto"/>
        <w:tabs>
          <w:tab w:leader="none" w:pos="17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186"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termination of the lease contract, Party B shall return the house to Party A in accordance with the following provisions before requesting the refund of the performance bond:</w:t>
      </w:r>
    </w:p>
    <w:p>
      <w:pPr>
        <w:spacing w:after="0" w:line="143" w:lineRule="exact"/>
        <w:rPr>
          <w:sz w:val="20"/>
          <w:szCs w:val="20"/>
          <w:color w:val="auto"/>
        </w:rPr>
      </w:pPr>
    </w:p>
    <w:p>
      <w:pPr>
        <w:ind w:left="224" w:hanging="224"/>
        <w:spacing w:after="0"/>
        <w:tabs>
          <w:tab w:leader="none" w:pos="22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Remove all of his belongings from the house;</w:t>
      </w:r>
    </w:p>
    <w:p>
      <w:pPr>
        <w:spacing w:after="0" w:line="200" w:lineRule="exact"/>
        <w:rPr>
          <w:rFonts w:ascii="Times New Roman" w:cs="Times New Roman" w:eastAsia="Times New Roman" w:hAnsi="Times New Roman"/>
          <w:sz w:val="16"/>
          <w:szCs w:val="16"/>
          <w:color w:val="auto"/>
        </w:rPr>
      </w:pPr>
    </w:p>
    <w:p>
      <w:pPr>
        <w:ind w:left="4" w:right="20" w:hanging="4"/>
        <w:spacing w:after="0" w:line="283" w:lineRule="auto"/>
        <w:tabs>
          <w:tab w:leader="none" w:pos="245"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with Party A whether the equipment and facilities delivered by Party A to Party B are in normal use (except normal wear and tear), and Party B shall repair or compensate if there is any damage;</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Party A the keys to the door of the house and all the doors inside it;</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rent, property management fees and other expenses (including but not limited to water, electricity, communication fees, etc.);</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parties or Party A sign the confirmation document for Party B’s return of the leased house.</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11 Renewal</w:t>
      </w:r>
    </w:p>
    <w:p>
      <w:pPr>
        <w:spacing w:after="0" w:line="201" w:lineRule="exact"/>
        <w:rPr>
          <w:sz w:val="20"/>
          <w:szCs w:val="20"/>
          <w:color w:val="auto"/>
        </w:rPr>
      </w:pPr>
    </w:p>
    <w:p>
      <w:pPr>
        <w:jc w:val="both"/>
        <w:ind w:left="4" w:hanging="4"/>
        <w:spacing w:after="0" w:line="267" w:lineRule="auto"/>
        <w:tabs>
          <w:tab w:leader="none" w:pos="176"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66" w:name="page267"/>
    <w:bookmarkEnd w:id="266"/>
    <w:p>
      <w:pPr>
        <w:jc w:val="both"/>
        <w:ind w:left="4" w:right="20" w:hanging="4"/>
        <w:spacing w:after="0" w:line="267" w:lineRule="auto"/>
        <w:tabs>
          <w:tab w:leader="none" w:pos="16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12 Force Majeure</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13 Dispute Resolution</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14 Miscellaneous</w:t>
      </w:r>
    </w:p>
    <w:p>
      <w:pPr>
        <w:spacing w:after="0" w:line="201" w:lineRule="exact"/>
        <w:rPr>
          <w:sz w:val="20"/>
          <w:szCs w:val="20"/>
          <w:color w:val="auto"/>
        </w:rPr>
      </w:pPr>
    </w:p>
    <w:p>
      <w:pPr>
        <w:ind w:left="4" w:hanging="4"/>
        <w:spacing w:after="0" w:line="283" w:lineRule="auto"/>
        <w:tabs>
          <w:tab w:leader="none" w:pos="16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7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169"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spacing w:after="0" w:line="161"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69"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67" w:name="page268"/>
    <w:bookmarkEnd w:id="267"/>
    <w:p>
      <w:pPr>
        <w:ind w:left="4" w:right="20" w:hanging="4"/>
        <w:spacing w:after="0" w:line="206" w:lineRule="exact"/>
        <w:tabs>
          <w:tab w:leader="none" w:pos="173"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has clearly understood the content of the </w:t>
      </w:r>
      <w:r>
        <w:rPr>
          <w:rFonts w:ascii="SimSun" w:cs="SimSun" w:eastAsia="SimSun" w:hAnsi="SimSun"/>
          <w:sz w:val="16"/>
          <w:szCs w:val="16"/>
          <w:color w:val="auto"/>
        </w:rPr>
        <w:t>《</w:t>
      </w:r>
      <w:r>
        <w:rPr>
          <w:rFonts w:ascii="Times New Roman" w:cs="Times New Roman" w:eastAsia="Times New Roman" w:hAnsi="Times New Roman"/>
          <w:sz w:val="16"/>
          <w:szCs w:val="16"/>
          <w:color w:val="auto"/>
        </w:rPr>
        <w:t>Interim Convention for Owners/Property Users of Fengxing Plaza Office Building</w:t>
      </w:r>
      <w:r>
        <w:rPr>
          <w:rFonts w:ascii="SimSun" w:cs="SimSun" w:eastAsia="SimSun" w:hAnsi="SimSun"/>
          <w:sz w:val="16"/>
          <w:szCs w:val="16"/>
          <w:color w:val="auto"/>
        </w:rPr>
        <w:t>》</w:t>
      </w:r>
      <w:r>
        <w:rPr>
          <w:rFonts w:ascii="Times New Roman" w:cs="Times New Roman" w:eastAsia="Times New Roman" w:hAnsi="Times New Roman"/>
          <w:sz w:val="16"/>
          <w:szCs w:val="16"/>
          <w:color w:val="auto"/>
        </w:rPr>
        <w:t>when signing this contract and is willing to comply with the relevant provisions, if the content of the above documents is contrary to this contract, this contract shall prevail.</w:t>
      </w:r>
    </w:p>
    <w:p>
      <w:pPr>
        <w:spacing w:after="0" w:line="177"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parties agree to issue VAT invoices to Party B at the tax rate selected by Party A and the property management company.</w:t>
      </w:r>
    </w:p>
    <w:p>
      <w:pPr>
        <w:spacing w:after="0" w:line="200"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lessor only issues an invoice for the payment of the month, and does not provide any procedures for replacing the bill.</w:t>
      </w:r>
    </w:p>
    <w:p>
      <w:pPr>
        <w:spacing w:after="0" w:line="200"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7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7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244"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Party A shall deliver the leased floor to Party B for use in accordance with the provisions of the lease contract, and Party A shall ensure that the leased floor meets the provisions of the “Letter of Intent for Lease” regarding the delivery status of the floor (Note: except for the two glass gates and fire doors).</w:t>
      </w:r>
    </w:p>
    <w:p>
      <w:pPr>
        <w:spacing w:after="0" w:line="143"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color w:val="auto"/>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spacing w:after="0" w:line="14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spacing w:after="0" w:line="143"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33" w:right="31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11"/>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Annex</w:t>
            </w:r>
            <w:r>
              <w:rPr>
                <w:rFonts w:ascii="Times New Roman" w:cs="Times New Roman" w:eastAsia="Times New Roman" w:hAnsi="Times New Roman"/>
                <w:sz w:val="16"/>
                <w:szCs w:val="16"/>
                <w:color w:val="auto"/>
              </w:rPr>
              <w:t>: This Contract Annexes have the same legal effect as this Contract</w:t>
            </w:r>
          </w:p>
        </w:tc>
        <w:tc>
          <w:tcPr>
            <w:tcW w:w="5780" w:type="dxa"/>
            <w:vAlign w:val="bottom"/>
          </w:tcPr>
          <w:p>
            <w:pPr>
              <w:spacing w:after="0"/>
              <w:rPr>
                <w:sz w:val="18"/>
                <w:szCs w:val="18"/>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Annex 1: A copy of Party A’s business license</w:t>
            </w:r>
          </w:p>
        </w:tc>
        <w:tc>
          <w:tcPr>
            <w:tcW w:w="5780" w:type="dxa"/>
            <w:vAlign w:val="bottom"/>
          </w:tcPr>
          <w:p>
            <w:pPr>
              <w:spacing w:after="0"/>
              <w:rPr>
                <w:sz w:val="24"/>
                <w:szCs w:val="24"/>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Annex 2: A copy of Party B’s business license</w:t>
            </w:r>
          </w:p>
        </w:tc>
        <w:tc>
          <w:tcPr>
            <w:tcW w:w="5780" w:type="dxa"/>
            <w:vAlign w:val="bottom"/>
          </w:tcPr>
          <w:p>
            <w:pPr>
              <w:spacing w:after="0"/>
              <w:rPr>
                <w:sz w:val="24"/>
                <w:szCs w:val="24"/>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Annex 3: The floor plan</w:t>
            </w:r>
          </w:p>
        </w:tc>
        <w:tc>
          <w:tcPr>
            <w:tcW w:w="5780" w:type="dxa"/>
            <w:vAlign w:val="bottom"/>
          </w:tcPr>
          <w:p>
            <w:pPr>
              <w:spacing w:after="0"/>
              <w:rPr>
                <w:sz w:val="24"/>
                <w:szCs w:val="24"/>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Party A:</w:t>
            </w:r>
          </w:p>
        </w:tc>
        <w:tc>
          <w:tcPr>
            <w:tcW w:w="5780" w:type="dxa"/>
            <w:vAlign w:val="bottom"/>
          </w:tcPr>
          <w:p>
            <w:pPr>
              <w:jc w:val="center"/>
              <w:ind w:right="2040"/>
              <w:spacing w:after="0"/>
              <w:rPr>
                <w:sz w:val="20"/>
                <w:szCs w:val="20"/>
                <w:color w:val="auto"/>
              </w:rPr>
            </w:pPr>
            <w:r>
              <w:rPr>
                <w:rFonts w:ascii="Times New Roman" w:cs="Times New Roman" w:eastAsia="Times New Roman" w:hAnsi="Times New Roman"/>
                <w:sz w:val="16"/>
                <w:szCs w:val="16"/>
                <w:color w:val="auto"/>
              </w:rPr>
              <w:t>Party B:</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Signature (representative):</w:t>
            </w:r>
          </w:p>
        </w:tc>
        <w:tc>
          <w:tcPr>
            <w:tcW w:w="5780" w:type="dxa"/>
            <w:vAlign w:val="bottom"/>
          </w:tcPr>
          <w:p>
            <w:pPr>
              <w:jc w:val="center"/>
              <w:ind w:right="2040"/>
              <w:spacing w:after="0"/>
              <w:rPr>
                <w:sz w:val="20"/>
                <w:szCs w:val="20"/>
                <w:color w:val="auto"/>
              </w:rPr>
            </w:pPr>
            <w:r>
              <w:rPr>
                <w:rFonts w:ascii="Times New Roman" w:cs="Times New Roman" w:eastAsia="Times New Roman" w:hAnsi="Times New Roman"/>
                <w:sz w:val="16"/>
                <w:szCs w:val="16"/>
                <w:color w:val="auto"/>
                <w:w w:val="99"/>
              </w:rPr>
              <w:t>Signature (representative):</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ID Number:</w:t>
            </w:r>
          </w:p>
        </w:tc>
        <w:tc>
          <w:tcPr>
            <w:tcW w:w="5780" w:type="dxa"/>
            <w:vAlign w:val="bottom"/>
          </w:tcPr>
          <w:p>
            <w:pPr>
              <w:jc w:val="center"/>
              <w:ind w:right="2040"/>
              <w:spacing w:after="0"/>
              <w:rPr>
                <w:sz w:val="20"/>
                <w:szCs w:val="20"/>
                <w:color w:val="auto"/>
              </w:rPr>
            </w:pPr>
            <w:r>
              <w:rPr>
                <w:rFonts w:ascii="Times New Roman" w:cs="Times New Roman" w:eastAsia="Times New Roman" w:hAnsi="Times New Roman"/>
                <w:sz w:val="16"/>
                <w:szCs w:val="16"/>
                <w:color w:val="auto"/>
              </w:rPr>
              <w:t>ID Number:</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Phone:</w:t>
            </w:r>
          </w:p>
        </w:tc>
        <w:tc>
          <w:tcPr>
            <w:tcW w:w="5780" w:type="dxa"/>
            <w:vAlign w:val="bottom"/>
          </w:tcPr>
          <w:p>
            <w:pPr>
              <w:jc w:val="center"/>
              <w:ind w:right="2020"/>
              <w:spacing w:after="0"/>
              <w:rPr>
                <w:sz w:val="20"/>
                <w:szCs w:val="20"/>
                <w:color w:val="auto"/>
              </w:rPr>
            </w:pPr>
            <w:r>
              <w:rPr>
                <w:rFonts w:ascii="Times New Roman" w:cs="Times New Roman" w:eastAsia="Times New Roman" w:hAnsi="Times New Roman"/>
                <w:sz w:val="16"/>
                <w:szCs w:val="16"/>
                <w:color w:val="auto"/>
                <w:w w:val="98"/>
              </w:rPr>
              <w:t>Phone:</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Date of Signing:</w:t>
            </w:r>
          </w:p>
        </w:tc>
        <w:tc>
          <w:tcPr>
            <w:tcW w:w="5780" w:type="dxa"/>
            <w:vAlign w:val="bottom"/>
          </w:tcPr>
          <w:p>
            <w:pPr>
              <w:jc w:val="center"/>
              <w:ind w:right="2040"/>
              <w:spacing w:after="0"/>
              <w:rPr>
                <w:sz w:val="20"/>
                <w:szCs w:val="20"/>
                <w:color w:val="auto"/>
              </w:rPr>
            </w:pPr>
            <w:r>
              <w:rPr>
                <w:rFonts w:ascii="Times New Roman" w:cs="Times New Roman" w:eastAsia="Times New Roman" w:hAnsi="Times New Roman"/>
                <w:sz w:val="16"/>
                <w:szCs w:val="16"/>
                <w:color w:val="auto"/>
              </w:rPr>
              <w:t>Date of Signing:</w:t>
            </w:r>
          </w:p>
        </w:tc>
      </w:tr>
      <w:tr>
        <w:trPr>
          <w:trHeight w:val="581"/>
        </w:trPr>
        <w:tc>
          <w:tcPr>
            <w:tcW w:w="54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jc w:val="right"/>
              <w:ind w:right="5480"/>
              <w:spacing w:after="0"/>
              <w:rPr>
                <w:sz w:val="20"/>
                <w:szCs w:val="20"/>
                <w:color w:val="auto"/>
              </w:rPr>
            </w:pPr>
            <w:r>
              <w:rPr>
                <w:rFonts w:ascii="Times New Roman" w:cs="Times New Roman" w:eastAsia="Times New Roman" w:hAnsi="Times New Roman"/>
                <w:sz w:val="16"/>
                <w:szCs w:val="16"/>
                <w:color w:val="auto"/>
              </w:rPr>
              <w:t>13</w:t>
            </w:r>
          </w:p>
        </w:tc>
      </w:tr>
    </w:tbl>
    <w:p>
      <w:pPr>
        <w:sectPr>
          <w:pgSz w:w="11900" w:h="16838" w:orient="portrait"/>
          <w:cols w:equalWidth="0" w:num="1">
            <w:col w:w="11260"/>
          </w:cols>
          <w:pgMar w:left="320" w:top="819" w:right="31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6"/>
          <w:szCs w:val="16"/>
          <w:b w:val="1"/>
          <w:bCs w:val="1"/>
          <w:color w:val="auto"/>
        </w:rPr>
        <w:t>Exhibit 10.12</w:t>
      </w:r>
    </w:p>
    <w:p>
      <w:pPr>
        <w:spacing w:after="0" w:line="201" w:lineRule="exact"/>
        <w:rPr>
          <w:sz w:val="20"/>
          <w:szCs w:val="20"/>
          <w:color w:val="auto"/>
        </w:rPr>
      </w:pPr>
    </w:p>
    <w:p>
      <w:pPr>
        <w:ind w:left="5924"/>
        <w:spacing w:after="0"/>
        <w:rPr>
          <w:sz w:val="20"/>
          <w:szCs w:val="20"/>
          <w:color w:val="auto"/>
        </w:rPr>
      </w:pPr>
      <w:r>
        <w:rPr>
          <w:rFonts w:ascii="Times New Roman" w:cs="Times New Roman" w:eastAsia="Times New Roman" w:hAnsi="Times New Roman"/>
          <w:sz w:val="16"/>
          <w:szCs w:val="16"/>
          <w:b w:val="1"/>
          <w:bCs w:val="1"/>
          <w:color w:val="auto"/>
        </w:rPr>
        <w:t>NO.</w:t>
      </w:r>
    </w:p>
    <w:p>
      <w:pPr>
        <w:spacing w:after="0" w:line="201"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16"/>
          <w:szCs w:val="16"/>
          <w:b w:val="1"/>
          <w:bCs w:val="1"/>
          <w:color w:val="auto"/>
        </w:rPr>
        <w:t>Guangzhou Fengxing Plaza office lease contract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Lessor: </w:t>
      </w:r>
      <w:r>
        <w:rPr>
          <w:rFonts w:ascii="Times New Roman" w:cs="Times New Roman" w:eastAsia="Times New Roman" w:hAnsi="Times New Roman"/>
          <w:sz w:val="16"/>
          <w:szCs w:val="16"/>
          <w:u w:val="single" w:color="auto"/>
          <w:color w:val="auto"/>
        </w:rPr>
        <w:t>Guangzhou Fengwei Decoration Engineering Co., Ltd.</w:t>
      </w:r>
      <w:r>
        <w:rPr>
          <w:rFonts w:ascii="Times New Roman" w:cs="Times New Roman" w:eastAsia="Times New Roman" w:hAnsi="Times New Roman"/>
          <w:sz w:val="16"/>
          <w:szCs w:val="16"/>
          <w:color w:val="auto"/>
        </w:rPr>
        <w:t xml:space="preserve"> (hereinafter referred to as Party A)</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Address: </w:t>
      </w:r>
      <w:r>
        <w:rPr>
          <w:rFonts w:ascii="Times New Roman" w:cs="Times New Roman" w:eastAsia="Times New Roman" w:hAnsi="Times New Roman"/>
          <w:sz w:val="16"/>
          <w:szCs w:val="16"/>
          <w:u w:val="single" w:color="auto"/>
          <w:color w:val="auto"/>
        </w:rPr>
        <w:t>2807, No. 67, Tianhe East Road, Tianhe District, Guangzhou</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Tel: </w:t>
      </w:r>
      <w:r>
        <w:rPr>
          <w:rFonts w:ascii="Times New Roman" w:cs="Times New Roman" w:eastAsia="Times New Roman" w:hAnsi="Times New Roman"/>
          <w:sz w:val="16"/>
          <w:szCs w:val="16"/>
          <w:u w:val="single" w:color="auto"/>
          <w:color w:val="auto"/>
        </w:rPr>
        <w:t>020-38394333</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Postal Code: </w:t>
      </w:r>
      <w:r>
        <w:rPr>
          <w:rFonts w:ascii="Times New Roman" w:cs="Times New Roman" w:eastAsia="Times New Roman" w:hAnsi="Times New Roman"/>
          <w:sz w:val="16"/>
          <w:szCs w:val="16"/>
          <w:u w:val="single" w:color="auto"/>
          <w:color w:val="auto"/>
        </w:rPr>
        <w:t>510620</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Legal representative: </w:t>
      </w:r>
      <w:r>
        <w:rPr>
          <w:rFonts w:ascii="Times New Roman" w:cs="Times New Roman" w:eastAsia="Times New Roman" w:hAnsi="Times New Roman"/>
          <w:sz w:val="16"/>
          <w:szCs w:val="16"/>
          <w:u w:val="single" w:color="auto"/>
          <w:color w:val="auto"/>
        </w:rPr>
        <w:t>Li Buyun</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Lessee: </w:t>
      </w:r>
      <w:r>
        <w:rPr>
          <w:rFonts w:ascii="Times New Roman" w:cs="Times New Roman" w:eastAsia="Times New Roman" w:hAnsi="Times New Roman"/>
          <w:sz w:val="16"/>
          <w:szCs w:val="16"/>
          <w:u w:val="single" w:color="auto"/>
          <w:color w:val="auto"/>
        </w:rPr>
        <w:t>CLPS Guangzhou Co., Ltd.</w:t>
      </w:r>
      <w:r>
        <w:rPr>
          <w:rFonts w:ascii="Times New Roman" w:cs="Times New Roman" w:eastAsia="Times New Roman" w:hAnsi="Times New Roman"/>
          <w:sz w:val="16"/>
          <w:szCs w:val="16"/>
          <w:color w:val="auto"/>
        </w:rPr>
        <w:t xml:space="preserve"> (hereinafter referred to as Party B)</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Address: </w:t>
      </w:r>
      <w:r>
        <w:rPr>
          <w:rFonts w:ascii="Times New Roman" w:cs="Times New Roman" w:eastAsia="Times New Roman" w:hAnsi="Times New Roman"/>
          <w:sz w:val="16"/>
          <w:szCs w:val="16"/>
          <w:u w:val="single" w:color="auto"/>
          <w:color w:val="auto"/>
        </w:rPr>
        <w:t>Unit 01-11, 21th floor, No. 67 Tianhe East Road, Tianhe District, Guangzhou</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Tel: </w:t>
      </w:r>
      <w:r>
        <w:rPr>
          <w:rFonts w:ascii="Times New Roman" w:cs="Times New Roman" w:eastAsia="Times New Roman" w:hAnsi="Times New Roman"/>
          <w:sz w:val="16"/>
          <w:szCs w:val="16"/>
          <w:u w:val="single" w:color="auto"/>
          <w:color w:val="auto"/>
        </w:rPr>
        <w:t>020-38068088</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Postal Code: </w:t>
      </w:r>
      <w:r>
        <w:rPr>
          <w:rFonts w:ascii="Times New Roman" w:cs="Times New Roman" w:eastAsia="Times New Roman" w:hAnsi="Times New Roman"/>
          <w:sz w:val="16"/>
          <w:szCs w:val="16"/>
          <w:u w:val="single" w:color="auto"/>
          <w:color w:val="auto"/>
        </w:rPr>
        <w:t>510620</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Legal representative: </w:t>
      </w:r>
      <w:r>
        <w:rPr>
          <w:rFonts w:ascii="Times New Roman" w:cs="Times New Roman" w:eastAsia="Times New Roman" w:hAnsi="Times New Roman"/>
          <w:sz w:val="16"/>
          <w:szCs w:val="16"/>
          <w:u w:val="single" w:color="auto"/>
          <w:color w:val="auto"/>
        </w:rPr>
        <w:t>Yang Xiaofeng</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Contact person and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1638935</wp:posOffset>
            </wp:positionH>
            <wp:positionV relativeFrom="paragraph">
              <wp:posOffset>-17145</wp:posOffset>
            </wp:positionV>
            <wp:extent cx="48323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1">
                      <a:extLst>
                        <a:ext uri="{28A0092B-C50C-407E-A947-70E740481C1C}"/>
                      </a:extLst>
                    </a:blip>
                    <a:srcRect/>
                    <a:stretch>
                      <a:fillRect/>
                    </a:stretch>
                  </pic:blipFill>
                  <pic:spPr bwMode="auto">
                    <a:xfrm>
                      <a:off x="0" y="0"/>
                      <a:ext cx="483235" cy="7620"/>
                    </a:xfrm>
                    <a:prstGeom prst="rect">
                      <a:avLst/>
                    </a:prstGeom>
                    <a:noFill/>
                  </pic:spPr>
                </pic:pic>
              </a:graphicData>
            </a:graphic>
          </wp:anchor>
        </w:drawing>
      </w:r>
    </w:p>
    <w:p>
      <w:pPr>
        <w:spacing w:after="0" w:line="16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Through friendly negotiation, both parties hereby enter into this contract with respect to Party B’s lease of Party A’s premises for mutual compliance.</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 Name, address and size of the premises</w:t>
      </w:r>
    </w:p>
    <w:p>
      <w:pPr>
        <w:spacing w:after="0" w:line="201"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u w:val="single" w:color="auto"/>
          <w:color w:val="auto"/>
        </w:rPr>
        <w:t>Unit 01-11, 21th Floor, No. 67 Tianhe East Road, Tianhe District, Guangzhou</w:t>
      </w:r>
      <w:r>
        <w:rPr>
          <w:rFonts w:ascii="Times New Roman" w:cs="Times New Roman" w:eastAsia="Times New Roman" w:hAnsi="Times New Roman"/>
          <w:sz w:val="16"/>
          <w:szCs w:val="16"/>
          <w:color w:val="auto"/>
        </w:rPr>
        <w:t xml:space="preserve"> (hereinafter referred to as “the house”, see Annex 3 for details, the drawing is for general identification purposes only and does not show the size of the house). The house has a rented floor area of </w:t>
      </w:r>
      <w:r>
        <w:rPr>
          <w:rFonts w:ascii="Times New Roman" w:cs="Times New Roman" w:eastAsia="Times New Roman" w:hAnsi="Times New Roman"/>
          <w:sz w:val="16"/>
          <w:szCs w:val="16"/>
          <w:u w:val="single" w:color="auto"/>
          <w:color w:val="auto"/>
        </w:rPr>
        <w:t>2354.13</w:t>
      </w:r>
      <w:r>
        <w:rPr>
          <w:rFonts w:ascii="Times New Roman" w:cs="Times New Roman" w:eastAsia="Times New Roman" w:hAnsi="Times New Roman"/>
          <w:sz w:val="16"/>
          <w:szCs w:val="16"/>
          <w:color w:val="auto"/>
        </w:rPr>
        <w:t xml:space="preserve"> square meters.</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2 Usage</w:t>
      </w:r>
    </w:p>
    <w:p>
      <w:pPr>
        <w:spacing w:after="0" w:line="201"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6"/>
          <w:szCs w:val="16"/>
          <w:color w:val="auto"/>
        </w:rPr>
        <w:t xml:space="preserve">The house is rented to Party B for office use. The name of Party B’s business in this house is </w:t>
      </w:r>
      <w:r>
        <w:rPr>
          <w:rFonts w:ascii="Times New Roman" w:cs="Times New Roman" w:eastAsia="Times New Roman" w:hAnsi="Times New Roman"/>
          <w:sz w:val="16"/>
          <w:szCs w:val="16"/>
          <w:u w:val="single" w:color="auto"/>
          <w:color w:val="auto"/>
        </w:rPr>
        <w:t>CLPS Guangzhou Co., Ltd.</w:t>
      </w:r>
      <w:r>
        <w:rPr>
          <w:rFonts w:ascii="Times New Roman" w:cs="Times New Roman" w:eastAsia="Times New Roman" w:hAnsi="Times New Roman"/>
          <w:sz w:val="16"/>
          <w:szCs w:val="16"/>
          <w:color w:val="auto"/>
        </w:rPr>
        <w:t xml:space="preserve">, Its business scope is </w:t>
      </w:r>
      <w:r>
        <w:rPr>
          <w:rFonts w:ascii="Times New Roman" w:cs="Times New Roman" w:eastAsia="Times New Roman" w:hAnsi="Times New Roman"/>
          <w:sz w:val="16"/>
          <w:szCs w:val="16"/>
          <w:u w:val="single" w:color="auto"/>
          <w:color w:val="auto"/>
        </w:rPr>
        <w:t>software and information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technology services</w:t>
      </w:r>
      <w:r>
        <w:rPr>
          <w:rFonts w:ascii="Times New Roman" w:cs="Times New Roman" w:eastAsia="Times New Roman" w:hAnsi="Times New Roman"/>
          <w:sz w:val="16"/>
          <w:szCs w:val="16"/>
          <w:color w:val="auto"/>
        </w:rPr>
        <w:t>. If Party B needs to change the business operated in the house, if it involves the approval of the competent government department or go through the change procedures according to law, it must go through the change procedures in accordance with laws and regulations and notify Party A in writing within 3 days from the date of registration of the change.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3 Lease Period</w:t>
      </w:r>
    </w:p>
    <w:p>
      <w:pPr>
        <w:spacing w:after="0" w:line="201" w:lineRule="exact"/>
        <w:rPr>
          <w:sz w:val="20"/>
          <w:szCs w:val="20"/>
          <w:color w:val="auto"/>
        </w:rPr>
      </w:pPr>
    </w:p>
    <w:p>
      <w:pPr>
        <w:jc w:val="both"/>
        <w:ind w:left="4" w:hanging="4"/>
        <w:spacing w:after="0" w:line="261" w:lineRule="auto"/>
        <w:tabs>
          <w:tab w:leader="none" w:pos="17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leases the house for a contract period of </w:t>
      </w:r>
      <w:r>
        <w:rPr>
          <w:rFonts w:ascii="Times New Roman" w:cs="Times New Roman" w:eastAsia="Times New Roman" w:hAnsi="Times New Roman"/>
          <w:sz w:val="16"/>
          <w:szCs w:val="16"/>
          <w:u w:val="single" w:color="auto"/>
          <w:color w:val="auto"/>
        </w:rPr>
        <w:t>40</w:t>
      </w:r>
      <w:r>
        <w:rPr>
          <w:rFonts w:ascii="Times New Roman" w:cs="Times New Roman" w:eastAsia="Times New Roman" w:hAnsi="Times New Roman"/>
          <w:sz w:val="16"/>
          <w:szCs w:val="16"/>
          <w:color w:val="auto"/>
        </w:rPr>
        <w:t xml:space="preserve"> months from the start date of the lease period, from </w:t>
      </w:r>
      <w:r>
        <w:rPr>
          <w:rFonts w:ascii="Times New Roman" w:cs="Times New Roman" w:eastAsia="Times New Roman" w:hAnsi="Times New Roman"/>
          <w:sz w:val="16"/>
          <w:szCs w:val="16"/>
          <w:u w:val="single" w:color="auto"/>
          <w:color w:val="auto"/>
        </w:rPr>
        <w:t>September 1, 2023</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December 31, 2026</w:t>
      </w:r>
      <w:r>
        <w:rPr>
          <w:rFonts w:ascii="Times New Roman" w:cs="Times New Roman" w:eastAsia="Times New Roman" w:hAnsi="Times New Roman"/>
          <w:sz w:val="16"/>
          <w:szCs w:val="16"/>
          <w:color w:val="auto"/>
        </w:rPr>
        <w:t>;Under the premise that Party B has paid the first month’s rent, management fee and performance bond in full in accordance with the provisions of this contract, Party A and Party B shall jointly handle the handover procedures for the house one day before the start date of the lease period, and Party A shall deliver the house to Party B for use according to the lease contract on the start date of the lease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372745</wp:posOffset>
            </wp:positionV>
            <wp:extent cx="7147560" cy="152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270" w:name="page271"/>
    <w:bookmarkEnd w:id="270"/>
    <w:p>
      <w:pPr>
        <w:ind w:left="4" w:right="20" w:hanging="4"/>
        <w:spacing w:after="0" w:line="283" w:lineRule="auto"/>
        <w:tabs>
          <w:tab w:leader="none" w:pos="17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the lease contract, neither party may unilaterally cancel or terminate the lease contract, except in the circumstances where the contract can be terminated as stipulated by law and the lease contract.</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4 Rent</w:t>
      </w:r>
    </w:p>
    <w:p>
      <w:pPr>
        <w:spacing w:after="0" w:line="213" w:lineRule="exact"/>
        <w:rPr>
          <w:sz w:val="20"/>
          <w:szCs w:val="20"/>
          <w:color w:val="auto"/>
        </w:rPr>
      </w:pPr>
    </w:p>
    <w:p>
      <w:pPr>
        <w:ind w:left="4" w:right="20" w:hanging="4"/>
        <w:spacing w:after="0" w:line="206" w:lineRule="exact"/>
        <w:tabs>
          <w:tab w:leader="none" w:pos="16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B’s monthly rent for renting the house is RMB: </w:t>
      </w:r>
      <w:r>
        <w:rPr>
          <w:rFonts w:ascii="Times New Roman" w:cs="Times New Roman" w:eastAsia="Times New Roman" w:hAnsi="Times New Roman"/>
          <w:sz w:val="16"/>
          <w:szCs w:val="16"/>
          <w:u w:val="single" w:color="auto"/>
          <w:color w:val="auto"/>
        </w:rPr>
        <w:t>247,184.00</w:t>
      </w:r>
      <w:r>
        <w:rPr>
          <w:rFonts w:ascii="Times New Roman" w:cs="Times New Roman" w:eastAsia="Times New Roman" w:hAnsi="Times New Roman"/>
          <w:sz w:val="16"/>
          <w:szCs w:val="16"/>
          <w:color w:val="auto"/>
        </w:rPr>
        <w:t xml:space="preserve"> </w:t>
      </w:r>
      <w:r>
        <w:rPr>
          <w:rFonts w:ascii="SimSun" w:cs="SimSun" w:eastAsia="SimSun" w:hAnsi="SimSun"/>
          <w:sz w:val="16"/>
          <w:szCs w:val="16"/>
          <w:color w:val="auto"/>
        </w:rPr>
        <w:t>，</w:t>
      </w:r>
      <w:r>
        <w:rPr>
          <w:rFonts w:ascii="Times New Roman" w:cs="Times New Roman" w:eastAsia="Times New Roman" w:hAnsi="Times New Roman"/>
          <w:sz w:val="16"/>
          <w:szCs w:val="16"/>
          <w:u w:val="single" w:color="auto"/>
          <w:color w:val="auto"/>
        </w:rPr>
        <w:t>RMB 105</w:t>
      </w:r>
      <w:r>
        <w:rPr>
          <w:rFonts w:ascii="Times New Roman" w:cs="Times New Roman" w:eastAsia="Times New Roman" w:hAnsi="Times New Roman"/>
          <w:sz w:val="16"/>
          <w:szCs w:val="16"/>
          <w:color w:val="auto"/>
        </w:rPr>
        <w:t xml:space="preserve"> per square meter (rent does not include property management fees, water, electricity and other expenses). From the third year of tenancy, the monthly rent will increase by 5% per annum. The specific rent is as follows.</w:t>
      </w:r>
    </w:p>
    <w:p>
      <w:pPr>
        <w:spacing w:after="0" w:line="174" w:lineRule="exact"/>
        <w:rPr>
          <w:sz w:val="20"/>
          <w:szCs w:val="20"/>
          <w:color w:val="auto"/>
        </w:rPr>
      </w:pPr>
    </w:p>
    <w:tbl>
      <w:tblPr>
        <w:tblLayout w:type="fixed"/>
        <w:tblInd w:w="14" w:type="dxa"/>
        <w:tblCellMar>
          <w:top w:w="0" w:type="dxa"/>
          <w:left w:w="0" w:type="dxa"/>
          <w:bottom w:w="0" w:type="dxa"/>
          <w:right w:w="0" w:type="dxa"/>
        </w:tblCellMar>
      </w:tblPr>
      <w:tr>
        <w:trPr>
          <w:trHeight w:val="204"/>
        </w:trPr>
        <w:tc>
          <w:tcPr>
            <w:tcW w:w="6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Rental time</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Rent (RMB/month)</w:t>
            </w:r>
          </w:p>
        </w:tc>
      </w:tr>
      <w:tr>
        <w:trPr>
          <w:trHeight w:val="184"/>
        </w:trPr>
        <w:tc>
          <w:tcPr>
            <w:tcW w:w="6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September 1, 2023 to December 31, 2023</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Rent-free period</w:t>
            </w:r>
          </w:p>
        </w:tc>
      </w:tr>
      <w:tr>
        <w:trPr>
          <w:trHeight w:val="184"/>
        </w:trPr>
        <w:tc>
          <w:tcPr>
            <w:tcW w:w="6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January 1, 2024 to December 31, 2025</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247,184.00</w:t>
            </w:r>
          </w:p>
        </w:tc>
      </w:tr>
      <w:tr>
        <w:trPr>
          <w:trHeight w:val="184"/>
        </w:trPr>
        <w:tc>
          <w:tcPr>
            <w:tcW w:w="6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January 1, 2026 to December 31, 2026</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259,543.00</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 The house is paid according to the principle of first payment and then use, and the specific time of rent payment is as follows:</w:t>
      </w:r>
    </w:p>
    <w:p>
      <w:pPr>
        <w:spacing w:after="0" w:line="213" w:lineRule="exact"/>
        <w:rPr>
          <w:sz w:val="20"/>
          <w:szCs w:val="20"/>
          <w:color w:val="auto"/>
        </w:rPr>
      </w:pPr>
    </w:p>
    <w:p>
      <w:pPr>
        <w:ind w:left="284"/>
        <w:spacing w:after="0" w:line="195" w:lineRule="exact"/>
        <w:rPr>
          <w:sz w:val="20"/>
          <w:szCs w:val="20"/>
          <w:color w:val="auto"/>
        </w:rPr>
      </w:pPr>
      <w:r>
        <w:rPr>
          <w:rFonts w:ascii="Times New Roman" w:cs="Times New Roman" w:eastAsia="Times New Roman" w:hAnsi="Times New Roman"/>
          <w:sz w:val="16"/>
          <w:szCs w:val="16"/>
          <w:color w:val="auto"/>
        </w:rPr>
        <w:t>2.1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Party B shall pay the first (monthly) rent after the expiration of the rent-free period within 3 working days before the date of the lease contract, calculated in </w:t>
      </w:r>
      <w:r>
        <w:rPr>
          <w:rFonts w:ascii="Times New Roman" w:cs="Times New Roman" w:eastAsia="Times New Roman" w:hAnsi="Times New Roman"/>
          <w:sz w:val="16"/>
          <w:szCs w:val="16"/>
          <w:u w:val="single" w:color="auto"/>
          <w:color w:val="auto"/>
        </w:rPr>
        <w:t>RMB</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247,184.00 yuan</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ind w:left="284"/>
        <w:spacing w:after="0" w:line="195" w:lineRule="exact"/>
        <w:rPr>
          <w:sz w:val="20"/>
          <w:szCs w:val="20"/>
          <w:color w:val="auto"/>
        </w:rPr>
      </w:pPr>
      <w:r>
        <w:rPr>
          <w:rFonts w:ascii="Times New Roman" w:cs="Times New Roman" w:eastAsia="Times New Roman" w:hAnsi="Times New Roman"/>
          <w:sz w:val="16"/>
          <w:szCs w:val="16"/>
          <w:color w:val="auto"/>
        </w:rPr>
        <w:t>2.3</w:t>
      </w:r>
      <w:r>
        <w:rPr>
          <w:rFonts w:ascii="SimSun" w:cs="SimSun" w:eastAsia="SimSun" w:hAnsi="SimSun"/>
          <w:sz w:val="16"/>
          <w:szCs w:val="16"/>
          <w:color w:val="auto"/>
        </w:rPr>
        <w:t>、</w:t>
      </w:r>
      <w:r>
        <w:rPr>
          <w:rFonts w:ascii="Times New Roman" w:cs="Times New Roman" w:eastAsia="Times New Roman" w:hAnsi="Times New Roman"/>
          <w:sz w:val="16"/>
          <w:szCs w:val="16"/>
          <w:color w:val="auto"/>
        </w:rPr>
        <w:t>Party B shall pay the next month’s rent to Party A before the end of each month (28-31), and Party A may implement it in accordance with the provisions of Article</w:t>
      </w:r>
    </w:p>
    <w:p>
      <w:pPr>
        <w:spacing w:after="0" w:line="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8, Paragraph 2 of this contract.</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 Party B’s rent can be delivered to Party A’s account by transfer:</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Account name: Guangzhou Fengwei Decoration Engineering Co., Ltd</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Bank: China Merchants Bank Fengxing Sub-branch</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Account number: 120906300410888</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5 Management Fees</w:t>
      </w:r>
    </w:p>
    <w:p>
      <w:pPr>
        <w:spacing w:after="0" w:line="201" w:lineRule="exact"/>
        <w:rPr>
          <w:sz w:val="20"/>
          <w:szCs w:val="20"/>
          <w:color w:val="auto"/>
        </w:rPr>
      </w:pPr>
    </w:p>
    <w:p>
      <w:pPr>
        <w:jc w:val="both"/>
        <w:ind w:left="4" w:hanging="4"/>
        <w:spacing w:after="0" w:line="267" w:lineRule="auto"/>
        <w:tabs>
          <w:tab w:leader="none" w:pos="182"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entrusts Guangdong Fengwei Property Management Co., Ltd. (hereinafter referred to as the property management company) to be responsible for the property management of the building and the management of Party B’s leased housing, and Party B agrees to this. The specific content of the property management services provided by Guangdong Fengwei Property Management Co., Ltd. shall be subject to the “Preliminary Property Management Service Agreement” signed between Party B and Party B.</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Property company address: the first floor of No. 23, Tianhe South 2nd Road, Tianhe District, Guangzhou</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Property company telephone: 87518183</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1" w:name="page272"/>
    <w:bookmarkEnd w:id="271"/>
    <w:p>
      <w:pPr>
        <w:jc w:val="both"/>
        <w:ind w:left="4" w:right="20" w:hanging="4"/>
        <w:spacing w:after="0" w:line="267" w:lineRule="auto"/>
        <w:tabs>
          <w:tab w:leader="none" w:pos="195"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monthly management fee for the house is </w:t>
      </w:r>
      <w:r>
        <w:rPr>
          <w:rFonts w:ascii="Times New Roman" w:cs="Times New Roman" w:eastAsia="Times New Roman" w:hAnsi="Times New Roman"/>
          <w:sz w:val="16"/>
          <w:szCs w:val="16"/>
          <w:u w:val="single" w:color="auto"/>
          <w:color w:val="auto"/>
        </w:rPr>
        <w:t>RMB58,853.00 (RMB58,853.00) RMB 25 per square metre.</w:t>
      </w:r>
      <w:r>
        <w:rPr>
          <w:rFonts w:ascii="Times New Roman" w:cs="Times New Roman" w:eastAsia="Times New Roman" w:hAnsi="Times New Roman"/>
          <w:sz w:val="16"/>
          <w:szCs w:val="16"/>
          <w:color w:val="auto"/>
        </w:rPr>
        <w:t xml:space="preserve"> The property management company may increase the management fee due to changes in government prices or the rise of the market price index, but the specific fees need to be negotiated with Party B and agreed by Party B, and the property management company shall provide Party B with relevant documents, materials or policy provisions that affect the change of management fees.</w:t>
      </w:r>
    </w:p>
    <w:p>
      <w:pPr>
        <w:spacing w:after="0" w:line="155"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house is paid first and used later, and the specific time of management fee payment is as follows:</w:t>
      </w:r>
    </w:p>
    <w:p>
      <w:pPr>
        <w:spacing w:after="0" w:line="201" w:lineRule="exact"/>
        <w:rPr>
          <w:sz w:val="20"/>
          <w:szCs w:val="20"/>
          <w:color w:val="auto"/>
        </w:rPr>
      </w:pPr>
    </w:p>
    <w:p>
      <w:pPr>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3.1 Party B shall pay the first (monthly) management fee after the expiration of the rent-free period within 3 working days before the date of the lease contract, calculated in </w:t>
      </w:r>
      <w:r>
        <w:rPr>
          <w:rFonts w:ascii="Times New Roman" w:cs="Times New Roman" w:eastAsia="Times New Roman" w:hAnsi="Times New Roman"/>
          <w:sz w:val="16"/>
          <w:szCs w:val="16"/>
          <w:u w:val="single" w:color="auto"/>
          <w:color w:val="auto"/>
        </w:rPr>
        <w:t>RMB 58,853.00.</w:t>
      </w:r>
    </w:p>
    <w:p>
      <w:pPr>
        <w:spacing w:after="0" w:line="143" w:lineRule="exact"/>
        <w:rPr>
          <w:sz w:val="20"/>
          <w:szCs w:val="20"/>
          <w:color w:val="auto"/>
        </w:rPr>
      </w:pPr>
    </w:p>
    <w:p>
      <w:pPr>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3.3According to the principle of first payment and then use, Party B must pay the next month’s monthly management fee to the property management company before the end of each month (28-31), and the property management company can implement it in accordance with the provisions of Article 8, paragraph 2 of this contract.</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4. Party B’s management fee can be delivered to the property management company’s account in the form of transfer:</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Account name: Guangdong Fengwei Property Management Co., Ltd</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Bank: ICBC Tianhe Sub-branch</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Account number: 3602013419200318634</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6 Performance bond</w:t>
      </w:r>
    </w:p>
    <w:p>
      <w:pPr>
        <w:spacing w:after="0" w:line="201" w:lineRule="exact"/>
        <w:rPr>
          <w:sz w:val="20"/>
          <w:szCs w:val="20"/>
          <w:color w:val="auto"/>
        </w:rPr>
      </w:pPr>
    </w:p>
    <w:p>
      <w:pPr>
        <w:jc w:val="both"/>
        <w:ind w:left="4" w:right="20" w:hanging="4"/>
        <w:spacing w:after="0" w:line="267" w:lineRule="auto"/>
        <w:tabs>
          <w:tab w:leader="none" w:pos="16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shall, within 3 working days before the date of commencement of the lease contract (but no later than the start date of the lease period), pay Party A the equivalent of two months’ rent in the first year: RMB </w:t>
      </w:r>
      <w:r>
        <w:rPr>
          <w:rFonts w:ascii="Times New Roman" w:cs="Times New Roman" w:eastAsia="Times New Roman" w:hAnsi="Times New Roman"/>
          <w:sz w:val="16"/>
          <w:szCs w:val="16"/>
          <w:u w:val="single" w:color="auto"/>
          <w:color w:val="auto"/>
        </w:rPr>
        <w:t>494,368.00</w:t>
      </w:r>
      <w:r>
        <w:rPr>
          <w:rFonts w:ascii="Times New Roman" w:cs="Times New Roman" w:eastAsia="Times New Roman" w:hAnsi="Times New Roman"/>
          <w:sz w:val="16"/>
          <w:szCs w:val="16"/>
          <w:color w:val="auto"/>
        </w:rPr>
        <w:t xml:space="preserve"> and management fee </w:t>
      </w:r>
      <w:r>
        <w:rPr>
          <w:rFonts w:ascii="Times New Roman" w:cs="Times New Roman" w:eastAsia="Times New Roman" w:hAnsi="Times New Roman"/>
          <w:sz w:val="16"/>
          <w:szCs w:val="16"/>
          <w:u w:val="single" w:color="auto"/>
          <w:color w:val="auto"/>
        </w:rPr>
        <w:t>(RMB 117,706.00)</w:t>
      </w:r>
      <w:r>
        <w:rPr>
          <w:rFonts w:ascii="Times New Roman" w:cs="Times New Roman" w:eastAsia="Times New Roman" w:hAnsi="Times New Roman"/>
          <w:sz w:val="16"/>
          <w:szCs w:val="16"/>
          <w:color w:val="auto"/>
        </w:rPr>
        <w:t xml:space="preserve">, a total of RMB: </w:t>
      </w:r>
      <w:r>
        <w:rPr>
          <w:rFonts w:ascii="Times New Roman" w:cs="Times New Roman" w:eastAsia="Times New Roman" w:hAnsi="Times New Roman"/>
          <w:sz w:val="16"/>
          <w:szCs w:val="16"/>
          <w:i w:val="1"/>
          <w:iCs w:val="1"/>
          <w:u w:val="single" w:color="auto"/>
          <w:color w:val="auto"/>
        </w:rPr>
        <w:t>612,074.00 CNY</w:t>
      </w:r>
      <w:r>
        <w:rPr>
          <w:rFonts w:ascii="Times New Roman" w:cs="Times New Roman" w:eastAsia="Times New Roman" w:hAnsi="Times New Roman"/>
          <w:sz w:val="16"/>
          <w:szCs w:val="16"/>
          <w:color w:val="auto"/>
        </w:rPr>
        <w:t xml:space="preserve"> It can be delivered to the account of Party A and the property management company in the form of transfer, and the performance bond cannot be used against rent, management fees and other expenses.</w:t>
      </w:r>
    </w:p>
    <w:p>
      <w:pPr>
        <w:spacing w:after="0" w:line="155"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16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is late in paying the performance bond, Party B shall pay liquidated damages to Party A at 0.2% of the amount of the outstanding performance bond payable for each overdue day, and Party A has the right not to deliver the house to Party B for use until Party B has paid all the performance bond and liquidated damages, and the lease period and rent-free period stipulated in paragraphs 1 and 2 of Article 3 of this contract shall not be extended or changed accordingly; If Party B fails to pay the performance bond in full within 15 working days after the deadline, Party A has the right to rescind the contract, and Party B shall pay Party A the rent of the unit from the date of payment of the performance bond to the date of termination of the contract.</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72" w:name="page273"/>
    <w:bookmarkEnd w:id="272"/>
    <w:p>
      <w:pPr>
        <w:ind w:left="4" w:right="20" w:hanging="4"/>
        <w:spacing w:after="0" w:line="283" w:lineRule="auto"/>
        <w:tabs>
          <w:tab w:leader="none" w:pos="18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termination of the contract, Party B will return the performance bond to Party B without interest within 30 working days after Party B pays the rent and all expenses and Party A confirms that the house is not damaged (refer to Article 10, Paragraph 5 of this contract).</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7 Other Expenses</w:t>
      </w:r>
    </w:p>
    <w:p>
      <w:pPr>
        <w:spacing w:after="0" w:line="201" w:lineRule="exact"/>
        <w:rPr>
          <w:sz w:val="20"/>
          <w:szCs w:val="20"/>
          <w:color w:val="auto"/>
        </w:rPr>
      </w:pPr>
    </w:p>
    <w:p>
      <w:pPr>
        <w:jc w:val="both"/>
        <w:ind w:left="4" w:hanging="4"/>
        <w:spacing w:after="0" w:line="267" w:lineRule="auto"/>
        <w:tabs>
          <w:tab w:leader="none" w:pos="16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rent-free period, Party B does not need to pay the rent of the house to Party A, but must pay the management fee for the rent-free period from </w:t>
      </w:r>
      <w:r>
        <w:rPr>
          <w:rFonts w:ascii="Times New Roman" w:cs="Times New Roman" w:eastAsia="Times New Roman" w:hAnsi="Times New Roman"/>
          <w:sz w:val="16"/>
          <w:szCs w:val="16"/>
          <w:u w:val="single" w:color="auto"/>
          <w:color w:val="auto"/>
        </w:rPr>
        <w:t>September 1, 2023</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December 31, 2023 (RMB 235,412.00)</w:t>
      </w:r>
      <w:r>
        <w:rPr>
          <w:rFonts w:ascii="Times New Roman" w:cs="Times New Roman" w:eastAsia="Times New Roman" w:hAnsi="Times New Roman"/>
          <w:sz w:val="16"/>
          <w:szCs w:val="16"/>
          <w:color w:val="auto"/>
        </w:rPr>
        <w:t xml:space="preserve"> before handing over the site, and the utility fee during the rent-free period shall be paid in accordance with the provisions of paragraph 2 of this Article.</w:t>
      </w:r>
    </w:p>
    <w:p>
      <w:pPr>
        <w:spacing w:after="0" w:line="155" w:lineRule="exact"/>
        <w:rPr>
          <w:rFonts w:ascii="Times New Roman" w:cs="Times New Roman" w:eastAsia="Times New Roman" w:hAnsi="Times New Roman"/>
          <w:sz w:val="16"/>
          <w:szCs w:val="16"/>
          <w:color w:val="auto"/>
        </w:rPr>
      </w:pPr>
    </w:p>
    <w:p>
      <w:pPr>
        <w:ind w:left="204" w:hanging="204"/>
        <w:spacing w:after="0"/>
        <w:tabs>
          <w:tab w:leader="none" w:pos="204"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Self-water and electricity bills and shared costs</w:t>
      </w:r>
    </w:p>
    <w:p>
      <w:pPr>
        <w:spacing w:after="0" w:line="201"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Party B’s self-use and self-consumption of electricity will be paid in accordance with the relevant regulations of the national government departments. The property management company designated by Party A shall collect and pay on behalf of the property management company, and the payment time shall be subject to the notice of the property management company. Party B shall bear the apportionment of the loss of self-consumption and electricity. The calculation method of self-consumption electricity sharing cost is 10% of Party B’s actual indoor electricity consumption. Self-consumption is apportioned in proportion to usage. The shared fee is paid together with the electricity and water bills for self-consumption at the time of payment.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 Telephone and network fees</w:t>
      </w:r>
    </w:p>
    <w:p>
      <w:pPr>
        <w:spacing w:after="0" w:line="20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The telephone and network shall be reported to the telecommunications department by Party B. Party B’s FAX fee, IDD telephone fee, network fee and local telephone fee shall be paid by Party B every month according to the telephone bill of the Telecommunications Bureau.</w:t>
      </w:r>
    </w:p>
    <w:p>
      <w:pPr>
        <w:spacing w:after="0" w:line="143" w:lineRule="exact"/>
        <w:rPr>
          <w:sz w:val="20"/>
          <w:szCs w:val="20"/>
          <w:color w:val="auto"/>
        </w:rPr>
      </w:pPr>
    </w:p>
    <w:p>
      <w:pPr>
        <w:ind w:left="144" w:hanging="144"/>
        <w:spacing w:after="0"/>
        <w:tabs>
          <w:tab w:leader="none" w:pos="144"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Air conditioning management regulations and costs</w:t>
      </w:r>
    </w:p>
    <w:p>
      <w:pPr>
        <w:spacing w:after="0" w:line="200"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Use of central air conditioning</w:t>
      </w:r>
    </w:p>
    <w:p>
      <w:pPr>
        <w:spacing w:after="0" w:line="201"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1.1 Air conditioning in the office building is available from 8:00 to 18:00 on Monday to Friday, 8:00 am to 12:00 pm on Saturday, and is closed on Saturday afternoon, Sunday and public holidays.</w:t>
      </w:r>
    </w:p>
    <w:p>
      <w:pPr>
        <w:spacing w:after="0" w:line="143" w:lineRule="exact"/>
        <w:rPr>
          <w:sz w:val="20"/>
          <w:szCs w:val="20"/>
          <w:color w:val="auto"/>
        </w:rPr>
      </w:pPr>
    </w:p>
    <w:p>
      <w:pPr>
        <w:jc w:val="both"/>
        <w:ind w:left="4" w:right="20"/>
        <w:spacing w:after="0" w:line="206" w:lineRule="exact"/>
        <w:rPr>
          <w:sz w:val="20"/>
          <w:szCs w:val="20"/>
          <w:color w:val="auto"/>
        </w:rPr>
      </w:pPr>
      <w:r>
        <w:rPr>
          <w:rFonts w:ascii="Times New Roman" w:cs="Times New Roman" w:eastAsia="Times New Roman" w:hAnsi="Times New Roman"/>
          <w:sz w:val="16"/>
          <w:szCs w:val="16"/>
          <w:color w:val="auto"/>
        </w:rPr>
        <w:t xml:space="preserve">1.2 If Party B needs to apply to turn on the central air conditioning on weekends/holidays, it needs to submit a written application to the property company one working day in advance, and after approval by the property company, Party B will pay the corresponding overtime air conditioning fee to the property company before turning on the central air conditioning, and the specific overtime air conditioning fee standard is detailed in the annex </w:t>
      </w:r>
      <w:r>
        <w:rPr>
          <w:rFonts w:ascii="SimSun" w:cs="SimSun" w:eastAsia="SimSun" w:hAnsi="SimSun"/>
          <w:sz w:val="16"/>
          <w:szCs w:val="16"/>
          <w:color w:val="auto"/>
        </w:rPr>
        <w:t>《</w:t>
      </w:r>
      <w:r>
        <w:rPr>
          <w:rFonts w:ascii="Times New Roman" w:cs="Times New Roman" w:eastAsia="Times New Roman" w:hAnsi="Times New Roman"/>
          <w:sz w:val="16"/>
          <w:szCs w:val="16"/>
          <w:color w:val="auto"/>
        </w:rPr>
        <w:t>Fengxing Plaza Weekend/Holiday Overtime Air Conditioning Charging Standard.</w:t>
      </w:r>
      <w:r>
        <w:rPr>
          <w:rFonts w:ascii="SimSun" w:cs="SimSun" w:eastAsia="SimSun" w:hAnsi="SimSun"/>
          <w:sz w:val="16"/>
          <w:szCs w:val="16"/>
          <w:color w:val="auto"/>
        </w:rPr>
        <w:t>》</w:t>
      </w:r>
    </w:p>
    <w:p>
      <w:pPr>
        <w:spacing w:after="0" w:line="38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73" w:name="page274"/>
    <w:bookmarkEnd w:id="273"/>
    <w:p>
      <w:pPr>
        <w:ind w:left="4" w:right="20"/>
        <w:spacing w:after="0" w:line="283" w:lineRule="auto"/>
        <w:rPr>
          <w:sz w:val="20"/>
          <w:szCs w:val="20"/>
          <w:color w:val="auto"/>
        </w:rPr>
      </w:pPr>
      <w:r>
        <w:rPr>
          <w:rFonts w:ascii="Times New Roman" w:cs="Times New Roman" w:eastAsia="Times New Roman" w:hAnsi="Times New Roman"/>
          <w:sz w:val="16"/>
          <w:szCs w:val="16"/>
          <w:color w:val="auto"/>
        </w:rPr>
        <w:t>Note: Property company approval conditions: More than 30% of the units in the building (calculated by floor area) apply for overtime before the central air conditioning can be started.</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 Split air conditioner installation and use</w:t>
      </w:r>
    </w:p>
    <w:p>
      <w:pPr>
        <w:spacing w:after="0" w:line="201"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Without the written consent of Party A or the property company, Party B is strictly prohibited from installing split air conditioning within the scope of the rented house or using the public area of the building.</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8 Rights and obligations of Party B</w:t>
      </w:r>
    </w:p>
    <w:p>
      <w:pPr>
        <w:spacing w:after="0" w:line="201" w:lineRule="exact"/>
        <w:rPr>
          <w:sz w:val="20"/>
          <w:szCs w:val="20"/>
          <w:color w:val="auto"/>
        </w:rPr>
      </w:pPr>
    </w:p>
    <w:p>
      <w:pPr>
        <w:jc w:val="both"/>
        <w:ind w:left="4" w:right="20" w:hanging="4"/>
        <w:spacing w:after="0" w:line="261" w:lineRule="auto"/>
        <w:tabs>
          <w:tab w:leader="none" w:pos="165"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Party B must abide by the relevant laws and regulations of the state, obey the building management regulations and relevant property management regulations, and shall not have pollution and noise affecting the surrounding environment, otherwise all legal and economic responsibilities arising therefrom shall be borne by Party B. If there is any violation of criminal laws such as gambling, prostitution, drug use (trafficking), etc., in addition to Party B’s own legal and economic responsibility, Party A has the right to terminate the contract unconditionally, </w:t>
      </w:r>
      <w:r>
        <w:rPr>
          <w:rFonts w:ascii="Times New Roman" w:cs="Times New Roman" w:eastAsia="Times New Roman" w:hAnsi="Times New Roman"/>
          <w:sz w:val="16"/>
          <w:szCs w:val="16"/>
          <w:u w:val="single" w:color="auto"/>
          <w:color w:val="auto"/>
        </w:rPr>
        <w:t>but Party B needs to be notified at least 7 working days in advance,</w:t>
      </w:r>
      <w:r>
        <w:rPr>
          <w:rFonts w:ascii="Times New Roman" w:cs="Times New Roman" w:eastAsia="Times New Roman" w:hAnsi="Times New Roman"/>
          <w:sz w:val="16"/>
          <w:szCs w:val="16"/>
          <w:color w:val="auto"/>
        </w:rPr>
        <w:t xml:space="preserve"> and the performance bond paid by Party B will not be refunded.</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17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pay Party A rent, management fee and other fees payable by Party B on time. If the payment is overdue, Party A or the property management company may exercise the following relevant rights and interests from Party B:</w:t>
      </w:r>
    </w:p>
    <w:p>
      <w:pPr>
        <w:spacing w:after="0" w:line="143" w:lineRule="exact"/>
        <w:rPr>
          <w:sz w:val="20"/>
          <w:szCs w:val="20"/>
          <w:color w:val="auto"/>
        </w:rPr>
      </w:pPr>
    </w:p>
    <w:p>
      <w:pPr>
        <w:jc w:val="both"/>
        <w:ind w:left="4" w:hanging="4"/>
        <w:spacing w:after="0" w:line="267" w:lineRule="auto"/>
        <w:tabs>
          <w:tab w:leader="none" w:pos="277"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has not paid the rent within the due period for more than 5 days, a late fee of 2% of the total rent owed shall be added to the overdue time from the 6th day onwards; If Party B defaults on rent for more than 15 days, Party A has the right to unconditionally recover the house, and reserves the right to recover the fees payable from Party B, and Party B will not return the deposit paid as liquidated damages. (Overdue is less than one month counted as one month).</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261"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fails to pay the management fee and other fees within the time limit for more than 5 days, a late fee of 2% of the total amount of the management fee and other fees owed will be charged daily from the 6th day onwards according to the overdue time; If Party B defaults on any fee for 15 days, the property management company has the right to stop supplying water, electricity, central air conditioning, telephone lines or other facilities in the building to the rented house of Party B, and Party B agrees that Party A or the property management company may take measures such as locking the door, and Party B shall bear all the consequences and losses arising therefrom.</w:t>
      </w:r>
    </w:p>
    <w:p>
      <w:pPr>
        <w:spacing w:after="0" w:line="162" w:lineRule="exact"/>
        <w:rPr>
          <w:sz w:val="20"/>
          <w:szCs w:val="20"/>
          <w:color w:val="auto"/>
        </w:rPr>
      </w:pPr>
    </w:p>
    <w:p>
      <w:pPr>
        <w:jc w:val="both"/>
        <w:ind w:left="4" w:right="20" w:hanging="4"/>
        <w:spacing w:after="0" w:line="259" w:lineRule="auto"/>
        <w:tabs>
          <w:tab w:leader="none" w:pos="167"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rental period, Party B must protect the internal equipment and other equipment of the house in good condition and tidy (except for natural depreciation and non-Party B’s responsibility), including but not limited to taking all appropriate measures to protect the interior of the house from damage before the storm arrives. Party A shall not be liable for any personal damage, property or other losses caused by theft, flood, fire and other man-made events or natural disasters caused by non-Party A’s reasons or damage to Party B’s own equipment and facilities. In order to prevent the above risks, Party B shall purchase corresponding insurance. The insured and beneficiaries of the insurance shall include Party A.</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4" w:name="page275"/>
    <w:bookmarkEnd w:id="274"/>
    <w:p>
      <w:pPr>
        <w:jc w:val="both"/>
        <w:ind w:left="4" w:hanging="4"/>
        <w:spacing w:after="0" w:line="267" w:lineRule="auto"/>
        <w:tabs>
          <w:tab w:leader="none" w:pos="21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not change the structure and use of the house without authorization, if Party B intentionally or negligently causes damage to the house and equipment, it shall be responsible for restoring the original state and compensating reasonable losses, and Party B shall bear the cost of repairing the facilities and equipment related to the central system of the building (including fire protection, air conditioning, communications, security, elevators, etc.) in the house due to Party B’s intentional or negligent damage.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164"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needs to decorate and partition the house when entering the site, it must obtain the consent of Party A or the property management company in writing in advance. Party B must report the fire protection construction audit to the Guangzhou Fire Protection Bureau by itself, and go to the property management company to handle the construction with the Guangzhou Fire Bureau’s audit opinion, and it must be accepted by the fire control before it can be put into use. If changes in the central system (including fire protection, air conditioning, etc.) are involved, in order to ensure the safety of the central system of the building, the professional unit must be responsible for the renovation at the market price, and Party B shall bear the relevant costs of the transformation.</w:t>
      </w:r>
    </w:p>
    <w:p>
      <w:pPr>
        <w:spacing w:after="0" w:line="161" w:lineRule="exact"/>
        <w:rPr>
          <w:rFonts w:ascii="Times New Roman" w:cs="Times New Roman" w:eastAsia="Times New Roman" w:hAnsi="Times New Roman"/>
          <w:sz w:val="16"/>
          <w:szCs w:val="16"/>
          <w:color w:val="auto"/>
        </w:rPr>
      </w:pPr>
    </w:p>
    <w:p>
      <w:pPr>
        <w:jc w:val="both"/>
        <w:ind w:left="4" w:hanging="4"/>
        <w:spacing w:after="0" w:line="267" w:lineRule="auto"/>
        <w:tabs>
          <w:tab w:leader="none" w:pos="17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bear the fire safety responsibility of the house during the lease period (including the decoration rent-free period), and if the house is damaged due to the fire caused by Party B, it shall also bear the liability for compensation to Party A. If the house is installed or inspected for fire fighting facilities in the future, Party B shall unconditionally obey and cooperate.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8"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store and allow others to store weapons, ammunition, explosive and flammable and other prohibited dangerous substances in the premises; No illegal activities may be carried out inside the premises. Boxes, furniture, garbage, etc. shall not be stacked or left in elevators, lobbies, stairs, passages and other public places on each floor of the building to ensure the smooth flow of this place.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8"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Responsible for the hygiene of the interior of the house. If Party B receives a notice from the government department requesting sanitation work in the house, Party B must notify the property management company and implement it according to the notice. If Party B does not follow the notice, so that Party A suffers economic losses caused by this behavior, Party B must be responsible for compensation.</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9"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not change the lease purpose of the house without authorization, shall not sublease, sublease, or otherwise transfer the house to a third party for use, shall not provide guarantee to others in any form, or mortgage its lease use right (operation right) to others. Otherwise, Party A has the right to take back the house and confiscate the performance bond, and Party B shall bear all the responsibilities arising therefrom.</w:t>
      </w:r>
    </w:p>
    <w:p>
      <w:pPr>
        <w:spacing w:after="0" w:line="156"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Notwithstanding the foregoing, Party B may transfer all or part of its rights and obligations under the lease contract to Party B’s affiliates (including but not limited to any enterprise that directly or indirectly controls Party B in any way, is directly or indirectly controlled by Party B in any way, or is directly or indirectly under common control with Party B in any way) during the lease period and with 1 month’s written notice to Party A in advance. However, Party B shall notify Party A in writing in advance and provide Party A with documents and other legal documents proving its association with Party B. The assignee shall sign a new contract with Party A in accordance with the terms of the lease contract, and all costs arising from the signing of the new lease contract shall be borne by Party B or (including but not limited to the stamp duty borne by Party A according to law).</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75" w:name="page276"/>
    <w:bookmarkEnd w:id="275"/>
    <w:p>
      <w:pPr>
        <w:jc w:val="both"/>
        <w:ind w:left="4" w:right="20" w:hanging="4"/>
        <w:spacing w:after="0" w:line="267" w:lineRule="auto"/>
        <w:tabs>
          <w:tab w:leader="none" w:pos="254"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facilities in the building fail to operate normally due to circumstances beyond Party A’s control, such as interruption of the normal supply of water, electricity, air conditioning and elevators, Party A shall not be liable to compensate Party B for any losses, and at the same time, the rent and other expenses payable by Party B under the lease agreement shall not be affected by this, but Party A shall do its best to repair and restore the normal supply of the above facilities.</w:t>
      </w:r>
    </w:p>
    <w:p>
      <w:pPr>
        <w:spacing w:after="0" w:line="155" w:lineRule="exact"/>
        <w:rPr>
          <w:rFonts w:ascii="Times New Roman" w:cs="Times New Roman" w:eastAsia="Times New Roman" w:hAnsi="Times New Roman"/>
          <w:sz w:val="16"/>
          <w:szCs w:val="16"/>
          <w:color w:val="auto"/>
        </w:rPr>
      </w:pPr>
    </w:p>
    <w:p>
      <w:pPr>
        <w:jc w:val="both"/>
        <w:ind w:left="4" w:hanging="4"/>
        <w:spacing w:after="0" w:line="257" w:lineRule="auto"/>
        <w:tabs>
          <w:tab w:leader="none" w:pos="25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apply for and obtain all permits and approvals required by laws and regulations to carry out business activities. If Party B does not submit industrial and commercial, association or other registration documents to Party A when signing the lease contract (the specific submission documents depend on the nature of Party B’s organization), Party B shall report to the relevant government department within 3 months from the date of the start of the lease period of the lease contract to obtain a business license or other registration documents, and submit a copy of it verified by Party A to Party A for filing, and the name displayed on such certificates shall be consistent with Party B’s name or the name specified in Article 1, Paragraph 4 of this contract. During the validity period of the lease contract, Party B shall keep such certificates valid continuously.</w:t>
      </w:r>
    </w:p>
    <w:p>
      <w:pPr>
        <w:spacing w:after="0" w:line="164" w:lineRule="exact"/>
        <w:rPr>
          <w:rFonts w:ascii="Times New Roman" w:cs="Times New Roman" w:eastAsia="Times New Roman" w:hAnsi="Times New Roman"/>
          <w:sz w:val="16"/>
          <w:szCs w:val="16"/>
          <w:color w:val="auto"/>
        </w:rPr>
      </w:pPr>
    </w:p>
    <w:p>
      <w:pPr>
        <w:ind w:left="4" w:right="20" w:hanging="4"/>
        <w:spacing w:after="0" w:line="283" w:lineRule="auto"/>
        <w:tabs>
          <w:tab w:leader="none" w:pos="25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abide by the property management of the building, and shall not open the windows on the glass curtain wall without the consent of Party A or the property management company.</w:t>
      </w:r>
    </w:p>
    <w:p>
      <w:pPr>
        <w:spacing w:after="0" w:line="143"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247"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Normal office hours: Monday to Friday 8:00 to 18:00, Saturday 8:00 am to 12:00 pm; Other times and national statutory holidays are arranged as abnormal hours. If Party B’s office hours change, it is necessary to notify the property management company in writing in advance, and the overtime shall not exceed 22:30 at the latest, and each overtime work shall go to the property management company in advance to complete the registration procedures; Party B shall pay the relevant fees for the additional operating expenses of public facilities and equipment (such as public corridor lighting, elevators, etc.) caused by overtime according to the charging standards of the property management agreement in the early stage of the property management agreement of the property company.</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25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does not handle the handover procedures of the house or accept the house in accordance with the provisions of Article 3, Paragraph 1 of this contract, Party B shall be deemed to have received the house, and Party B shall pay rent to Party A and pay property management fees and other expenses to the property management company in accordance with the provisions of the lease contract, and the lease period and rent-free period shall not be extended or changed accordingly. If Party B fails to complete the handover procedures for the house or accept the house within 30 days (including 30 days) after the deadline, Party A has the right to rescind the contract, confiscate the performance bond, and recover the amount due from Party B.</w:t>
      </w:r>
    </w:p>
    <w:p>
      <w:pPr>
        <w:spacing w:after="0" w:line="161"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B’s decoration plan is reviewed and approved by Party A or the property company, there is no need to restore the original state after the lease expires.</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6" w:name="page277"/>
    <w:bookmarkEnd w:id="276"/>
    <w:p>
      <w:pPr>
        <w:ind w:left="4"/>
        <w:spacing w:after="0"/>
        <w:rPr>
          <w:sz w:val="20"/>
          <w:szCs w:val="20"/>
          <w:color w:val="auto"/>
        </w:rPr>
      </w:pPr>
      <w:r>
        <w:rPr>
          <w:rFonts w:ascii="Times New Roman" w:cs="Times New Roman" w:eastAsia="Times New Roman" w:hAnsi="Times New Roman"/>
          <w:sz w:val="16"/>
          <w:szCs w:val="16"/>
          <w:color w:val="auto"/>
        </w:rPr>
        <w:t>Article 9 Rights and obligations of Party A</w:t>
      </w:r>
    </w:p>
    <w:p>
      <w:pPr>
        <w:spacing w:after="0" w:line="201" w:lineRule="exact"/>
        <w:rPr>
          <w:sz w:val="20"/>
          <w:szCs w:val="20"/>
          <w:color w:val="auto"/>
        </w:rPr>
      </w:pPr>
    </w:p>
    <w:p>
      <w:pPr>
        <w:jc w:val="both"/>
        <w:ind w:left="4" w:right="20" w:hanging="4"/>
        <w:spacing w:after="0" w:line="257" w:lineRule="auto"/>
        <w:tabs>
          <w:tab w:leader="none" w:pos="166"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fails to deliver the house within the time specified in the lease contract, if it is overdue within 15 working days (including 15 working days), Party B has the right to choose (A) extend the lease period and rent-free period accordingly, or (B) require Party A to pay liquidated damages to Party A (the liquidated damages are calculated as 0.2% of the monthly rent of the leased unit to Party B for every 1 day overdue). If the overdue period exceeds 15 working days, Party B has the right to cancel the contract, and Party A shall return the performance bond paid by Party B and the first month’s rent to Party B without interest within 15 working days after the cancellation of the contract, and pay liquidated damages to Party B, and the liquidated damages shall be calculated as 0.2% of the monthly rent of the rental unit to Party B for every 1 day overdue. After Party A performs the above responsibilities, the obligations, rights and responsibilities of both parties in this situation shall be terminated.</w:t>
      </w:r>
    </w:p>
    <w:p>
      <w:pPr>
        <w:spacing w:after="0" w:line="164" w:lineRule="exact"/>
        <w:rPr>
          <w:rFonts w:ascii="Times New Roman" w:cs="Times New Roman" w:eastAsia="Times New Roman" w:hAnsi="Times New Roman"/>
          <w:sz w:val="16"/>
          <w:szCs w:val="16"/>
          <w:color w:val="auto"/>
        </w:rPr>
      </w:pPr>
    </w:p>
    <w:p>
      <w:pPr>
        <w:ind w:left="4" w:hanging="4"/>
        <w:spacing w:after="0" w:line="283" w:lineRule="auto"/>
        <w:tabs>
          <w:tab w:leader="none" w:pos="17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is responsible for providing electricity, central air conditioning and other public facilities for Party B to use in the house; Responsible for the normal operation and maintenance of the central system facilities and equipment of the building (including fire, security, air conditioning, communications, electrical appliances and other systems).</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it is the legal lessor of the house, has the full authority, qualification and ability to sign the lease contract and perform the obligations of Party A in the lease contract, and that the unit does not have any possible property rights disputes that affect Party B’s use of the house, otherwise Party A shall bear the liability for breach of contract.</w:t>
      </w:r>
    </w:p>
    <w:p>
      <w:pPr>
        <w:spacing w:after="0" w:line="156" w:lineRule="exact"/>
        <w:rPr>
          <w:sz w:val="20"/>
          <w:szCs w:val="20"/>
          <w:color w:val="auto"/>
        </w:rPr>
      </w:pPr>
    </w:p>
    <w:p>
      <w:pPr>
        <w:ind w:left="4"/>
        <w:spacing w:after="0" w:line="283" w:lineRule="auto"/>
        <w:rPr>
          <w:sz w:val="20"/>
          <w:szCs w:val="20"/>
          <w:color w:val="auto"/>
        </w:rPr>
      </w:pPr>
      <w:r>
        <w:rPr>
          <w:rFonts w:ascii="Times New Roman" w:cs="Times New Roman" w:eastAsia="Times New Roman" w:hAnsi="Times New Roman"/>
          <w:sz w:val="16"/>
          <w:szCs w:val="16"/>
          <w:color w:val="auto"/>
        </w:rPr>
        <w:t>Party A or the person or organization agreed to by it has the right to hold activities or publish advertisements in common places such as lobbies, elevator halls, elevator cars, corridors, etc. However, it cannot affect Party B to use the house as agreed in the lease contract.</w:t>
      </w:r>
    </w:p>
    <w:p>
      <w:pPr>
        <w:spacing w:after="0" w:line="143" w:lineRule="exact"/>
        <w:rPr>
          <w:sz w:val="20"/>
          <w:szCs w:val="20"/>
          <w:color w:val="auto"/>
        </w:rPr>
      </w:pPr>
    </w:p>
    <w:p>
      <w:pPr>
        <w:jc w:val="both"/>
        <w:ind w:left="4" w:right="20" w:hanging="4"/>
        <w:spacing w:after="0" w:line="259" w:lineRule="auto"/>
        <w:tabs>
          <w:tab w:leader="none" w:pos="171"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the lease contract, Party A may transfer or mortgage the building or the house to a third party without Party B’s consent, and Party B waives the right of first refusal to purchase the unit, provided that Party A shall notify Party B in writing within 15 days after the effective date of the transfer. The change of owner caused by the transfer of the building and the house and the mortgage of the building or the house do not affect the validity of the lease contract, and the new owner inherits the rights and obligations of Party A in the lease contract. Party A warrants that the transferee will be fully aware of Party A’s rights and obligations under this Contract, and the transferee shall agree in writing to assume all of Party A’s rights and obligations under this Contract.</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77" w:name="page278"/>
    <w:bookmarkEnd w:id="277"/>
    <w:p>
      <w:pPr>
        <w:ind w:left="4" w:right="20" w:hanging="4"/>
        <w:spacing w:after="0" w:line="283" w:lineRule="auto"/>
        <w:tabs>
          <w:tab w:leader="none" w:pos="19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and the property management company have the responsibility to assist and guide Party B to handle the secondary decoration construction procedures, and supervise and manage the whole process of Party B’s secondary decoration according to the requirements of the Guangzhou Fire Department’s decoration audit opinion.</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86"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permits Party A to install, use and maintain plumbing and wiring through or in the house, and Party A has the right to enter the house after giving Party B reasonable advance notice (except for emergencies) for the purpose of carrying out inspections of the above conditions and repairs deemed necessary.</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not arbitrarily take back the house in advance. If it is withdrawn in advance, Party A shall return the performance bond paid by Party B twice.</w:t>
      </w:r>
    </w:p>
    <w:p>
      <w:pPr>
        <w:spacing w:after="0" w:line="200"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17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lease period, Party A may demolish, modify or expand or add to the structure of the building where the leased house is located, including but not limited to the entrance, exit, elevator hall and other areas of the building where the house is located, but it cannot affect Party B’s normal office, including but not limited to equipment failure, office environment noise exceeding national standards, etc., if Party B’s employees complain about noise problems, Party A shall solve them in time to ensure the normal office of Party B’s employees. Party B shall not use this to cancel this contract or demand a reduction in rent, management fees, etc.</w:t>
      </w:r>
    </w:p>
    <w:p>
      <w:pPr>
        <w:spacing w:after="0" w:line="161" w:lineRule="exact"/>
        <w:rPr>
          <w:rFonts w:ascii="Times New Roman" w:cs="Times New Roman" w:eastAsia="Times New Roman" w:hAnsi="Times New Roman"/>
          <w:sz w:val="16"/>
          <w:szCs w:val="16"/>
          <w:color w:val="auto"/>
        </w:rPr>
      </w:pPr>
    </w:p>
    <w:p>
      <w:pPr>
        <w:ind w:left="4" w:right="500" w:hanging="4"/>
        <w:spacing w:after="0" w:line="501" w:lineRule="auto"/>
        <w:tabs>
          <w:tab w:leader="none" w:pos="164"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it has the right to entrust the property management services stipulated in this contract to Guangdong Fengwei Property Management Co., Ltd. Article 10 Termination of Contract and Return of Leased Unit</w:t>
      </w:r>
    </w:p>
    <w:p>
      <w:pPr>
        <w:spacing w:after="0" w:line="1" w:lineRule="exact"/>
        <w:rPr>
          <w:sz w:val="20"/>
          <w:szCs w:val="20"/>
          <w:color w:val="auto"/>
        </w:rPr>
      </w:pPr>
    </w:p>
    <w:p>
      <w:pPr>
        <w:jc w:val="both"/>
        <w:ind w:left="4" w:hanging="4"/>
        <w:spacing w:after="0" w:line="198" w:lineRule="exact"/>
        <w:tabs>
          <w:tab w:leader="none" w:pos="165"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contract is terminated normally at the end of this contract and the two parties have not agreed to renew the lease by Party B or cancel or terminate the lease contract in advance, Party B shall go through the relevant procedures for termination of the contract with Party A 15 days in advance, pay all fees and remove all the property in the house on the date of the expiration of the lease (if the contract is cancelled or terminated early, no later than 5 days from the date of rescission or termination of the contract), and if it is returned within the time limit, Party B shall pay Party A the house occupancy fee according to the actual number of occupied days from the date of overdue</w:t>
      </w:r>
      <w:r>
        <w:rPr>
          <w:rFonts w:ascii="SimSun" w:cs="SimSun" w:eastAsia="SimSun" w:hAnsi="SimSun"/>
          <w:sz w:val="16"/>
          <w:szCs w:val="16"/>
          <w:color w:val="auto"/>
        </w:rPr>
        <w:t>，</w:t>
      </w:r>
      <w:r>
        <w:rPr>
          <w:rFonts w:ascii="Times New Roman" w:cs="Times New Roman" w:eastAsia="Times New Roman" w:hAnsi="Times New Roman"/>
          <w:sz w:val="16"/>
          <w:szCs w:val="16"/>
          <w:color w:val="auto"/>
        </w:rPr>
        <w:t>(Occupancy fee rate: 200% of the last daily rent level before the termination of the contract), property management fee and other related expenses. At the same time, Party A has the right to take necessary measures to recover the house (including but not limited to opening and replacing the door lock by itself, and disposing of the property in the unit according to Article 10, Paragraph 3 of the contract), and Party B shall bear the costs and losses caused thereby.</w:t>
      </w:r>
    </w:p>
    <w:p>
      <w:pPr>
        <w:spacing w:after="0" w:line="178"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2.If the lease period of the lease contract expires and the two parties do not agree to renew the lease by Party B or the lease contract is cancelled or terminated in advance, Party B shall return the leased property in the state after renovation (but excluding the public part occupied by Party B’s special application), and Party B has the right to dismantle its office furniture and equipment, but cannot dismantle the fixed decoration part (such as the interval of decoration, ceiling, floor, lighting, pipeline, etc.), and the original indoor fixed decoration belongs to Party A. If the structure of the house is damaged, Party A has the right to require Party B to make compensation (except for disasters, wars, and natural depreciation).</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78" w:name="page279"/>
    <w:bookmarkEnd w:id="278"/>
    <w:p>
      <w:pPr>
        <w:jc w:val="both"/>
        <w:ind w:left="4" w:right="20" w:hanging="4"/>
        <w:spacing w:after="0" w:line="259" w:lineRule="auto"/>
        <w:tabs>
          <w:tab w:leader="none" w:pos="17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remove all the furniture and miscellaneous goods within 5 days from the date of expiration of the lease or the termination of the contract, and the items that have not been removed shall be deemed to be waived by Party B as giving up their ownership and all other rights and interests, and Party A may dispose of such property by itself, and the value of such property and any of its rights and interests shall be deemed to be zero. Party A’s disposal of such property does not constitute an infringement on Party B or any third party, and Party B shall bear the costs and losses suffered by Party A and any third party as a result. During the above 5-day clean-up period, Party B shall not pay any rent except for the energy fees, property management fees, and communication fees payable by other third parties during the clean-up period.</w:t>
      </w:r>
    </w:p>
    <w:p>
      <w:pPr>
        <w:spacing w:after="0" w:line="162"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4.If Party B needs to terminate the operation before the expiration of the contract period for any reason, Party B shall notify Party A in writing one month in advance, and after obtaining the consent of Party A, it shall be handled in accordance with Paragraphs 1 and 2 of Article 10 of this contract, and the deposit paid by Party B shall belong to Party A.</w:t>
      </w:r>
    </w:p>
    <w:p>
      <w:pPr>
        <w:spacing w:after="0" w:line="156"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5.After the termination of the lease contract, Party B shall return the house to Party A in accordance with the following provisions before requesting the refund of the performance bond:</w:t>
      </w:r>
    </w:p>
    <w:p>
      <w:pPr>
        <w:spacing w:after="0" w:line="143" w:lineRule="exact"/>
        <w:rPr>
          <w:sz w:val="20"/>
          <w:szCs w:val="20"/>
          <w:color w:val="auto"/>
        </w:rPr>
      </w:pPr>
    </w:p>
    <w:p>
      <w:pPr>
        <w:ind w:left="224" w:hanging="224"/>
        <w:spacing w:after="0"/>
        <w:tabs>
          <w:tab w:leader="none" w:pos="22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Remove all of his belongings from the house;</w:t>
      </w:r>
    </w:p>
    <w:p>
      <w:pPr>
        <w:spacing w:after="0" w:line="200" w:lineRule="exact"/>
        <w:rPr>
          <w:rFonts w:ascii="Times New Roman" w:cs="Times New Roman" w:eastAsia="Times New Roman" w:hAnsi="Times New Roman"/>
          <w:sz w:val="16"/>
          <w:szCs w:val="16"/>
          <w:color w:val="auto"/>
        </w:rPr>
      </w:pPr>
    </w:p>
    <w:p>
      <w:pPr>
        <w:ind w:left="4" w:right="20" w:hanging="4"/>
        <w:spacing w:after="0" w:line="283" w:lineRule="auto"/>
        <w:tabs>
          <w:tab w:leader="none" w:pos="245"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with Party A whether the equipment and facilities delivered by Party A to Party B are in normal use (except normal wear and tear), and Party B shall repair or compensate if there is any damage;</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Party A the keys to the door of the house and all the doors inside it;</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rent, property management fees and other expenses (including but not limited to water, electricity, communication fees, etc.);</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parties or Party A sign the confirmation document for Party B’s return of the leased house.</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11 Renewal</w:t>
      </w:r>
    </w:p>
    <w:p>
      <w:pPr>
        <w:spacing w:after="0" w:line="201" w:lineRule="exact"/>
        <w:rPr>
          <w:sz w:val="20"/>
          <w:szCs w:val="20"/>
          <w:color w:val="auto"/>
        </w:rPr>
      </w:pPr>
    </w:p>
    <w:p>
      <w:pPr>
        <w:jc w:val="both"/>
        <w:ind w:left="4" w:hanging="4"/>
        <w:spacing w:after="0" w:line="267" w:lineRule="auto"/>
        <w:tabs>
          <w:tab w:leader="none" w:pos="176"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expiration of the lease contract, Party B may renew the contract with Party A first under the same conditions. If Party B renews the lease, Party B shall notify Party A in writing 3 months before the expiration of the lease period. Parties A and B shall negotiate to sign a new lease contract, and if both parties are unable to sign a new lease contract with only 1 month left before the expiration date of the lease period, the lease will not be renewed.</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5"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Three months before the expiration of the contract, if Party B does not propose to Party A in writing to renew the contract, Party B shall be deemed to have waived and the contract shall be terminated upon expiration. Party A may lead customers interested in the house to enter the house for inspection at a reasonable time and without affecting the normal operation of Party B, but Party A shall notify Party B 3 days in advance, and Party B shall cooperate.</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79" w:name="page280"/>
    <w:bookmarkEnd w:id="279"/>
    <w:p>
      <w:pPr>
        <w:ind w:left="4"/>
        <w:spacing w:after="0"/>
        <w:rPr>
          <w:sz w:val="20"/>
          <w:szCs w:val="20"/>
          <w:color w:val="auto"/>
        </w:rPr>
      </w:pPr>
      <w:r>
        <w:rPr>
          <w:rFonts w:ascii="Times New Roman" w:cs="Times New Roman" w:eastAsia="Times New Roman" w:hAnsi="Times New Roman"/>
          <w:sz w:val="16"/>
          <w:szCs w:val="16"/>
          <w:color w:val="auto"/>
        </w:rPr>
        <w:t>Article 12 Force Majeure</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During the lease period, if the house or the building is damaged beyond repair or unsuitable for lease due to force majeure, natural disasters, war, riots, this contract will be terminated naturally, and Party A and Party B shall not be liable to each other, and after Party B pays all the expenses due, Party A will return the performance bond paid by Party B to Party B within seven days without interest.</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13 Dispute Resolution</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This contract shall be governed by the laws of the People’s Republic of China, and all disputes arising from the performance of this contract shall be resolved by both parties through friendly negotiation as much as possible, and if the negotiation fails, it may be resolved by litigation in the court where the building is located, and the parties shall continue to perform this contract during the litigation.</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Article 14 Miscellaneous</w:t>
      </w:r>
    </w:p>
    <w:p>
      <w:pPr>
        <w:spacing w:after="0" w:line="201" w:lineRule="exact"/>
        <w:rPr>
          <w:sz w:val="20"/>
          <w:szCs w:val="20"/>
          <w:color w:val="auto"/>
        </w:rPr>
      </w:pPr>
    </w:p>
    <w:p>
      <w:pPr>
        <w:ind w:left="4" w:right="20" w:hanging="4"/>
        <w:spacing w:after="0" w:line="283" w:lineRule="auto"/>
        <w:tabs>
          <w:tab w:leader="none" w:pos="163"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lease registration and filing fee, stamp duty and related fees levied by government departments of this contract shall be borne equally by both parties (if the government stipulates that one party shall bear the burden, it shall be handled according to the regulations).</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70"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the lease contract, both parties and their employees and agents shall keep the terms of the lease contract confidential and shall not disclose or disclose the terms of the lease contract to any third party without the written consent of both parties A and B.</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16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and requests given by either party to this contract (including the property management company) to the other party must be sent in writing to the address indicated in this contract. Such notices or correspondence shall be delivered by hand or by facsimile or express mail. If it is delivered by hand, it shall be deemed to have been duly delivered upon delivery. If sent by facsimile, the notice is actually received by the person receiving the fax. If it is delivered by Speedpost, it will be deemed to have been delivered within 3 days after dispatch by Speedpost. Any change of address must be notified in writing within seven days.</w:t>
      </w:r>
    </w:p>
    <w:p>
      <w:pPr>
        <w:spacing w:after="0" w:line="161"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6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lease period, if Party A needs to adjust the collection of rent, management fees and other fees due to the adjustment of the enterprise group organization, within seven working days after Party A issues the corresponding written notice, Party A and Party B shall sign a new supplementary agreement on the adjustment of the above fees. The total cost of rent and management fee of the newly signed supplementary agreement and the total cost of rent and management fee of this contract shall be determined after consultation between the two parties.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280" w:name="page281"/>
    <w:bookmarkEnd w:id="280"/>
    <w:p>
      <w:pPr>
        <w:ind w:left="4" w:right="20" w:hanging="4"/>
        <w:spacing w:after="0" w:line="283" w:lineRule="auto"/>
        <w:tabs>
          <w:tab w:leader="none" w:pos="177"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clearly understood the content of the ( Interim Convention for Owners/Property Users of Fengxing Plaza Office Building) when signing this contract and is willing to comply with the relevant provisions, if the content of the above documents is contrary to this contract, this contract shall prevail.</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Both parties agree to issue VAT invoices to Party B at the tax rate selected by Party A and the property management company.</w:t>
      </w:r>
    </w:p>
    <w:p>
      <w:pPr>
        <w:spacing w:after="0" w:line="200"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lessor only issues an invoice for the payment of the month, and does not provide any procedures for replacing the bill.</w:t>
      </w:r>
    </w:p>
    <w:p>
      <w:pPr>
        <w:spacing w:after="0" w:line="200"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7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does not engage in business activities (such as operating without a license) or engages in illegal activities, suspected criminal acts, etc. in accordance with laws and regulations, Party A has the right to unilaterally terminate the contract, and Party B has no right to demand the return of the performance bond, that is, the performance bond is regarded as liquidated damages.</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7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and Party B’s staff violate the Regulations on Smoking Control in Public Places, the Regulations on Smoking Control in Guangzhou and the relevant provisions of this contract, that is, smoking or the existence of cigarette butts in public areas such as public corridors, stairs, elevators, etc., and Party B still fails to correct it after Party A issues three warnings, it shall be deemed that Party B has seriously breached the contract, and Party A has the right to unilaterally terminate the contract.</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244"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Party A shall deliver the leased floor to Party B for use in accordance with the provisions of the lease contract, and Party A shall ensure that the leased floor meets the provisions of the “Letter of Intent for Lease” regarding the delivery status of the floor (Note: except for the two glass gates and fire doors).</w:t>
      </w:r>
    </w:p>
    <w:p>
      <w:pPr>
        <w:spacing w:after="0" w:line="143" w:lineRule="exact"/>
        <w:rPr>
          <w:sz w:val="20"/>
          <w:szCs w:val="20"/>
          <w:color w:val="auto"/>
        </w:rPr>
      </w:pPr>
    </w:p>
    <w:p>
      <w:pPr>
        <w:jc w:val="both"/>
        <w:ind w:left="4"/>
        <w:spacing w:after="0" w:line="283" w:lineRule="auto"/>
        <w:rPr>
          <w:sz w:val="20"/>
          <w:szCs w:val="20"/>
          <w:color w:val="auto"/>
        </w:rPr>
      </w:pPr>
      <w:r>
        <w:rPr>
          <w:rFonts w:ascii="Times New Roman" w:cs="Times New Roman" w:eastAsia="Times New Roman" w:hAnsi="Times New Roman"/>
          <w:sz w:val="16"/>
          <w:szCs w:val="16"/>
          <w:color w:val="auto"/>
        </w:rPr>
        <w:t>Article 15 If there are any unspecified matters in this contract, a written supplementary agreement shall be made through consultation between the two parties, and after the signing and approval of both parties, the new supplementary agreement shall have the same legal effect as the original contract.</w:t>
      </w:r>
    </w:p>
    <w:p>
      <w:pPr>
        <w:spacing w:after="0" w:line="14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Article 16 This contract shall take effect after being signed and sealed by the representatives of both parties, and shall expire after the expiration of the lease period. The original copy of this contract is in duplicate, two copies for Party A, two copies for Party B, and one copy for the street filing center.</w:t>
      </w:r>
    </w:p>
    <w:p>
      <w:pPr>
        <w:spacing w:after="0" w:line="143"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Article 17 Before signing this contract, Party B has carefully read all the terms of the contract and conducted full consultation and communication with Party A. Party B fully and clearly understands the meaning and legal consequences of each clause of the contract, and fully knows the rights and obligations of both parties, and Party B signs the contract on the basis of consensus and equality and voluntariness with Party A.</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11"/>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Contract Annex</w:t>
            </w:r>
            <w:r>
              <w:rPr>
                <w:rFonts w:ascii="Times New Roman" w:cs="Times New Roman" w:eastAsia="Times New Roman" w:hAnsi="Times New Roman"/>
                <w:sz w:val="16"/>
                <w:szCs w:val="16"/>
                <w:color w:val="auto"/>
              </w:rPr>
              <w:t>: This Contract Annexes have the same legal effect as this Contract</w:t>
            </w:r>
          </w:p>
        </w:tc>
        <w:tc>
          <w:tcPr>
            <w:tcW w:w="5780" w:type="dxa"/>
            <w:vAlign w:val="bottom"/>
          </w:tcPr>
          <w:p>
            <w:pPr>
              <w:spacing w:after="0"/>
              <w:rPr>
                <w:sz w:val="18"/>
                <w:szCs w:val="18"/>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Annex 1: A copy of Party A’s business license</w:t>
            </w:r>
          </w:p>
        </w:tc>
        <w:tc>
          <w:tcPr>
            <w:tcW w:w="5780" w:type="dxa"/>
            <w:vAlign w:val="bottom"/>
          </w:tcPr>
          <w:p>
            <w:pPr>
              <w:spacing w:after="0"/>
              <w:rPr>
                <w:sz w:val="24"/>
                <w:szCs w:val="24"/>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Annex 2: A copy of Party B’s business license</w:t>
            </w:r>
          </w:p>
        </w:tc>
        <w:tc>
          <w:tcPr>
            <w:tcW w:w="5780" w:type="dxa"/>
            <w:vAlign w:val="bottom"/>
          </w:tcPr>
          <w:p>
            <w:pPr>
              <w:spacing w:after="0"/>
              <w:rPr>
                <w:sz w:val="24"/>
                <w:szCs w:val="24"/>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Annex 3: The floor plan</w:t>
            </w:r>
          </w:p>
        </w:tc>
        <w:tc>
          <w:tcPr>
            <w:tcW w:w="5780" w:type="dxa"/>
            <w:vAlign w:val="bottom"/>
          </w:tcPr>
          <w:p>
            <w:pPr>
              <w:spacing w:after="0"/>
              <w:rPr>
                <w:sz w:val="24"/>
                <w:szCs w:val="24"/>
                <w:color w:val="auto"/>
              </w:rPr>
            </w:pP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Party A:</w:t>
            </w:r>
          </w:p>
        </w:tc>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Party B:</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Signature (representative):</w:t>
            </w:r>
          </w:p>
        </w:tc>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Signature (representative):</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ID Number:</w:t>
            </w:r>
          </w:p>
        </w:tc>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ID Number:</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Phone:</w:t>
            </w:r>
          </w:p>
        </w:tc>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Phone:</w:t>
            </w:r>
          </w:p>
        </w:tc>
      </w:tr>
      <w:tr>
        <w:trPr>
          <w:trHeight w:val="385"/>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Date of Signing:</w:t>
            </w:r>
          </w:p>
        </w:tc>
        <w:tc>
          <w:tcPr>
            <w:tcW w:w="5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Date of Signing:</w:t>
            </w:r>
          </w:p>
        </w:tc>
      </w:tr>
      <w:tr>
        <w:trPr>
          <w:trHeight w:val="581"/>
        </w:trPr>
        <w:tc>
          <w:tcPr>
            <w:tcW w:w="548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13</w:t>
            </w:r>
          </w:p>
        </w:tc>
      </w:tr>
    </w:tbl>
    <w:p>
      <w:pPr>
        <w:sectPr>
          <w:pgSz w:w="11900" w:h="16838" w:orient="portrait"/>
          <w:cols w:equalWidth="0" w:num="1">
            <w:col w:w="11260"/>
          </w:cols>
          <w:pgMar w:left="320" w:top="819" w:right="31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6"/>
          <w:szCs w:val="16"/>
          <w:b w:val="1"/>
          <w:bCs w:val="1"/>
          <w:color w:val="auto"/>
        </w:rPr>
        <w:t>Exhibit 10.17</w:t>
      </w:r>
    </w:p>
    <w:p>
      <w:pPr>
        <w:spacing w:after="0" w:line="20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b w:val="1"/>
          <w:bCs w:val="1"/>
          <w:color w:val="auto"/>
        </w:rPr>
        <w:t>Serial Number: 98842024280919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749935</wp:posOffset>
            </wp:positionV>
            <wp:extent cx="2199005" cy="6108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4">
                      <a:extLst>
                        <a:ext uri="{28A0092B-C50C-407E-A947-70E740481C1C}"/>
                      </a:extLst>
                    </a:blip>
                    <a:srcRect/>
                    <a:stretch>
                      <a:fillRect/>
                    </a:stretch>
                  </pic:blipFill>
                  <pic:spPr bwMode="auto">
                    <a:xfrm>
                      <a:off x="0" y="0"/>
                      <a:ext cx="2199005"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Working Capital Loan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Version Number: SPDB 20 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147560" cy="152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Working Capital Loan Contract</w:t>
      </w:r>
    </w:p>
    <w:p>
      <w:pPr>
        <w:spacing w:after="0" w:line="199" w:lineRule="exact"/>
        <w:rPr>
          <w:sz w:val="20"/>
          <w:szCs w:val="20"/>
          <w:color w:val="auto"/>
        </w:rPr>
      </w:pPr>
    </w:p>
    <w:p>
      <w:pPr>
        <w:ind w:left="280"/>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Borrower:</w:t>
      </w:r>
      <w:r>
        <w:rPr>
          <w:sz w:val="20"/>
          <w:szCs w:val="20"/>
          <w:color w:val="auto"/>
        </w:rPr>
        <w:tab/>
      </w:r>
      <w:r>
        <w:rPr>
          <w:rFonts w:ascii="Times New Roman" w:cs="Times New Roman" w:eastAsia="Times New Roman" w:hAnsi="Times New Roman"/>
          <w:sz w:val="16"/>
          <w:szCs w:val="16"/>
          <w:color w:val="auto"/>
        </w:rPr>
        <w:t>CLPS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17145</wp:posOffset>
            </wp:positionV>
            <wp:extent cx="146621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1466215" cy="7620"/>
                    </a:xfrm>
                    <a:prstGeom prst="rect">
                      <a:avLst/>
                    </a:prstGeom>
                    <a:noFill/>
                  </pic:spPr>
                </pic:pic>
              </a:graphicData>
            </a:graphic>
          </wp:anchor>
        </w:drawing>
      </w:r>
    </w:p>
    <w:p>
      <w:pPr>
        <w:spacing w:after="0" w:line="193" w:lineRule="exact"/>
        <w:rPr>
          <w:sz w:val="20"/>
          <w:szCs w:val="20"/>
          <w:color w:val="auto"/>
        </w:rPr>
      </w:pPr>
    </w:p>
    <w:p>
      <w:pPr>
        <w:ind w:left="28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auto"/>
        </w:rPr>
        <w:t>Principal Business Address:</w:t>
      </w:r>
      <w:r>
        <w:rPr>
          <w:sz w:val="20"/>
          <w:szCs w:val="20"/>
          <w:color w:val="auto"/>
        </w:rPr>
        <w:tab/>
      </w:r>
      <w:r>
        <w:rPr>
          <w:rFonts w:ascii="Times New Roman" w:cs="Times New Roman" w:eastAsia="Times New Roman" w:hAnsi="Times New Roman"/>
          <w:sz w:val="15"/>
          <w:szCs w:val="15"/>
          <w:color w:val="auto"/>
        </w:rPr>
        <w:t>2F, Building 18, 498 Guoshoujing Road, Pudong, Shanghai,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17145</wp:posOffset>
            </wp:positionV>
            <wp:extent cx="293243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2932430" cy="7620"/>
                    </a:xfrm>
                    <a:prstGeom prst="rect">
                      <a:avLst/>
                    </a:prstGeom>
                    <a:noFill/>
                  </pic:spPr>
                </pic:pic>
              </a:graphicData>
            </a:graphic>
          </wp:anchor>
        </w:drawing>
      </w:r>
    </w:p>
    <w:p>
      <w:pPr>
        <w:spacing w:after="0" w:line="193" w:lineRule="exact"/>
        <w:rPr>
          <w:sz w:val="20"/>
          <w:szCs w:val="20"/>
          <w:color w:val="auto"/>
        </w:rPr>
      </w:pPr>
    </w:p>
    <w:tbl>
      <w:tblPr>
        <w:tblLayout w:type="fixed"/>
        <w:tblInd w:w="280" w:type="dxa"/>
        <w:tblCellMar>
          <w:top w:w="0" w:type="dxa"/>
          <w:left w:w="0" w:type="dxa"/>
          <w:bottom w:w="0" w:type="dxa"/>
          <w:right w:w="0" w:type="dxa"/>
        </w:tblCellMar>
      </w:tblP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Contact Person:</w:t>
            </w:r>
          </w:p>
        </w:tc>
        <w:tc>
          <w:tcPr>
            <w:tcW w:w="1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Huanzhen Wu</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6"/>
              </w:rPr>
              <w:t>Telephone:</w:t>
            </w:r>
          </w:p>
        </w:tc>
        <w:tc>
          <w:tcPr>
            <w:tcW w:w="120" w:type="dxa"/>
            <w:vAlign w:val="bottom"/>
          </w:tcPr>
          <w:p>
            <w:pPr>
              <w:spacing w:after="0"/>
              <w:rPr>
                <w:sz w:val="18"/>
                <w:szCs w:val="18"/>
                <w:color w:val="auto"/>
              </w:rPr>
            </w:pPr>
          </w:p>
        </w:tc>
        <w:tc>
          <w:tcPr>
            <w:tcW w:w="1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15040094890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77"/>
        </w:trPr>
        <w:tc>
          <w:tcPr>
            <w:tcW w:w="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Fax:</w:t>
            </w: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88"/>
              </w:rPr>
              <w:t>/</w:t>
            </w:r>
          </w:p>
        </w:tc>
        <w:tc>
          <w:tcPr>
            <w:tcW w:w="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9"/>
              </w:rPr>
              <w:t>Email:</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9"/>
        </w:trPr>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Lender:</w:t>
            </w:r>
          </w:p>
        </w:tc>
        <w:tc>
          <w:tcPr>
            <w:tcW w:w="326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auto"/>
              </w:rPr>
              <w:t>Shanghai Pudong Development Bank Co., Ltd.</w:t>
            </w:r>
          </w:p>
        </w:tc>
        <w:tc>
          <w:tcPr>
            <w:tcW w:w="10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Jinqiao</w:t>
            </w:r>
          </w:p>
        </w:tc>
        <w:tc>
          <w:tcPr>
            <w:tcW w:w="120" w:type="dxa"/>
            <w:vAlign w:val="bottom"/>
            <w:tcBorders>
              <w:bottom w:val="single" w:sz="8" w:color="auto"/>
            </w:tcBorders>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Branch</w:t>
            </w:r>
          </w:p>
        </w:tc>
      </w:tr>
      <w:tr>
        <w:trPr>
          <w:trHeight w:val="377"/>
        </w:trPr>
        <w:tc>
          <w:tcPr>
            <w:tcW w:w="20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Principal Business Address:</w:t>
            </w:r>
          </w:p>
        </w:tc>
        <w:tc>
          <w:tcPr>
            <w:tcW w:w="880" w:type="dxa"/>
            <w:vAlign w:val="bottom"/>
            <w:tcBorders>
              <w:bottom w:val="single" w:sz="8" w:color="auto"/>
            </w:tcBorders>
            <w:gridSpan w:val="2"/>
          </w:tcPr>
          <w:p>
            <w:pPr>
              <w:spacing w:after="0"/>
              <w:rPr>
                <w:sz w:val="24"/>
                <w:szCs w:val="24"/>
                <w:color w:val="auto"/>
              </w:rPr>
            </w:pPr>
          </w:p>
        </w:tc>
        <w:tc>
          <w:tcPr>
            <w:tcW w:w="374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6"/>
                <w:szCs w:val="16"/>
                <w:color w:val="auto"/>
                <w:w w:val="99"/>
              </w:rPr>
              <w:t>509 Jingang Road, Pudong, Shanghai, China</w:t>
            </w:r>
          </w:p>
        </w:tc>
        <w:tc>
          <w:tcPr>
            <w:tcW w:w="580" w:type="dxa"/>
            <w:vAlign w:val="bottom"/>
            <w:gridSpan w:val="2"/>
          </w:tcPr>
          <w:p>
            <w:pPr>
              <w:spacing w:after="0"/>
              <w:rPr>
                <w:sz w:val="24"/>
                <w:szCs w:val="24"/>
                <w:color w:val="auto"/>
              </w:rPr>
            </w:pPr>
          </w:p>
        </w:tc>
      </w:tr>
      <w:tr>
        <w:trPr>
          <w:trHeight w:val="377"/>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Contact Person:</w:t>
            </w: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Lin Xie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6"/>
              </w:rPr>
              <w:t>Telephone:</w:t>
            </w:r>
          </w:p>
        </w:tc>
        <w:tc>
          <w:tcPr>
            <w:tcW w:w="18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021-58994702</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Given that:</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Meanwhile, the Borrower and the Lender confirm the following primary terms:</w:t>
      </w:r>
    </w:p>
    <w:p>
      <w:pPr>
        <w:spacing w:after="0" w:line="201" w:lineRule="exact"/>
        <w:rPr>
          <w:sz w:val="20"/>
          <w:szCs w:val="20"/>
          <w:color w:val="auto"/>
        </w:rPr>
      </w:pPr>
    </w:p>
    <w:p>
      <w:pPr>
        <w:ind w:left="580" w:hanging="295"/>
        <w:spacing w:after="0"/>
        <w:tabs>
          <w:tab w:leader="none" w:pos="580" w:val="left"/>
        </w:tabs>
        <w:numPr>
          <w:ilvl w:val="0"/>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(Please mark </w:t>
      </w:r>
      <w:r>
        <w:rPr>
          <w:rFonts w:ascii="Arial" w:cs="Arial" w:eastAsia="Arial" w:hAnsi="Arial"/>
          <w:sz w:val="16"/>
          <w:szCs w:val="16"/>
          <w:b w:val="1"/>
          <w:bCs w:val="1"/>
          <w:color w:val="auto"/>
          <w:highlight w:val="black"/>
        </w:rPr>
        <w:t>ü</w:t>
      </w:r>
      <w:r>
        <w:rPr>
          <w:rFonts w:ascii="Times New Roman" w:cs="Times New Roman" w:eastAsia="Times New Roman" w:hAnsi="Times New Roman"/>
          <w:sz w:val="16"/>
          <w:szCs w:val="16"/>
          <w:b w:val="1"/>
          <w:bCs w:val="1"/>
          <w:color w:val="auto"/>
        </w:rPr>
        <w:t xml:space="preserve">  in the appropriate box according to the situation, and mark x if you do not select)</w:t>
      </w:r>
    </w:p>
    <w:p>
      <w:pPr>
        <w:spacing w:after="0" w:line="202" w:lineRule="exact"/>
        <w:rPr>
          <w:sz w:val="20"/>
          <w:szCs w:val="20"/>
          <w:color w:val="auto"/>
        </w:rPr>
      </w:pPr>
    </w:p>
    <w:p>
      <w:pPr>
        <w:jc w:val="both"/>
        <w:ind w:right="20" w:firstLine="285"/>
        <w:spacing w:after="0" w:line="267" w:lineRule="auto"/>
        <w:tabs>
          <w:tab w:leader="none" w:pos="475" w:val="left"/>
        </w:tabs>
        <w:numPr>
          <w:ilvl w:val="0"/>
          <w:numId w:val="19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spacing w:after="0" w:line="156" w:lineRule="exact"/>
        <w:rPr>
          <w:sz w:val="20"/>
          <w:szCs w:val="20"/>
          <w:color w:val="auto"/>
        </w:rPr>
      </w:pPr>
    </w:p>
    <w:p>
      <w:pPr>
        <w:ind w:right="20" w:firstLine="285"/>
        <w:spacing w:after="0" w:line="282" w:lineRule="auto"/>
        <w:tabs>
          <w:tab w:leader="none" w:pos="483" w:val="left"/>
        </w:tabs>
        <w:numPr>
          <w:ilvl w:val="0"/>
          <w:numId w:val="19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This contract is an independent credit document signed between the Borrower and the Lender (if the Borrower and the Lender have not signed a Financing Line Agreement, this option should be selected);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 xml:space="preserve">2. (If the purpose of the loan is to borrow new money to repay old loan or to renew the loan, you must mark </w:t>
            </w:r>
            <w:r>
              <w:rPr>
                <w:rFonts w:ascii="Arial" w:cs="Arial" w:eastAsia="Arial" w:hAnsi="Arial"/>
                <w:sz w:val="16"/>
                <w:szCs w:val="16"/>
                <w:b w:val="1"/>
                <w:bCs w:val="1"/>
                <w:color w:val="auto"/>
                <w:highlight w:val="black"/>
              </w:rPr>
              <w:t>ü</w:t>
            </w:r>
            <w:r>
              <w:rPr>
                <w:rFonts w:ascii="Times New Roman" w:cs="Times New Roman" w:eastAsia="Times New Roman" w:hAnsi="Times New Roman"/>
                <w:sz w:val="16"/>
                <w:szCs w:val="16"/>
                <w:b w:val="1"/>
                <w:bCs w:val="1"/>
                <w:color w:val="auto"/>
              </w:rPr>
              <w:t xml:space="preserve"> in the box)</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49"/>
        </w:trPr>
        <w:tc>
          <w:tcPr>
            <w:tcW w:w="8860" w:type="dxa"/>
            <w:vAlign w:val="bottom"/>
            <w:gridSpan w:val="4"/>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guarantors are aware that the loan purpose of this contract is to repay the loan under the original contract name:</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(Signed on:</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Serial</w:t>
            </w:r>
          </w:p>
        </w:tc>
      </w:tr>
      <w:tr>
        <w:trPr>
          <w:trHeight w:val="172"/>
        </w:trPr>
        <w:tc>
          <w:tcPr>
            <w:tcW w:w="6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Number:</w:t>
            </w:r>
          </w:p>
        </w:tc>
        <w:tc>
          <w:tcPr>
            <w:tcW w:w="880" w:type="dxa"/>
            <w:vAlign w:val="bottom"/>
            <w:tcBorders>
              <w:bottom w:val="single" w:sz="8" w:color="auto"/>
            </w:tcBorders>
          </w:tcPr>
          <w:p>
            <w:pPr>
              <w:spacing w:after="0"/>
              <w:rPr>
                <w:sz w:val="14"/>
                <w:szCs w:val="14"/>
                <w:color w:val="auto"/>
              </w:rPr>
            </w:pPr>
          </w:p>
        </w:tc>
        <w:tc>
          <w:tcPr>
            <w:tcW w:w="6620" w:type="dxa"/>
            <w:vAlign w:val="bottom"/>
          </w:tcPr>
          <w:p>
            <w:pPr>
              <w:jc w:val="right"/>
              <w:ind w:right="6440"/>
              <w:spacing w:after="0" w:line="172" w:lineRule="exact"/>
              <w:rPr>
                <w:sz w:val="20"/>
                <w:szCs w:val="20"/>
                <w:color w:val="auto"/>
              </w:rPr>
            </w:pPr>
            <w:r>
              <w:rPr>
                <w:rFonts w:ascii="Times New Roman" w:cs="Times New Roman" w:eastAsia="Times New Roman" w:hAnsi="Times New Roman"/>
                <w:sz w:val="16"/>
                <w:szCs w:val="16"/>
                <w:color w:val="auto"/>
                <w:w w:val="85"/>
              </w:rPr>
              <w:t>).</w:t>
            </w:r>
          </w:p>
        </w:tc>
        <w:tc>
          <w:tcPr>
            <w:tcW w:w="7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597"/>
        </w:trPr>
        <w:tc>
          <w:tcPr>
            <w:tcW w:w="1480" w:type="dxa"/>
            <w:vAlign w:val="bottom"/>
            <w:tcBorders>
              <w:bottom w:val="single" w:sz="8" w:color="auto"/>
            </w:tcBorders>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p>
        </w:tc>
        <w:tc>
          <w:tcPr>
            <w:tcW w:w="7380" w:type="dxa"/>
            <w:vAlign w:val="bottom"/>
            <w:tcBorders>
              <w:bottom w:val="single" w:sz="8" w:color="auto"/>
            </w:tcBorders>
            <w:gridSpan w:val="2"/>
          </w:tcPr>
          <w:p>
            <w:pPr>
              <w:ind w:left="3940"/>
              <w:spacing w:after="0"/>
              <w:rPr>
                <w:sz w:val="20"/>
                <w:szCs w:val="20"/>
                <w:color w:val="auto"/>
              </w:rPr>
            </w:pPr>
            <w:r>
              <w:rPr>
                <w:rFonts w:ascii="Times New Roman" w:cs="Times New Roman" w:eastAsia="Times New Roman" w:hAnsi="Times New Roman"/>
                <w:sz w:val="16"/>
                <w:szCs w:val="16"/>
                <w:color w:val="auto"/>
              </w:rPr>
              <w:t>Page 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ZEZAEBAA</w:t>
            </w:r>
          </w:p>
        </w:tc>
      </w:tr>
    </w:tbl>
    <w:p>
      <w:pPr>
        <w:sectPr>
          <w:pgSz w:w="11900" w:h="16838" w:orient="portrait"/>
          <w:cols w:equalWidth="0" w:num="1">
            <w:col w:w="11260"/>
          </w:cols>
          <w:pgMar w:left="320" w:top="351" w:right="31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Part I Commercial Terms</w:t>
      </w:r>
    </w:p>
    <w:p>
      <w:pPr>
        <w:spacing w:after="0" w:line="167" w:lineRule="exact"/>
        <w:rPr>
          <w:sz w:val="20"/>
          <w:szCs w:val="20"/>
          <w:color w:val="auto"/>
        </w:rPr>
      </w:pPr>
    </w:p>
    <w:p>
      <w:pPr>
        <w:ind w:left="444" w:hanging="155"/>
        <w:spacing w:after="0" w:line="185" w:lineRule="exact"/>
        <w:tabs>
          <w:tab w:leader="none" w:pos="444"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Loan types: </w:t>
      </w:r>
      <w:r>
        <w:rPr>
          <w:rFonts w:ascii="Arial" w:cs="Arial" w:eastAsia="Arial" w:hAnsi="Arial"/>
          <w:sz w:val="16"/>
          <w:szCs w:val="16"/>
          <w:b w:val="1"/>
          <w:bCs w:val="1"/>
          <w:color w:val="auto"/>
        </w:rPr>
        <w:t>þ</w:t>
      </w:r>
      <w:r>
        <w:rPr>
          <w:rFonts w:ascii="Times New Roman" w:cs="Times New Roman" w:eastAsia="Times New Roman" w:hAnsi="Times New Roman"/>
          <w:sz w:val="16"/>
          <w:szCs w:val="16"/>
          <w:color w:val="auto"/>
        </w:rPr>
        <w:t xml:space="preserve"> Short-term working capital loan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Medium-term working capital loan</w:t>
      </w:r>
    </w:p>
    <w:p>
      <w:pPr>
        <w:spacing w:after="0" w:line="236" w:lineRule="exact"/>
        <w:rPr>
          <w:rFonts w:ascii="Times New Roman" w:cs="Times New Roman" w:eastAsia="Times New Roman" w:hAnsi="Times New Roman"/>
          <w:sz w:val="16"/>
          <w:szCs w:val="16"/>
          <w:color w:val="auto"/>
        </w:rPr>
      </w:pPr>
    </w:p>
    <w:p>
      <w:pPr>
        <w:ind w:left="444" w:hanging="155"/>
        <w:spacing w:after="0"/>
        <w:tabs>
          <w:tab w:leader="none" w:pos="444"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amount under this contract is </w:t>
      </w:r>
      <w:r>
        <w:rPr>
          <w:rFonts w:ascii="Times New Roman" w:cs="Times New Roman" w:eastAsia="Times New Roman" w:hAnsi="Times New Roman"/>
          <w:sz w:val="16"/>
          <w:szCs w:val="16"/>
          <w:u w:val="single" w:color="auto"/>
          <w:color w:val="auto"/>
        </w:rPr>
        <w:t>RMB</w:t>
      </w:r>
      <w:r>
        <w:rPr>
          <w:rFonts w:ascii="Times New Roman" w:cs="Times New Roman" w:eastAsia="Times New Roman" w:hAnsi="Times New Roman"/>
          <w:sz w:val="16"/>
          <w:szCs w:val="16"/>
          <w:color w:val="auto"/>
        </w:rPr>
        <w:t xml:space="preserve"> (currency) </w:t>
      </w:r>
      <w:r>
        <w:rPr>
          <w:rFonts w:ascii="Times New Roman" w:cs="Times New Roman" w:eastAsia="Times New Roman" w:hAnsi="Times New Roman"/>
          <w:sz w:val="16"/>
          <w:szCs w:val="16"/>
          <w:u w:val="single" w:color="auto"/>
          <w:color w:val="auto"/>
        </w:rPr>
        <w:t>Fifteen Million</w:t>
      </w:r>
      <w:r>
        <w:rPr>
          <w:rFonts w:ascii="Times New Roman" w:cs="Times New Roman" w:eastAsia="Times New Roman" w:hAnsi="Times New Roman"/>
          <w:sz w:val="16"/>
          <w:szCs w:val="16"/>
          <w:color w:val="auto"/>
        </w:rPr>
        <w:t xml:space="preserve"> Yuan (in words).</w:t>
      </w:r>
    </w:p>
    <w:p>
      <w:pPr>
        <w:spacing w:after="0" w:line="200" w:lineRule="exact"/>
        <w:rPr>
          <w:rFonts w:ascii="Times New Roman" w:cs="Times New Roman" w:eastAsia="Times New Roman" w:hAnsi="Times New Roman"/>
          <w:sz w:val="16"/>
          <w:szCs w:val="16"/>
          <w:color w:val="auto"/>
        </w:rPr>
      </w:pPr>
    </w:p>
    <w:p>
      <w:pPr>
        <w:ind w:left="444" w:hanging="155"/>
        <w:spacing w:after="0"/>
        <w:tabs>
          <w:tab w:leader="none" w:pos="444"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specific purposes of the loan under this Contract are: </w:t>
      </w:r>
      <w:r>
        <w:rPr>
          <w:rFonts w:ascii="Times New Roman" w:cs="Times New Roman" w:eastAsia="Times New Roman" w:hAnsi="Times New Roman"/>
          <w:sz w:val="16"/>
          <w:szCs w:val="16"/>
          <w:u w:val="single" w:color="auto"/>
          <w:color w:val="auto"/>
        </w:rPr>
        <w:t>For payroll payments</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ind w:left="444" w:hanging="155"/>
        <w:spacing w:after="0"/>
        <w:tabs>
          <w:tab w:leader="none" w:pos="444"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term under this Contract is (please mark </w:t>
      </w:r>
      <w:r>
        <w:rPr>
          <w:rFonts w:ascii="Arial" w:cs="Arial" w:eastAsia="Arial" w:hAnsi="Arial"/>
          <w:sz w:val="16"/>
          <w:szCs w:val="16"/>
          <w:b w:val="1"/>
          <w:bCs w:val="1"/>
          <w:color w:val="auto"/>
        </w:rPr>
        <w:t>ü</w:t>
      </w:r>
      <w:r>
        <w:rPr>
          <w:rFonts w:ascii="Times New Roman" w:cs="Times New Roman" w:eastAsia="Times New Roman" w:hAnsi="Times New Roman"/>
          <w:sz w:val="16"/>
          <w:szCs w:val="16"/>
          <w:color w:val="auto"/>
        </w:rPr>
        <w:t xml:space="preserve"> in the following boxes, or mark x if you do not select):</w:t>
      </w:r>
    </w:p>
    <w:p>
      <w:pPr>
        <w:spacing w:after="0" w:line="164" w:lineRule="exact"/>
        <w:rPr>
          <w:sz w:val="20"/>
          <w:szCs w:val="20"/>
          <w:color w:val="auto"/>
        </w:rPr>
      </w:pPr>
    </w:p>
    <w:p>
      <w:pPr>
        <w:ind w:left="284"/>
        <w:spacing w:after="0" w:line="184" w:lineRule="exact"/>
        <w:tabs>
          <w:tab w:leader="none" w:pos="4763"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since </w:t>
      </w:r>
      <w:r>
        <w:rPr>
          <w:rFonts w:ascii="Times New Roman" w:cs="Times New Roman" w:eastAsia="Times New Roman" w:hAnsi="Times New Roman"/>
          <w:sz w:val="16"/>
          <w:szCs w:val="16"/>
          <w:u w:val="single" w:color="auto"/>
          <w:color w:val="auto"/>
        </w:rPr>
        <w:t>January 6, 2025</w:t>
      </w:r>
      <w:r>
        <w:rPr>
          <w:rFonts w:ascii="Times New Roman" w:cs="Times New Roman" w:eastAsia="Times New Roman" w:hAnsi="Times New Roman"/>
          <w:sz w:val="16"/>
          <w:szCs w:val="16"/>
          <w:color w:val="auto"/>
        </w:rPr>
        <w:t xml:space="preserve"> (date, month, year) to </w:t>
      </w:r>
      <w:r>
        <w:rPr>
          <w:rFonts w:ascii="Times New Roman" w:cs="Times New Roman" w:eastAsia="Times New Roman" w:hAnsi="Times New Roman"/>
          <w:sz w:val="16"/>
          <w:szCs w:val="16"/>
          <w:u w:val="single" w:color="auto"/>
          <w:color w:val="auto"/>
        </w:rPr>
        <w:t>December 27, 2025</w:t>
      </w:r>
      <w:r>
        <w:rPr>
          <w:sz w:val="20"/>
          <w:szCs w:val="20"/>
          <w:color w:val="auto"/>
        </w:rPr>
        <w:tab/>
      </w:r>
      <w:r>
        <w:rPr>
          <w:rFonts w:ascii="Times New Roman" w:cs="Times New Roman" w:eastAsia="Times New Roman" w:hAnsi="Times New Roman"/>
          <w:sz w:val="15"/>
          <w:szCs w:val="15"/>
          <w:color w:val="auto"/>
        </w:rPr>
        <w:t>(date, month, year);</w:t>
      </w:r>
    </w:p>
    <w:p>
      <w:pPr>
        <w:spacing w:after="0" w:line="201" w:lineRule="exact"/>
        <w:rPr>
          <w:sz w:val="20"/>
          <w:szCs w:val="20"/>
          <w:color w:val="auto"/>
        </w:rPr>
      </w:pPr>
    </w:p>
    <w:p>
      <w:pPr>
        <w:ind w:left="284"/>
        <w:spacing w:after="0"/>
        <w:tabs>
          <w:tab w:leader="none" w:pos="843" w:val="left"/>
          <w:tab w:leader="none" w:pos="1963"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year(s) (or</w:t>
      </w:r>
      <w:r>
        <w:rPr>
          <w:sz w:val="20"/>
          <w:szCs w:val="20"/>
          <w:color w:val="auto"/>
        </w:rPr>
        <w:tab/>
      </w:r>
      <w:r>
        <w:rPr>
          <w:rFonts w:ascii="Times New Roman" w:cs="Times New Roman" w:eastAsia="Times New Roman" w:hAnsi="Times New Roman"/>
          <w:sz w:val="16"/>
          <w:szCs w:val="16"/>
          <w:color w:val="auto"/>
        </w:rPr>
        <w:t>months) from the date of first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15875</wp:posOffset>
            </wp:positionV>
            <wp:extent cx="22923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2">
                      <a:extLst>
                        <a:ext uri="{28A0092B-C50C-407E-A947-70E740481C1C}"/>
                      </a:extLst>
                    </a:blip>
                    <a:srcRect/>
                    <a:stretch>
                      <a:fillRect/>
                    </a:stretch>
                  </pic:blipFill>
                  <pic:spPr bwMode="auto">
                    <a:xfrm>
                      <a:off x="0" y="0"/>
                      <a:ext cx="229235" cy="762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15875</wp:posOffset>
            </wp:positionV>
            <wp:extent cx="22923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3">
                      <a:extLst>
                        <a:ext uri="{28A0092B-C50C-407E-A947-70E740481C1C}"/>
                      </a:extLst>
                    </a:blip>
                    <a:srcRect/>
                    <a:stretch>
                      <a:fillRect/>
                    </a:stretch>
                  </pic:blipFill>
                  <pic:spPr bwMode="auto">
                    <a:xfrm>
                      <a:off x="0" y="0"/>
                      <a:ext cx="229235"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spacing w:after="0" w:line="143" w:lineRule="exact"/>
        <w:rPr>
          <w:sz w:val="20"/>
          <w:szCs w:val="20"/>
          <w:color w:val="auto"/>
        </w:rPr>
      </w:pPr>
    </w:p>
    <w:p>
      <w:pPr>
        <w:ind w:left="444" w:hanging="155"/>
        <w:spacing w:after="0"/>
        <w:tabs>
          <w:tab w:leader="none" w:pos="444"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interest rate under this Contract is (please mark </w:t>
      </w:r>
      <w:r>
        <w:rPr>
          <w:rFonts w:ascii="Arial" w:cs="Arial" w:eastAsia="Arial" w:hAnsi="Arial"/>
          <w:sz w:val="16"/>
          <w:szCs w:val="16"/>
          <w:b w:val="1"/>
          <w:bCs w:val="1"/>
          <w:color w:val="auto"/>
        </w:rPr>
        <w:t>ü</w:t>
      </w:r>
      <w:r>
        <w:rPr>
          <w:rFonts w:ascii="Times New Roman" w:cs="Times New Roman" w:eastAsia="Times New Roman" w:hAnsi="Times New Roman"/>
          <w:sz w:val="16"/>
          <w:szCs w:val="16"/>
          <w:color w:val="auto"/>
        </w:rPr>
        <w:t xml:space="preserve"> in the following boxes, and mark x if you do not select):</w:t>
      </w:r>
    </w:p>
    <w:p>
      <w:pPr>
        <w:spacing w:after="0" w:line="200" w:lineRule="exact"/>
        <w:rPr>
          <w:rFonts w:ascii="Times New Roman" w:cs="Times New Roman" w:eastAsia="Times New Roman" w:hAnsi="Times New Roman"/>
          <w:sz w:val="16"/>
          <w:szCs w:val="16"/>
          <w:color w:val="auto"/>
        </w:rPr>
      </w:pPr>
    </w:p>
    <w:p>
      <w:pPr>
        <w:ind w:left="184" w:hanging="184"/>
        <w:spacing w:after="0"/>
        <w:tabs>
          <w:tab w:leader="none" w:pos="184" w:val="left"/>
        </w:tabs>
        <w:numPr>
          <w:ilvl w:val="0"/>
          <w:numId w:val="193"/>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(1) RMB loan interest rate:</w:t>
      </w:r>
    </w:p>
    <w:p>
      <w:pPr>
        <w:spacing w:after="0" w:line="164" w:lineRule="exact"/>
        <w:rPr>
          <w:sz w:val="20"/>
          <w:szCs w:val="20"/>
          <w:color w:val="auto"/>
        </w:rPr>
      </w:pPr>
    </w:p>
    <w:p>
      <w:pPr>
        <w:jc w:val="both"/>
        <w:ind w:left="4" w:right="20" w:firstLine="289"/>
        <w:spacing w:after="0" w:line="210" w:lineRule="exact"/>
        <w:rPr>
          <w:sz w:val="20"/>
          <w:szCs w:val="20"/>
          <w:color w:val="auto"/>
        </w:rPr>
      </w:pPr>
      <w:r>
        <w:rPr>
          <w:rFonts w:ascii="Times New Roman" w:cs="Times New Roman" w:eastAsia="Times New Roman" w:hAnsi="Times New Roman"/>
          <w:sz w:val="16"/>
          <w:szCs w:val="16"/>
          <w:color w:val="auto"/>
        </w:rPr>
        <w:t xml:space="preserve">Each loan under this contract shall be calculated based on the Loan Prime Rate (LPR)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spacing w:after="0" w:line="334" w:lineRule="exact"/>
        <w:rPr>
          <w:sz w:val="20"/>
          <w:szCs w:val="20"/>
          <w:color w:val="auto"/>
        </w:rPr>
      </w:pPr>
    </w:p>
    <w:p>
      <w:pPr>
        <w:ind w:left="4"/>
        <w:spacing w:after="0" w:line="184" w:lineRule="exact"/>
        <w:tabs>
          <w:tab w:leader="none" w:pos="5403" w:val="left"/>
          <w:tab w:leader="none" w:pos="10383"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7560" cy="152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52" w:right="31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5">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After each loan under this Contract is issued, if the Loan Prime Rate is adjusted during the loan period, the loan interest rate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x if you do not select):</w:t>
      </w:r>
    </w:p>
    <w:p>
      <w:pPr>
        <w:spacing w:after="0" w:line="143" w:lineRule="exact"/>
        <w:rPr>
          <w:sz w:val="20"/>
          <w:szCs w:val="20"/>
          <w:color w:val="auto"/>
        </w:rPr>
      </w:pPr>
    </w:p>
    <w:p>
      <w:pPr>
        <w:ind w:left="464" w:hanging="175"/>
        <w:spacing w:after="0"/>
        <w:tabs>
          <w:tab w:leader="none" w:pos="464" w:val="left"/>
        </w:tabs>
        <w:numPr>
          <w:ilvl w:val="0"/>
          <w:numId w:val="19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adjustment, fixed interest rate;</w:t>
      </w:r>
    </w:p>
    <w:p>
      <w:pPr>
        <w:spacing w:after="0" w:line="201" w:lineRule="exact"/>
        <w:rPr>
          <w:sz w:val="20"/>
          <w:szCs w:val="20"/>
          <w:color w:val="auto"/>
        </w:rPr>
      </w:pPr>
    </w:p>
    <w:p>
      <w:pPr>
        <w:jc w:val="both"/>
        <w:ind w:left="4" w:firstLine="285"/>
        <w:spacing w:after="0" w:line="258" w:lineRule="auto"/>
        <w:tabs>
          <w:tab w:leader="none" w:pos="482" w:val="left"/>
        </w:tabs>
        <w:numPr>
          <w:ilvl w:val="0"/>
          <w:numId w:val="19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w:t>
      </w:r>
    </w:p>
    <w:p>
      <w:pPr>
        <w:spacing w:after="0" w:line="1" w:lineRule="exact"/>
        <w:rPr>
          <w:sz w:val="20"/>
          <w:szCs w:val="20"/>
          <w:color w:val="auto"/>
        </w:rPr>
      </w:pPr>
    </w:p>
    <w:p>
      <w:pPr>
        <w:ind w:left="4"/>
        <w:spacing w:after="0" w:line="184" w:lineRule="exact"/>
        <w:tabs>
          <w:tab w:leader="none" w:pos="6843" w:val="left"/>
        </w:tabs>
        <w:rPr>
          <w:sz w:val="20"/>
          <w:szCs w:val="20"/>
          <w:color w:val="auto"/>
        </w:rPr>
      </w:pPr>
      <w:r>
        <w:rPr>
          <w:rFonts w:ascii="Times New Roman" w:cs="Times New Roman" w:eastAsia="Times New Roman" w:hAnsi="Times New Roman"/>
          <w:sz w:val="16"/>
          <w:szCs w:val="16"/>
          <w:color w:val="auto"/>
        </w:rPr>
        <w:t xml:space="preserve">agreed above remain unchanged. The specific interest rate adjustment dates is as follows (please mark </w:t>
      </w:r>
      <w:r>
        <w:rPr>
          <w:rFonts w:ascii="Wingdings" w:cs="Wingdings" w:eastAsia="Wingdings" w:hAnsi="Wingdings"/>
          <w:sz w:val="16"/>
          <w:szCs w:val="16"/>
          <w:b w:val="1"/>
          <w:bCs w:val="1"/>
          <w:color w:val="auto"/>
        </w:rPr>
        <w:t>ü</w:t>
      </w:r>
      <w:r>
        <w:rPr>
          <w:sz w:val="20"/>
          <w:szCs w:val="20"/>
          <w:color w:val="auto"/>
        </w:rPr>
        <w:tab/>
      </w:r>
      <w:r>
        <w:rPr>
          <w:rFonts w:ascii="Times New Roman" w:cs="Times New Roman" w:eastAsia="Times New Roman" w:hAnsi="Times New Roman"/>
          <w:sz w:val="15"/>
          <w:szCs w:val="15"/>
          <w:color w:val="auto"/>
        </w:rPr>
        <w:t xml:space="preserve">in the box below, and mark </w:t>
      </w:r>
      <w:r>
        <w:rPr>
          <w:rFonts w:ascii="MS PGothic" w:cs="MS PGothic" w:eastAsia="MS PGothic" w:hAnsi="MS PGothic"/>
          <w:sz w:val="15"/>
          <w:szCs w:val="15"/>
          <w:color w:val="auto"/>
        </w:rPr>
        <w:t>ⅹ</w:t>
      </w:r>
      <w:r>
        <w:rPr>
          <w:rFonts w:ascii="Times New Roman" w:cs="Times New Roman" w:eastAsia="Times New Roman" w:hAnsi="Times New Roman"/>
          <w:sz w:val="15"/>
          <w:szCs w:val="15"/>
          <w:color w:val="auto"/>
        </w:rPr>
        <w:t xml:space="preserve"> if you do not select):</w:t>
      </w:r>
    </w:p>
    <w:p>
      <w:pPr>
        <w:spacing w:after="0" w:line="189" w:lineRule="exact"/>
        <w:rPr>
          <w:sz w:val="20"/>
          <w:szCs w:val="20"/>
          <w:color w:val="auto"/>
        </w:rPr>
      </w:pPr>
    </w:p>
    <w:p>
      <w:pPr>
        <w:jc w:val="both"/>
        <w:ind w:left="584" w:right="20" w:hanging="7"/>
        <w:spacing w:after="0" w:line="267" w:lineRule="auto"/>
        <w:tabs>
          <w:tab w:leader="none" w:pos="782" w:val="left"/>
        </w:tabs>
        <w:numPr>
          <w:ilvl w:val="2"/>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spacing w:after="0" w:line="155" w:lineRule="exact"/>
        <w:rPr>
          <w:rFonts w:ascii="MS PGothic" w:cs="MS PGothic" w:eastAsia="MS PGothic" w:hAnsi="MS PGothic"/>
          <w:sz w:val="16"/>
          <w:szCs w:val="16"/>
          <w:color w:val="auto"/>
        </w:rPr>
      </w:pPr>
    </w:p>
    <w:p>
      <w:pPr>
        <w:ind w:left="764" w:hanging="187"/>
        <w:spacing w:after="0"/>
        <w:tabs>
          <w:tab w:leader="none" w:pos="764" w:val="left"/>
        </w:tabs>
        <w:numPr>
          <w:ilvl w:val="2"/>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annually, and the interest rate adjustment date is January 1 of each year;</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according to the interest payment date, and the interest rate adjustment date is the ________ day after the interest payment date;</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quarterly, and the interest rate adjustment date is the ___________ day of the last month of each quarter;</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monthly, and the interest rate adjustment date is the day of every month;</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conventions (specific interest rate adjustment date): ____________.</w:t>
      </w:r>
    </w:p>
    <w:p>
      <w:pPr>
        <w:spacing w:after="0" w:line="200" w:lineRule="exact"/>
        <w:rPr>
          <w:rFonts w:ascii="MS PGothic" w:cs="MS PGothic" w:eastAsia="MS PGothic" w:hAnsi="MS PGothic"/>
          <w:sz w:val="16"/>
          <w:szCs w:val="16"/>
          <w:color w:val="auto"/>
        </w:rPr>
      </w:pPr>
    </w:p>
    <w:p>
      <w:pPr>
        <w:ind w:left="184" w:hanging="184"/>
        <w:spacing w:after="0"/>
        <w:tabs>
          <w:tab w:leader="none" w:pos="184" w:val="left"/>
        </w:tabs>
        <w:numPr>
          <w:ilvl w:val="0"/>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(2) Foreign currency loan interest rate:</w:t>
      </w:r>
    </w:p>
    <w:p>
      <w:pPr>
        <w:spacing w:after="0" w:line="200" w:lineRule="exact"/>
        <w:rPr>
          <w:rFonts w:ascii="MS PGothic" w:cs="MS PGothic" w:eastAsia="MS PGothic" w:hAnsi="MS PGothic"/>
          <w:sz w:val="16"/>
          <w:szCs w:val="16"/>
          <w:color w:val="auto"/>
        </w:rPr>
      </w:pPr>
    </w:p>
    <w:p>
      <w:pPr>
        <w:jc w:val="both"/>
        <w:ind w:left="4" w:firstLine="285"/>
        <w:spacing w:after="0" w:line="267" w:lineRule="auto"/>
        <w:tabs>
          <w:tab w:leader="none" w:pos="484" w:val="left"/>
        </w:tabs>
        <w:numPr>
          <w:ilvl w:val="1"/>
          <w:numId w:val="1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 Each loan under this Contract shall be calculated based on the ______________ (LIBOR/HIBOR/SIBOR) published by the Lender on ____________(date,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spacing w:after="0" w:line="312" w:lineRule="exact"/>
        <w:rPr>
          <w:sz w:val="20"/>
          <w:szCs w:val="20"/>
          <w:color w:val="auto"/>
        </w:rPr>
      </w:pPr>
    </w:p>
    <w:p>
      <w:pPr>
        <w:ind w:left="4"/>
        <w:spacing w:after="0" w:line="184" w:lineRule="exact"/>
        <w:tabs>
          <w:tab w:leader="none" w:pos="5403" w:val="left"/>
          <w:tab w:leader="none" w:pos="10383"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3</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7560" cy="152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52" w:right="31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150495</wp:posOffset>
            </wp:positionV>
            <wp:extent cx="7147560" cy="2216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7">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398" w:lineRule="exact"/>
        <w:rPr>
          <w:sz w:val="20"/>
          <w:szCs w:val="20"/>
          <w:color w:val="auto"/>
        </w:rPr>
      </w:pPr>
    </w:p>
    <w:p>
      <w:pPr>
        <w:jc w:val="both"/>
        <w:ind w:right="20" w:firstLine="289"/>
        <w:spacing w:after="0" w:line="219" w:lineRule="exact"/>
        <w:rPr>
          <w:sz w:val="20"/>
          <w:szCs w:val="20"/>
          <w:color w:val="auto"/>
        </w:rPr>
      </w:pPr>
      <w:r>
        <w:rPr>
          <w:rFonts w:ascii="Times New Roman" w:cs="Times New Roman" w:eastAsia="Times New Roman" w:hAnsi="Times New Roman"/>
          <w:sz w:val="16"/>
          <w:szCs w:val="16"/>
          <w:color w:val="auto"/>
        </w:rPr>
        <w:t xml:space="preserve">After each loan under this Contract is issued, the loan interest rate will be adjusted during the loan period as follows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176" w:lineRule="exact"/>
        <w:rPr>
          <w:sz w:val="20"/>
          <w:szCs w:val="20"/>
          <w:color w:val="auto"/>
        </w:rPr>
      </w:pPr>
    </w:p>
    <w:p>
      <w:pPr>
        <w:jc w:val="both"/>
        <w:ind w:right="20" w:firstLine="573"/>
        <w:spacing w:after="0" w:line="267" w:lineRule="auto"/>
        <w:tabs>
          <w:tab w:leader="none" w:pos="767" w:val="left"/>
        </w:tabs>
        <w:numPr>
          <w:ilvl w:val="1"/>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spacing w:after="0" w:line="155" w:lineRule="exact"/>
        <w:rPr>
          <w:rFonts w:ascii="MS PGothic" w:cs="MS PGothic" w:eastAsia="MS PGothic" w:hAnsi="MS PGothic"/>
          <w:sz w:val="16"/>
          <w:szCs w:val="16"/>
          <w:color w:val="auto"/>
        </w:rPr>
      </w:pPr>
    </w:p>
    <w:p>
      <w:pPr>
        <w:ind w:left="760" w:hanging="187"/>
        <w:spacing w:after="0"/>
        <w:tabs>
          <w:tab w:leader="none" w:pos="760" w:val="left"/>
        </w:tabs>
        <w:numPr>
          <w:ilvl w:val="1"/>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Fixed interest rate, which means the interest rate will remain the same.</w:t>
      </w:r>
    </w:p>
    <w:p>
      <w:pPr>
        <w:spacing w:after="0" w:line="200" w:lineRule="exact"/>
        <w:rPr>
          <w:rFonts w:ascii="MS PGothic" w:cs="MS PGothic" w:eastAsia="MS PGothic" w:hAnsi="MS PGothic"/>
          <w:sz w:val="16"/>
          <w:szCs w:val="16"/>
          <w:color w:val="auto"/>
        </w:rPr>
      </w:pPr>
    </w:p>
    <w:p>
      <w:pPr>
        <w:ind w:firstLine="285"/>
        <w:spacing w:after="0" w:line="283" w:lineRule="auto"/>
        <w:tabs>
          <w:tab w:leader="none" w:pos="487"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2) The foreign currency loan interest rate under this Contract is detailed in the “Foreign Currency Interest Rate Supplementary Contract” signed separately by both parties to this Contract.</w:t>
      </w:r>
    </w:p>
    <w:p>
      <w:pPr>
        <w:spacing w:after="0" w:line="143" w:lineRule="exact"/>
        <w:rPr>
          <w:rFonts w:ascii="MS PGothic" w:cs="MS PGothic" w:eastAsia="MS PGothic" w:hAnsi="MS PGothic"/>
          <w:sz w:val="16"/>
          <w:szCs w:val="16"/>
          <w:color w:val="auto"/>
        </w:rPr>
      </w:pPr>
    </w:p>
    <w:p>
      <w:pPr>
        <w:ind w:left="460" w:hanging="175"/>
        <w:spacing w:after="0"/>
        <w:tabs>
          <w:tab w:leader="none" w:pos="460" w:val="left"/>
        </w:tabs>
        <w:numPr>
          <w:ilvl w:val="0"/>
          <w:numId w:val="1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3) The interest rate for each loan under this Contract is ____/___ %, which is a fixed rate and will not be adjusted during the loan period.</w:t>
      </w:r>
    </w:p>
    <w:p>
      <w:pPr>
        <w:spacing w:after="0" w:line="165"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6. The interest settlement method under this Contract is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237" w:lineRule="exact"/>
        <w:rPr>
          <w:sz w:val="20"/>
          <w:szCs w:val="20"/>
          <w:color w:val="auto"/>
        </w:rPr>
      </w:pPr>
    </w:p>
    <w:p>
      <w:pPr>
        <w:ind w:left="460" w:hanging="175"/>
        <w:spacing w:after="0"/>
        <w:tabs>
          <w:tab w:leader="none" w:pos="460" w:val="left"/>
        </w:tabs>
        <w:numPr>
          <w:ilvl w:val="0"/>
          <w:numId w:val="19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interest is settled monthly, the interest settlement date is the 20th day of each month;</w:t>
      </w:r>
    </w:p>
    <w:p>
      <w:pPr>
        <w:spacing w:after="0" w:line="200" w:lineRule="exact"/>
        <w:rPr>
          <w:rFonts w:ascii="MS PGothic" w:cs="MS PGothic" w:eastAsia="MS PGothic" w:hAnsi="MS PGothic"/>
          <w:sz w:val="16"/>
          <w:szCs w:val="16"/>
          <w:color w:val="auto"/>
        </w:rPr>
      </w:pPr>
    </w:p>
    <w:p>
      <w:pPr>
        <w:ind w:left="460" w:hanging="175"/>
        <w:spacing w:after="0"/>
        <w:tabs>
          <w:tab w:leader="none" w:pos="460" w:val="left"/>
        </w:tabs>
        <w:numPr>
          <w:ilvl w:val="0"/>
          <w:numId w:val="19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interest is settled quarterly, the interest settlement date is the 20th day of the last month of each quarter;</w:t>
      </w:r>
    </w:p>
    <w:p>
      <w:pPr>
        <w:spacing w:after="0" w:line="200" w:lineRule="exact"/>
        <w:rPr>
          <w:rFonts w:ascii="MS PGothic" w:cs="MS PGothic" w:eastAsia="MS PGothic" w:hAnsi="MS PGothic"/>
          <w:sz w:val="16"/>
          <w:szCs w:val="16"/>
          <w:color w:val="auto"/>
        </w:rPr>
      </w:pPr>
    </w:p>
    <w:p>
      <w:pPr>
        <w:ind w:left="460" w:hanging="175"/>
        <w:spacing w:after="0"/>
        <w:tabs>
          <w:tab w:leader="none" w:pos="460" w:val="left"/>
        </w:tabs>
        <w:numPr>
          <w:ilvl w:val="0"/>
          <w:numId w:val="19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methods: ________________________________.</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interest of each repayment under this Contract shall be paid together with the principal.</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 The penalty interest rate under this Contract is:</w:t>
      </w:r>
    </w:p>
    <w:p>
      <w:pPr>
        <w:spacing w:after="0" w:line="201" w:lineRule="exact"/>
        <w:rPr>
          <w:sz w:val="20"/>
          <w:szCs w:val="20"/>
          <w:color w:val="auto"/>
        </w:rPr>
      </w:pPr>
    </w:p>
    <w:p>
      <w:pPr>
        <w:ind w:left="580" w:hanging="295"/>
        <w:spacing w:after="0"/>
        <w:tabs>
          <w:tab w:leader="none" w:pos="58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overdue penalty interest rate under this Contract shall be </w:t>
      </w:r>
      <w:r>
        <w:rPr>
          <w:rFonts w:ascii="Times New Roman" w:cs="Times New Roman" w:eastAsia="Times New Roman" w:hAnsi="Times New Roman"/>
          <w:sz w:val="16"/>
          <w:szCs w:val="16"/>
          <w:u w:val="single" w:color="auto"/>
          <w:color w:val="auto"/>
        </w:rPr>
        <w:t>30</w:t>
      </w:r>
      <w:r>
        <w:rPr>
          <w:rFonts w:ascii="Times New Roman" w:cs="Times New Roman" w:eastAsia="Times New Roman" w:hAnsi="Times New Roman"/>
          <w:sz w:val="16"/>
          <w:szCs w:val="16"/>
          <w:color w:val="auto"/>
        </w:rPr>
        <w:t>% higher than the loan execution interest rate applicable on the penalty interest calculation date.</w:t>
      </w:r>
    </w:p>
    <w:p>
      <w:pPr>
        <w:spacing w:after="0" w:line="200" w:lineRule="exact"/>
        <w:rPr>
          <w:rFonts w:ascii="Times New Roman" w:cs="Times New Roman" w:eastAsia="Times New Roman" w:hAnsi="Times New Roman"/>
          <w:sz w:val="16"/>
          <w:szCs w:val="16"/>
          <w:color w:val="auto"/>
        </w:rPr>
      </w:pPr>
    </w:p>
    <w:p>
      <w:pPr>
        <w:ind w:left="580" w:right="20" w:hanging="295"/>
        <w:spacing w:after="0" w:line="283" w:lineRule="auto"/>
        <w:tabs>
          <w:tab w:leader="none" w:pos="58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penalty interest rate for misappropriation of the loan or failure to use the loan for the purposes agreed in this Contract shall be </w:t>
      </w:r>
      <w:r>
        <w:rPr>
          <w:rFonts w:ascii="Times New Roman" w:cs="Times New Roman" w:eastAsia="Times New Roman" w:hAnsi="Times New Roman"/>
          <w:sz w:val="16"/>
          <w:szCs w:val="16"/>
          <w:u w:val="single" w:color="auto"/>
          <w:color w:val="auto"/>
        </w:rPr>
        <w:t>50</w:t>
      </w:r>
      <w:r>
        <w:rPr>
          <w:rFonts w:ascii="Times New Roman" w:cs="Times New Roman" w:eastAsia="Times New Roman" w:hAnsi="Times New Roman"/>
          <w:sz w:val="16"/>
          <w:szCs w:val="16"/>
          <w:color w:val="auto"/>
        </w:rPr>
        <w:t xml:space="preserve"> % higher than the loan execution rate applicable on the penalty interest calculation date.</w:t>
      </w:r>
    </w:p>
    <w:p>
      <w:pPr>
        <w:spacing w:after="0" w:line="143" w:lineRule="exact"/>
        <w:rPr>
          <w:sz w:val="20"/>
          <w:szCs w:val="20"/>
          <w:color w:val="auto"/>
        </w:rPr>
      </w:pPr>
    </w:p>
    <w:p>
      <w:pPr>
        <w:ind w:left="280" w:right="20"/>
        <w:spacing w:after="0" w:line="283" w:lineRule="auto"/>
        <w:rPr>
          <w:sz w:val="20"/>
          <w:szCs w:val="20"/>
          <w:color w:val="auto"/>
        </w:rPr>
      </w:pPr>
      <w:r>
        <w:rPr>
          <w:rFonts w:ascii="Times New Roman" w:cs="Times New Roman" w:eastAsia="Times New Roman" w:hAnsi="Times New Roman"/>
          <w:sz w:val="16"/>
          <w:szCs w:val="16"/>
          <w:color w:val="auto"/>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spacing w:after="0" w:line="300"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4</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451"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withdrawal period under this Contract is from </w:t>
      </w:r>
      <w:r>
        <w:rPr>
          <w:rFonts w:ascii="Times New Roman" w:cs="Times New Roman" w:eastAsia="Times New Roman" w:hAnsi="Times New Roman"/>
          <w:sz w:val="16"/>
          <w:szCs w:val="16"/>
          <w:u w:val="single" w:color="auto"/>
          <w:color w:val="auto"/>
        </w:rPr>
        <w:t>January 6, 2025</w:t>
      </w:r>
      <w:r>
        <w:rPr>
          <w:rFonts w:ascii="Times New Roman" w:cs="Times New Roman" w:eastAsia="Times New Roman" w:hAnsi="Times New Roman"/>
          <w:sz w:val="16"/>
          <w:szCs w:val="16"/>
          <w:color w:val="auto"/>
        </w:rPr>
        <w:t xml:space="preserve"> (date, month, year) to </w:t>
      </w:r>
      <w:r>
        <w:rPr>
          <w:rFonts w:ascii="Times New Roman" w:cs="Times New Roman" w:eastAsia="Times New Roman" w:hAnsi="Times New Roman"/>
          <w:sz w:val="16"/>
          <w:szCs w:val="16"/>
          <w:u w:val="single" w:color="auto"/>
          <w:color w:val="auto"/>
        </w:rPr>
        <w:t>January 31, 2025</w:t>
      </w:r>
      <w:r>
        <w:rPr>
          <w:rFonts w:ascii="Times New Roman" w:cs="Times New Roman" w:eastAsia="Times New Roman" w:hAnsi="Times New Roman"/>
          <w:sz w:val="16"/>
          <w:szCs w:val="16"/>
          <w:color w:val="auto"/>
        </w:rPr>
        <w:t xml:space="preserve"> (date, month, year). The first withdrawal shall be made before </w:t>
      </w:r>
      <w:r>
        <w:rPr>
          <w:rFonts w:ascii="Times New Roman" w:cs="Times New Roman" w:eastAsia="Times New Roman" w:hAnsi="Times New Roman"/>
          <w:sz w:val="16"/>
          <w:szCs w:val="16"/>
          <w:u w:val="single" w:color="auto"/>
          <w:color w:val="auto"/>
        </w:rPr>
        <w:t>January 31, 2025</w:t>
      </w:r>
      <w:r>
        <w:rPr>
          <w:rFonts w:ascii="Times New Roman" w:cs="Times New Roman" w:eastAsia="Times New Roman" w:hAnsi="Times New Roman"/>
          <w:sz w:val="16"/>
          <w:szCs w:val="16"/>
          <w:color w:val="auto"/>
        </w:rPr>
        <w:t xml:space="preserve"> (date, month, year).</w:t>
      </w:r>
    </w:p>
    <w:p>
      <w:pPr>
        <w:spacing w:after="0" w:line="107" w:lineRule="exact"/>
        <w:rPr>
          <w:rFonts w:ascii="Times New Roman" w:cs="Times New Roman" w:eastAsia="Times New Roman" w:hAnsi="Times New Roman"/>
          <w:sz w:val="16"/>
          <w:szCs w:val="16"/>
          <w:color w:val="auto"/>
        </w:rPr>
      </w:pPr>
    </w:p>
    <w:p>
      <w:pPr>
        <w:ind w:left="440" w:hanging="155"/>
        <w:spacing w:after="0" w:line="184" w:lineRule="exact"/>
        <w:tabs>
          <w:tab w:leader="none" w:pos="44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withdrawal plan for the loan under this Contract is as follows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237" w:lineRule="exact"/>
        <w:rPr>
          <w:sz w:val="20"/>
          <w:szCs w:val="20"/>
          <w:color w:val="auto"/>
        </w:rPr>
      </w:pPr>
    </w:p>
    <w:p>
      <w:pPr>
        <w:ind w:left="460" w:hanging="175"/>
        <w:spacing w:after="0"/>
        <w:tabs>
          <w:tab w:leader="none" w:pos="460" w:val="left"/>
        </w:tabs>
        <w:numPr>
          <w:ilvl w:val="0"/>
          <w:numId w:val="2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withdrawal plan is shown in the table below:</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44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Withdrawal Date</w:t>
            </w:r>
          </w:p>
        </w:tc>
        <w:tc>
          <w:tcPr>
            <w:tcW w:w="572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6"/>
                <w:szCs w:val="16"/>
                <w:b w:val="1"/>
                <w:bCs w:val="1"/>
                <w:color w:val="auto"/>
              </w:rPr>
              <w:t>Withdrawal Amount</w:t>
            </w: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r>
      <w:tr>
        <w:trPr>
          <w:trHeight w:val="27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bl>
    <w:p>
      <w:pPr>
        <w:spacing w:after="0" w:line="176" w:lineRule="exact"/>
        <w:rPr>
          <w:sz w:val="20"/>
          <w:szCs w:val="20"/>
          <w:color w:val="auto"/>
        </w:rPr>
      </w:pPr>
    </w:p>
    <w:p>
      <w:pPr>
        <w:ind w:left="460" w:hanging="175"/>
        <w:spacing w:after="0"/>
        <w:tabs>
          <w:tab w:leader="none" w:pos="460" w:val="left"/>
        </w:tabs>
        <w:numPr>
          <w:ilvl w:val="0"/>
          <w:numId w:val="20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withdrawal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-6350</wp:posOffset>
            </wp:positionV>
            <wp:extent cx="193357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1933575"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237490</wp:posOffset>
            </wp:positionV>
            <wp:extent cx="2747645"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2">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10. The repayment plan for the loan under this Contract is as follows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237" w:lineRule="exact"/>
        <w:rPr>
          <w:sz w:val="20"/>
          <w:szCs w:val="20"/>
          <w:color w:val="auto"/>
        </w:rPr>
      </w:pPr>
    </w:p>
    <w:p>
      <w:pPr>
        <w:ind w:left="460" w:hanging="175"/>
        <w:spacing w:after="0"/>
        <w:tabs>
          <w:tab w:leader="none" w:pos="460" w:val="left"/>
        </w:tabs>
        <w:numPr>
          <w:ilvl w:val="0"/>
          <w:numId w:val="20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repayment plan is shown in the table below:</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44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Repayment Date</w:t>
            </w:r>
          </w:p>
        </w:tc>
        <w:tc>
          <w:tcPr>
            <w:tcW w:w="5720" w:type="dxa"/>
            <w:vAlign w:val="bottom"/>
            <w:tcBorders>
              <w:top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Repayment Amount</w:t>
            </w: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r>
      <w:tr>
        <w:trPr>
          <w:trHeight w:val="27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bl>
    <w:p>
      <w:pPr>
        <w:spacing w:after="0" w:line="176" w:lineRule="exact"/>
        <w:rPr>
          <w:sz w:val="20"/>
          <w:szCs w:val="20"/>
          <w:color w:val="auto"/>
        </w:rPr>
      </w:pPr>
    </w:p>
    <w:p>
      <w:pPr>
        <w:ind w:left="460" w:hanging="175"/>
        <w:spacing w:after="0"/>
        <w:tabs>
          <w:tab w:leader="none" w:pos="460" w:val="left"/>
        </w:tabs>
        <w:numPr>
          <w:ilvl w:val="0"/>
          <w:numId w:val="20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repayment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-6350</wp:posOffset>
            </wp:positionV>
            <wp:extent cx="1908175"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3">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237490</wp:posOffset>
            </wp:positionV>
            <wp:extent cx="2747645"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4">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5</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13"/>
        </w:trPr>
        <w:tc>
          <w:tcPr>
            <w:tcW w:w="3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8"/>
              </w:rPr>
              <w:t>Working Capital Loan Contract</w:t>
            </w:r>
          </w:p>
        </w:tc>
      </w:tr>
      <w:tr>
        <w:trPr>
          <w:trHeight w:val="758"/>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 Penalty for early repayment of loan: Equivalent to</w:t>
            </w:r>
          </w:p>
        </w:tc>
        <w:tc>
          <w:tcPr>
            <w:tcW w:w="7480" w:type="dxa"/>
            <w:vAlign w:val="bottom"/>
            <w:gridSpan w:val="10"/>
          </w:tcPr>
          <w:p>
            <w:pPr>
              <w:ind w:left="240"/>
              <w:spacing w:after="0"/>
              <w:rPr>
                <w:sz w:val="20"/>
                <w:szCs w:val="20"/>
                <w:color w:val="auto"/>
              </w:rPr>
            </w:pPr>
            <w:r>
              <w:rPr>
                <w:rFonts w:ascii="Times New Roman" w:cs="Times New Roman" w:eastAsia="Times New Roman" w:hAnsi="Times New Roman"/>
                <w:sz w:val="16"/>
                <w:szCs w:val="16"/>
                <w:color w:val="auto"/>
              </w:rPr>
              <w:t>/   % of the total amount of loan actually repaid in advance or RMB (currency) Zero Yuan (in words).</w:t>
            </w:r>
          </w:p>
        </w:tc>
      </w:tr>
      <w:tr>
        <w:trPr>
          <w:trHeight w:val="20"/>
        </w:trPr>
        <w:tc>
          <w:tcPr>
            <w:tcW w:w="3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65"/>
        </w:trPr>
        <w:tc>
          <w:tcPr>
            <w:tcW w:w="55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12. The principal amount of the loan to be repaid in advance shall not be less than</w:t>
            </w: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RMB</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(currency)</w:t>
            </w: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Zero</w:t>
            </w:r>
          </w:p>
        </w:tc>
        <w:tc>
          <w:tcPr>
            <w:tcW w:w="20" w:type="dxa"/>
            <w:vAlign w:val="bottom"/>
          </w:tcPr>
          <w:p>
            <w:pPr>
              <w:spacing w:after="0"/>
              <w:rPr>
                <w:sz w:val="24"/>
                <w:szCs w:val="24"/>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Yuan (in words).</w:t>
            </w:r>
          </w:p>
        </w:tc>
      </w:tr>
    </w:tbl>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r>
    </w:p>
    <w:p>
      <w:pPr>
        <w:ind w:right="20" w:firstLine="285"/>
        <w:spacing w:after="0" w:line="219" w:lineRule="exact"/>
        <w:tabs>
          <w:tab w:leader="none" w:pos="535"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Account Opening ( For RMB loans, choose one of the following modes and mark </w:t>
      </w:r>
      <w:r>
        <w:rPr>
          <w:rFonts w:ascii="Arial" w:cs="Arial" w:eastAsia="Arial" w:hAnsi="Arial"/>
          <w:sz w:val="16"/>
          <w:szCs w:val="16"/>
          <w:b w:val="1"/>
          <w:bCs w:val="1"/>
          <w:color w:val="auto"/>
        </w:rPr>
        <w:t>ü</w:t>
      </w:r>
      <w:r>
        <w:rPr>
          <w:rFonts w:ascii="Times New Roman" w:cs="Times New Roman" w:eastAsia="Times New Roman" w:hAnsi="Times New Roman"/>
          <w:sz w:val="16"/>
          <w:szCs w:val="16"/>
          <w:color w:val="auto"/>
        </w:rPr>
        <w:t xml:space="preserve">; for foreign currency loans, choose the special account mode.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177" w:lineRule="exact"/>
        <w:rPr>
          <w:sz w:val="20"/>
          <w:szCs w:val="20"/>
          <w:color w:val="auto"/>
        </w:rPr>
      </w:pPr>
    </w:p>
    <w:p>
      <w:pPr>
        <w:ind w:left="460" w:hanging="175"/>
        <w:spacing w:after="0"/>
        <w:tabs>
          <w:tab w:leader="none" w:pos="460" w:val="left"/>
        </w:tabs>
        <w:numPr>
          <w:ilvl w:val="0"/>
          <w:numId w:val="20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Non-special account mode:</w:t>
      </w:r>
    </w:p>
    <w:p>
      <w:pPr>
        <w:spacing w:after="0" w:line="200" w:lineRule="exact"/>
        <w:rPr>
          <w:sz w:val="20"/>
          <w:szCs w:val="20"/>
          <w:color w:val="auto"/>
        </w:rPr>
      </w:pPr>
    </w:p>
    <w:p>
      <w:pPr>
        <w:jc w:val="both"/>
        <w:ind w:left="580" w:right="5580" w:hanging="7"/>
        <w:spacing w:after="0" w:line="501" w:lineRule="auto"/>
        <w:tabs>
          <w:tab w:leader="none" w:pos="80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settlement account opened by the Borrower with the Lender is: Deposit Bank: Shanghai Pudong Development Bank Co., Ltd. JInqiao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-132715</wp:posOffset>
            </wp:positionV>
            <wp:extent cx="2662555"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7">
                      <a:extLst>
                        <a:ext uri="{28A0092B-C50C-407E-A947-70E740481C1C}"/>
                      </a:extLst>
                    </a:blip>
                    <a:srcRect/>
                    <a:stretch>
                      <a:fillRect/>
                    </a:stretch>
                  </pic:blipFill>
                  <pic:spPr bwMode="auto">
                    <a:xfrm>
                      <a:off x="0" y="0"/>
                      <a:ext cx="2662555" cy="762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74"/>
        </w:trPr>
        <w:tc>
          <w:tcPr>
            <w:tcW w:w="10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Account Name:</w:t>
            </w: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320"/>
              <w:spacing w:after="0" w:line="175" w:lineRule="exact"/>
              <w:rPr>
                <w:sz w:val="20"/>
                <w:szCs w:val="20"/>
                <w:color w:val="auto"/>
              </w:rPr>
            </w:pPr>
            <w:r>
              <w:rPr>
                <w:rFonts w:ascii="Times New Roman" w:cs="Times New Roman" w:eastAsia="Times New Roman" w:hAnsi="Times New Roman"/>
                <w:sz w:val="16"/>
                <w:szCs w:val="16"/>
                <w:color w:val="auto"/>
              </w:rPr>
              <w:t>CLPS Shanghai Co., Ltd.</w:t>
            </w:r>
          </w:p>
        </w:tc>
        <w:tc>
          <w:tcPr>
            <w:tcW w:w="360" w:type="dxa"/>
            <w:vAlign w:val="bottom"/>
          </w:tcPr>
          <w:p>
            <w:pPr>
              <w:spacing w:after="0"/>
              <w:rPr>
                <w:sz w:val="15"/>
                <w:szCs w:val="15"/>
                <w:color w:val="auto"/>
              </w:rPr>
            </w:pPr>
          </w:p>
        </w:tc>
      </w:tr>
      <w:tr>
        <w:trPr>
          <w:trHeight w:val="365"/>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 Number:</w:t>
            </w:r>
          </w:p>
        </w:tc>
        <w:tc>
          <w:tcPr>
            <w:tcW w:w="23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98840078801600002917</w:t>
            </w:r>
          </w:p>
        </w:tc>
        <w:tc>
          <w:tcPr>
            <w:tcW w:w="3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ind w:left="580" w:right="5580" w:hanging="7"/>
        <w:spacing w:after="0" w:line="501" w:lineRule="auto"/>
        <w:tabs>
          <w:tab w:leader="none" w:pos="807"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withdrawal account opened by the Borrower with the Lender is: Deposit Bank: Shanghai Pudong Development Bank Co., Ltd. JInqiao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-132715</wp:posOffset>
            </wp:positionV>
            <wp:extent cx="2662555"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8">
                      <a:extLst>
                        <a:ext uri="{28A0092B-C50C-407E-A947-70E740481C1C}"/>
                      </a:extLst>
                    </a:blip>
                    <a:srcRect/>
                    <a:stretch>
                      <a:fillRect/>
                    </a:stretch>
                  </pic:blipFill>
                  <pic:spPr bwMode="auto">
                    <a:xfrm>
                      <a:off x="0" y="0"/>
                      <a:ext cx="2662555" cy="762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74"/>
        </w:trPr>
        <w:tc>
          <w:tcPr>
            <w:tcW w:w="10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Account Name:</w:t>
            </w: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CLPS Shanghai Co., Ltd.</w:t>
            </w:r>
          </w:p>
        </w:tc>
        <w:tc>
          <w:tcPr>
            <w:tcW w:w="240" w:type="dxa"/>
            <w:vAlign w:val="bottom"/>
          </w:tcPr>
          <w:p>
            <w:pPr>
              <w:spacing w:after="0"/>
              <w:rPr>
                <w:sz w:val="15"/>
                <w:szCs w:val="15"/>
                <w:color w:val="auto"/>
              </w:rPr>
            </w:pPr>
          </w:p>
        </w:tc>
      </w:tr>
      <w:tr>
        <w:trPr>
          <w:trHeight w:val="365"/>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 Number:</w:t>
            </w:r>
          </w:p>
        </w:tc>
        <w:tc>
          <w:tcPr>
            <w:tcW w:w="2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98840078801600002917</w:t>
            </w:r>
          </w:p>
        </w:tc>
        <w:tc>
          <w:tcPr>
            <w:tcW w:w="2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ind w:left="460" w:hanging="175"/>
        <w:spacing w:after="0"/>
        <w:tabs>
          <w:tab w:leader="none" w:pos="460" w:val="left"/>
        </w:tabs>
        <w:numPr>
          <w:ilvl w:val="0"/>
          <w:numId w:val="20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Special account mode:</w:t>
      </w:r>
    </w:p>
    <w:p>
      <w:pPr>
        <w:spacing w:after="0" w:line="200" w:lineRule="exact"/>
        <w:rPr>
          <w:rFonts w:ascii="MS PGothic" w:cs="MS PGothic" w:eastAsia="MS PGothic" w:hAnsi="MS PGothic"/>
          <w:sz w:val="16"/>
          <w:szCs w:val="16"/>
          <w:color w:val="auto"/>
        </w:rPr>
      </w:pPr>
    </w:p>
    <w:p>
      <w:pPr>
        <w:ind w:left="580" w:right="4700" w:hanging="7"/>
        <w:spacing w:after="0" w:line="501" w:lineRule="auto"/>
        <w:tabs>
          <w:tab w:leader="none" w:pos="807"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special account for working capital loans opened by the Borrower with the Lender is: Deposit Bank:</w:t>
      </w:r>
    </w:p>
    <w:p>
      <w:pPr>
        <w:spacing w:after="0" w:line="1" w:lineRule="exact"/>
        <w:rPr>
          <w:rFonts w:ascii="Times New Roman" w:cs="Times New Roman" w:eastAsia="Times New Roman" w:hAnsi="Times New Roman"/>
          <w:sz w:val="16"/>
          <w:szCs w:val="16"/>
          <w:color w:val="auto"/>
        </w:rPr>
      </w:pPr>
    </w:p>
    <w:p>
      <w:pPr>
        <w:ind w:left="580" w:right="9540"/>
        <w:spacing w:after="0" w:line="5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Account Name: Account Number:</w:t>
      </w:r>
    </w:p>
    <w:p>
      <w:pPr>
        <w:ind w:left="800" w:hanging="227"/>
        <w:spacing w:after="0"/>
        <w:tabs>
          <w:tab w:leader="none" w:pos="800" w:val="left"/>
        </w:tabs>
        <w:numPr>
          <w:ilvl w:val="1"/>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settlement account opened by the Borrower with the Lender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-739775</wp:posOffset>
            </wp:positionV>
            <wp:extent cx="1831975"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9">
                      <a:extLst>
                        <a:ext uri="{28A0092B-C50C-407E-A947-70E740481C1C}"/>
                      </a:extLst>
                    </a:blip>
                    <a:srcRect/>
                    <a:stretch>
                      <a:fillRect/>
                    </a:stretch>
                  </pic:blipFill>
                  <pic:spPr bwMode="auto">
                    <a:xfrm>
                      <a:off x="0" y="0"/>
                      <a:ext cx="1831975"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-495300</wp:posOffset>
            </wp:positionV>
            <wp:extent cx="1908175"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0">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-250825</wp:posOffset>
            </wp:positionV>
            <wp:extent cx="1908175"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1">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237490</wp:posOffset>
            </wp:positionV>
            <wp:extent cx="1831975"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2">
                      <a:extLst>
                        <a:ext uri="{28A0092B-C50C-407E-A947-70E740481C1C}"/>
                      </a:extLst>
                    </a:blip>
                    <a:srcRect/>
                    <a:stretch>
                      <a:fillRect/>
                    </a:stretch>
                  </pic:blipFill>
                  <pic:spPr bwMode="auto">
                    <a:xfrm>
                      <a:off x="0" y="0"/>
                      <a:ext cx="1831975"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481330</wp:posOffset>
            </wp:positionV>
            <wp:extent cx="190817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3">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725805</wp:posOffset>
            </wp:positionV>
            <wp:extent cx="190817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4">
                      <a:extLst>
                        <a:ext uri="{28A0092B-C50C-407E-A947-70E740481C1C}"/>
                      </a:extLst>
                    </a:blip>
                    <a:srcRect/>
                    <a:stretch>
                      <a:fillRect/>
                    </a:stretch>
                  </pic:blipFill>
                  <pic:spPr bwMode="auto">
                    <a:xfrm>
                      <a:off x="0" y="0"/>
                      <a:ext cx="1908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0" w:right="5740" w:hanging="7"/>
        <w:spacing w:after="0" w:line="501" w:lineRule="auto"/>
        <w:tabs>
          <w:tab w:leader="none" w:pos="807"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withdrawal account opened by the Borrower with the Lender is: Deposit Bank:</w:t>
      </w:r>
    </w:p>
    <w:p>
      <w:pPr>
        <w:spacing w:after="0" w:line="1" w:lineRule="exact"/>
        <w:rPr>
          <w:rFonts w:ascii="Times New Roman" w:cs="Times New Roman" w:eastAsia="Times New Roman" w:hAnsi="Times New Roman"/>
          <w:sz w:val="16"/>
          <w:szCs w:val="16"/>
          <w:color w:val="auto"/>
        </w:rPr>
      </w:pPr>
    </w:p>
    <w:p>
      <w:pPr>
        <w:ind w:left="580" w:right="9540"/>
        <w:spacing w:after="0" w:line="5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Account Name: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-668020</wp:posOffset>
            </wp:positionV>
            <wp:extent cx="183197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5">
                      <a:extLst>
                        <a:ext uri="{28A0092B-C50C-407E-A947-70E740481C1C}"/>
                      </a:extLst>
                    </a:blip>
                    <a:srcRect/>
                    <a:stretch>
                      <a:fillRect/>
                    </a:stretch>
                  </pic:blipFill>
                  <pic:spPr bwMode="auto">
                    <a:xfrm>
                      <a:off x="0" y="0"/>
                      <a:ext cx="1831975"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-423545</wp:posOffset>
            </wp:positionV>
            <wp:extent cx="190817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6">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-179070</wp:posOffset>
            </wp:positionV>
            <wp:extent cx="190817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7">
                      <a:extLst>
                        <a:ext uri="{28A0092B-C50C-407E-A947-70E740481C1C}"/>
                      </a:extLst>
                    </a:blip>
                    <a:srcRect/>
                    <a:stretch>
                      <a:fillRect/>
                    </a:stretch>
                  </pic:blipFill>
                  <pic:spPr bwMode="auto">
                    <a:xfrm>
                      <a:off x="0" y="0"/>
                      <a:ext cx="1908175" cy="7620"/>
                    </a:xfrm>
                    <a:prstGeom prst="rect">
                      <a:avLst/>
                    </a:prstGeom>
                    <a:noFill/>
                  </pic:spPr>
                </pic:pic>
              </a:graphicData>
            </a:graphic>
          </wp:anchor>
        </w:drawing>
      </w:r>
    </w:p>
    <w:p>
      <w:pPr>
        <w:spacing w:after="0" w:line="65"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6</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89" w:name="page290"/>
    <w:bookmarkEnd w:id="289"/>
    <w:tbl>
      <w:tblPr>
        <w:tblLayout w:type="fixed"/>
        <w:tblInd w:w="60" w:type="dxa"/>
        <w:tblCellMar>
          <w:top w:w="0" w:type="dxa"/>
          <w:left w:w="0" w:type="dxa"/>
          <w:bottom w:w="0" w:type="dxa"/>
          <w:right w:w="0" w:type="dxa"/>
        </w:tblCellMar>
      </w:tblPr>
      <w:tr>
        <w:trPr>
          <w:trHeight w:val="213"/>
        </w:trPr>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98"/>
              </w:rPr>
              <w:t>Working Capital Loan Contract</w:t>
            </w:r>
          </w:p>
        </w:tc>
      </w:tr>
      <w:tr>
        <w:trPr>
          <w:trHeight w:val="758"/>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14.</w:t>
            </w:r>
          </w:p>
        </w:tc>
        <w:tc>
          <w:tcPr>
            <w:tcW w:w="8000" w:type="dxa"/>
            <w:vAlign w:val="bottom"/>
            <w:gridSpan w:val="18"/>
          </w:tcPr>
          <w:p>
            <w:pPr>
              <w:ind w:left="20"/>
              <w:spacing w:after="0"/>
              <w:rPr>
                <w:sz w:val="20"/>
                <w:szCs w:val="20"/>
                <w:color w:val="auto"/>
              </w:rPr>
            </w:pPr>
            <w:r>
              <w:rPr>
                <w:rFonts w:ascii="Times New Roman" w:cs="Times New Roman" w:eastAsia="Times New Roman" w:hAnsi="Times New Roman"/>
                <w:sz w:val="16"/>
                <w:szCs w:val="16"/>
                <w:color w:val="auto"/>
              </w:rPr>
              <w:t>Lender entrusted payment: For loan funds payment with a clear payment object and a single payment amount exceeding</w:t>
            </w:r>
          </w:p>
        </w:tc>
        <w:tc>
          <w:tcPr>
            <w:tcW w:w="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(Currency and Amount), the</w:t>
            </w:r>
          </w:p>
        </w:tc>
      </w:tr>
      <w:tr>
        <w:trPr>
          <w:trHeight w:val="208"/>
        </w:trPr>
        <w:tc>
          <w:tcPr>
            <w:tcW w:w="3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Lender entrusted payment method should be adopted.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r>
      <w:tr>
        <w:trPr>
          <w:trHeight w:val="385"/>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15.</w:t>
            </w:r>
          </w:p>
        </w:tc>
        <w:tc>
          <w:tcPr>
            <w:tcW w:w="8000" w:type="dxa"/>
            <w:vAlign w:val="bottom"/>
            <w:gridSpan w:val="18"/>
          </w:tcPr>
          <w:p>
            <w:pPr>
              <w:ind w:left="20"/>
              <w:spacing w:after="0"/>
              <w:rPr>
                <w:sz w:val="20"/>
                <w:szCs w:val="20"/>
                <w:color w:val="auto"/>
              </w:rPr>
            </w:pPr>
            <w:r>
              <w:rPr>
                <w:rFonts w:ascii="Times New Roman" w:cs="Times New Roman" w:eastAsia="Times New Roman" w:hAnsi="Times New Roman"/>
                <w:sz w:val="16"/>
                <w:szCs w:val="16"/>
                <w:color w:val="auto"/>
              </w:rPr>
              <w:t>The guarantors and guarantee contracts that provide guarantee for the debts under this Contract include but not limited to:</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1"/>
        </w:trPr>
        <w:tc>
          <w:tcPr>
            <w:tcW w:w="1120" w:type="dxa"/>
            <w:vAlign w:val="bottom"/>
            <w:gridSpan w:val="5"/>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Guarantor</w:t>
            </w:r>
          </w:p>
        </w:tc>
        <w:tc>
          <w:tcPr>
            <w:tcW w:w="440" w:type="dxa"/>
            <w:vAlign w:val="bottom"/>
            <w:tcBorders>
              <w:bottom w:val="single" w:sz="8" w:color="auto"/>
            </w:tcBorders>
            <w:gridSpan w:val="2"/>
          </w:tcPr>
          <w:p>
            <w:pPr>
              <w:spacing w:after="0"/>
              <w:rPr>
                <w:sz w:val="24"/>
                <w:szCs w:val="24"/>
                <w:color w:val="auto"/>
              </w:rPr>
            </w:pPr>
          </w:p>
        </w:tc>
        <w:tc>
          <w:tcPr>
            <w:tcW w:w="1980" w:type="dxa"/>
            <w:vAlign w:val="bottom"/>
            <w:tcBorders>
              <w:bottom w:val="single" w:sz="8" w:color="auto"/>
            </w:tcBorders>
          </w:tcPr>
          <w:p>
            <w:pPr>
              <w:jc w:val="right"/>
              <w:ind w:righ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1900" w:type="dxa"/>
            <w:vAlign w:val="bottom"/>
            <w:gridSpan w:val="7"/>
          </w:tcPr>
          <w:p>
            <w:pPr>
              <w:jc w:val="right"/>
              <w:ind w:right="60"/>
              <w:spacing w:after="0" w:line="195" w:lineRule="exact"/>
              <w:rPr>
                <w:sz w:val="20"/>
                <w:szCs w:val="20"/>
                <w:color w:val="auto"/>
              </w:rPr>
            </w:pPr>
            <w:r>
              <w:rPr>
                <w:rFonts w:ascii="Times New Roman" w:cs="Times New Roman" w:eastAsia="Times New Roman" w:hAnsi="Times New Roman"/>
                <w:sz w:val="16"/>
                <w:szCs w:val="16"/>
                <w:color w:val="auto"/>
              </w:rPr>
              <w:t xml:space="preserve">Guarantee Contract No. </w:t>
            </w:r>
            <w:r>
              <w:rPr>
                <w:rFonts w:ascii="SimSun" w:cs="SimSun" w:eastAsia="SimSun" w:hAnsi="SimSun"/>
                <w:sz w:val="16"/>
                <w:szCs w:val="16"/>
                <w:color w:val="auto"/>
              </w:rPr>
              <w:t>【</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gridSpan w:val="3"/>
          </w:tcPr>
          <w:p>
            <w:pPr>
              <w:ind w:left="8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9"/>
        </w:trPr>
        <w:tc>
          <w:tcPr>
            <w:tcW w:w="1140" w:type="dxa"/>
            <w:vAlign w:val="bottom"/>
            <w:gridSpan w:val="6"/>
          </w:tcPr>
          <w:p>
            <w:pPr>
              <w:ind w:left="240"/>
              <w:spacing w:after="0" w:line="184" w:lineRule="exact"/>
              <w:rPr>
                <w:sz w:val="20"/>
                <w:szCs w:val="20"/>
                <w:color w:val="auto"/>
              </w:rPr>
            </w:pPr>
            <w:r>
              <w:rPr>
                <w:rFonts w:ascii="MS PGothic" w:cs="MS PGothic" w:eastAsia="MS PGothic" w:hAnsi="MS PGothic"/>
                <w:sz w:val="16"/>
                <w:szCs w:val="16"/>
                <w:color w:val="auto"/>
                <w:w w:val="99"/>
              </w:rPr>
              <w:t>☒</w:t>
            </w:r>
            <w:r>
              <w:rPr>
                <w:rFonts w:ascii="Times New Roman" w:cs="Times New Roman" w:eastAsia="Times New Roman" w:hAnsi="Times New Roman"/>
                <w:sz w:val="16"/>
                <w:szCs w:val="16"/>
                <w:color w:val="auto"/>
                <w:w w:val="99"/>
              </w:rPr>
              <w:t xml:space="preserve"> Mortgagor</w:t>
            </w: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gridSpan w:val="6"/>
          </w:tcPr>
          <w:p>
            <w:pPr>
              <w:jc w:val="right"/>
              <w:ind w:right="60"/>
              <w:spacing w:after="0" w:line="195" w:lineRule="exact"/>
              <w:rPr>
                <w:sz w:val="20"/>
                <w:szCs w:val="20"/>
                <w:color w:val="auto"/>
              </w:rPr>
            </w:pPr>
            <w:r>
              <w:rPr>
                <w:rFonts w:ascii="Times New Roman" w:cs="Times New Roman" w:eastAsia="Times New Roman" w:hAnsi="Times New Roman"/>
                <w:sz w:val="16"/>
                <w:szCs w:val="16"/>
                <w:color w:val="auto"/>
                <w:w w:val="98"/>
              </w:rPr>
              <w:t xml:space="preserve">Mortgage Contract No. </w:t>
            </w:r>
            <w:r>
              <w:rPr>
                <w:rFonts w:ascii="SimSun" w:cs="SimSun" w:eastAsia="SimSun" w:hAnsi="SimSun"/>
                <w:sz w:val="16"/>
                <w:szCs w:val="16"/>
                <w:color w:val="auto"/>
                <w:w w:val="98"/>
              </w:rPr>
              <w:t>【</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gridSpan w:val="3"/>
          </w:tcPr>
          <w:p>
            <w:pPr>
              <w:ind w:left="8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9"/>
        </w:trPr>
        <w:tc>
          <w:tcPr>
            <w:tcW w:w="960" w:type="dxa"/>
            <w:vAlign w:val="bottom"/>
            <w:gridSpan w:val="4"/>
          </w:tcPr>
          <w:p>
            <w:pPr>
              <w:ind w:left="24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Pledgee</w:t>
            </w:r>
          </w:p>
        </w:tc>
        <w:tc>
          <w:tcPr>
            <w:tcW w:w="600" w:type="dxa"/>
            <w:vAlign w:val="bottom"/>
            <w:tcBorders>
              <w:bottom w:val="single" w:sz="8" w:color="auto"/>
            </w:tcBorders>
            <w:gridSpan w:val="3"/>
          </w:tcPr>
          <w:p>
            <w:pPr>
              <w:spacing w:after="0"/>
              <w:rPr>
                <w:sz w:val="24"/>
                <w:szCs w:val="24"/>
                <w:color w:val="auto"/>
              </w:rPr>
            </w:pPr>
          </w:p>
        </w:tc>
        <w:tc>
          <w:tcPr>
            <w:tcW w:w="198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7"/>
          </w:tcPr>
          <w:p>
            <w:pPr>
              <w:jc w:val="right"/>
              <w:ind w:right="85"/>
              <w:spacing w:after="0" w:line="195" w:lineRule="exact"/>
              <w:rPr>
                <w:sz w:val="20"/>
                <w:szCs w:val="20"/>
                <w:color w:val="auto"/>
              </w:rPr>
            </w:pPr>
            <w:r>
              <w:rPr>
                <w:rFonts w:ascii="Times New Roman" w:cs="Times New Roman" w:eastAsia="Times New Roman" w:hAnsi="Times New Roman"/>
                <w:sz w:val="16"/>
                <w:szCs w:val="16"/>
                <w:color w:val="auto"/>
              </w:rPr>
              <w:t xml:space="preserve">Pledge Contract No. </w:t>
            </w:r>
            <w:r>
              <w:rPr>
                <w:rFonts w:ascii="SimSun" w:cs="SimSun" w:eastAsia="SimSun" w:hAnsi="SimSun"/>
                <w:sz w:val="16"/>
                <w:szCs w:val="16"/>
                <w:color w:val="auto"/>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7"/>
        </w:trPr>
        <w:tc>
          <w:tcPr>
            <w:tcW w:w="1560" w:type="dxa"/>
            <w:vAlign w:val="bottom"/>
            <w:gridSpan w:val="7"/>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Other guarantees</w:t>
            </w:r>
          </w:p>
        </w:tc>
        <w:tc>
          <w:tcPr>
            <w:tcW w:w="1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gridSpan w:val="6"/>
          </w:tcPr>
          <w:p>
            <w:pPr>
              <w:spacing w:after="0"/>
              <w:rPr>
                <w:sz w:val="24"/>
                <w:szCs w:val="24"/>
                <w:color w:val="auto"/>
              </w:rPr>
            </w:pPr>
          </w:p>
        </w:tc>
        <w:tc>
          <w:tcPr>
            <w:tcW w:w="102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0"/>
              </w:rPr>
              <w:t>.</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1"/>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16.</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Breach of Contract Handling</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5"/>
        </w:trPr>
        <w:tc>
          <w:tcPr>
            <w:tcW w:w="5580" w:type="dxa"/>
            <w:vAlign w:val="bottom"/>
            <w:gridSpan w:val="16"/>
          </w:tcPr>
          <w:p>
            <w:pPr>
              <w:ind w:left="280"/>
              <w:spacing w:after="0"/>
              <w:rPr>
                <w:sz w:val="20"/>
                <w:szCs w:val="20"/>
                <w:color w:val="auto"/>
              </w:rPr>
            </w:pPr>
            <w:r>
              <w:rPr>
                <w:rFonts w:ascii="Times New Roman" w:cs="Times New Roman" w:eastAsia="Times New Roman" w:hAnsi="Times New Roman"/>
                <w:sz w:val="16"/>
                <w:szCs w:val="16"/>
                <w:color w:val="auto"/>
              </w:rPr>
              <w:t>Penalty: Equivalent to __________% (in words) of the loan principal amount or</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184"/>
        </w:trPr>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377"/>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17.</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The annexs to this Contract include: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49"/>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Withdrawal Application Form</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( 2 )</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gridSpan w:val="3"/>
          </w:tcPr>
          <w:p>
            <w:pPr>
              <w:spacing w:after="0"/>
              <w:rPr>
                <w:sz w:val="24"/>
                <w:szCs w:val="24"/>
                <w:color w:val="auto"/>
              </w:rPr>
            </w:pPr>
          </w:p>
        </w:tc>
        <w:tc>
          <w:tcPr>
            <w:tcW w:w="60" w:type="dxa"/>
            <w:vAlign w:val="bottom"/>
            <w:tcBorders>
              <w:bottom w:val="single" w:sz="8" w:color="auto"/>
            </w:tcBorders>
            <w:gridSpan w:val="2"/>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5"/>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spacing w:after="0"/>
              <w:rPr>
                <w:sz w:val="24"/>
                <w:szCs w:val="24"/>
                <w:color w:val="auto"/>
              </w:rPr>
            </w:pPr>
          </w:p>
        </w:tc>
        <w:tc>
          <w:tcPr>
            <w:tcW w:w="12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5"/>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1"/>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18.</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Other matters agreed upon by both parties.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5"/>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2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19. This Contract is made in</w:t>
            </w:r>
          </w:p>
        </w:tc>
        <w:tc>
          <w:tcPr>
            <w:tcW w:w="1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triplicate</w:t>
            </w:r>
          </w:p>
        </w:tc>
        <w:tc>
          <w:tcPr>
            <w:tcW w:w="2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of which the Borrower holds</w:t>
            </w:r>
          </w:p>
        </w:tc>
        <w:tc>
          <w:tcPr>
            <w:tcW w:w="358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one   copy, the Lender holds   two   copies, and</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holds</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copies. Each</w:t>
            </w:r>
          </w:p>
        </w:tc>
      </w:tr>
      <w:tr>
        <w:trPr>
          <w:trHeight w:val="208"/>
        </w:trPr>
        <w:tc>
          <w:tcPr>
            <w:tcW w:w="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copy has the same legal effect.</w:t>
            </w:r>
          </w:p>
        </w:tc>
        <w:tc>
          <w:tcPr>
            <w:tcW w:w="114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385"/>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Part 1)</w:t>
            </w: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81"/>
        </w:trPr>
        <w:tc>
          <w:tcPr>
            <w:tcW w:w="60" w:type="dxa"/>
            <w:vAlign w:val="bottom"/>
          </w:tcPr>
          <w:p>
            <w:pPr>
              <w:spacing w:after="0"/>
              <w:rPr>
                <w:sz w:val="24"/>
                <w:szCs w:val="24"/>
                <w:color w:val="auto"/>
              </w:rPr>
            </w:pPr>
          </w:p>
        </w:tc>
        <w:tc>
          <w:tcPr>
            <w:tcW w:w="2160" w:type="dxa"/>
            <w:vAlign w:val="bottom"/>
            <w:tcBorders>
              <w:bottom w:val="single" w:sz="8" w:color="auto"/>
            </w:tcBorders>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Page 7</w:t>
            </w: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ZEZAEBAA</w:t>
            </w:r>
          </w:p>
        </w:tc>
      </w:tr>
    </w:tbl>
    <w:p>
      <w:pPr>
        <w:sectPr>
          <w:pgSz w:w="11900" w:h="16838" w:orient="portrait"/>
          <w:cols w:equalWidth="0" w:num="1">
            <w:col w:w="11320"/>
          </w:cols>
          <w:pgMar w:left="260" w:top="351" w:right="319" w:bottom="1440" w:gutter="0" w:footer="0" w:header="0"/>
        </w:sectPr>
      </w:pPr>
    </w:p>
    <w:bookmarkStart w:id="290" w:name="page291"/>
    <w:bookmarkEnd w:id="290"/>
    <w:p>
      <w:pPr>
        <w:ind w:left="92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0">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General Terms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 Loan</w:t>
      </w:r>
    </w:p>
    <w:p>
      <w:pPr>
        <w:spacing w:after="0" w:line="201" w:lineRule="exact"/>
        <w:rPr>
          <w:sz w:val="20"/>
          <w:szCs w:val="20"/>
          <w:color w:val="auto"/>
        </w:rPr>
      </w:pPr>
    </w:p>
    <w:p>
      <w:pPr>
        <w:jc w:val="both"/>
        <w:ind w:firstLine="285"/>
        <w:spacing w:after="0" w:line="262" w:lineRule="auto"/>
        <w:tabs>
          <w:tab w:leader="none" w:pos="449" w:val="left"/>
        </w:tabs>
        <w:numPr>
          <w:ilvl w:val="0"/>
          <w:numId w:val="2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spacing w:after="0" w:line="160" w:lineRule="exact"/>
        <w:rPr>
          <w:rFonts w:ascii="Times New Roman" w:cs="Times New Roman" w:eastAsia="Times New Roman" w:hAnsi="Times New Roman"/>
          <w:sz w:val="16"/>
          <w:szCs w:val="16"/>
          <w:b w:val="1"/>
          <w:bCs w:val="1"/>
          <w:color w:val="auto"/>
        </w:rPr>
      </w:pPr>
    </w:p>
    <w:p>
      <w:pPr>
        <w:jc w:val="both"/>
        <w:ind w:firstLine="285"/>
        <w:spacing w:after="0" w:line="267" w:lineRule="auto"/>
        <w:tabs>
          <w:tab w:leader="none" w:pos="457"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 Loan Interest Rate and Interest Calculation Method</w:t>
      </w:r>
    </w:p>
    <w:p>
      <w:pPr>
        <w:spacing w:after="0" w:line="203" w:lineRule="exact"/>
        <w:rPr>
          <w:sz w:val="20"/>
          <w:szCs w:val="20"/>
          <w:color w:val="auto"/>
        </w:rPr>
      </w:pPr>
    </w:p>
    <w:p>
      <w:pPr>
        <w:jc w:val="both"/>
        <w:ind w:right="20" w:firstLine="285"/>
        <w:spacing w:after="0" w:line="261" w:lineRule="auto"/>
        <w:tabs>
          <w:tab w:leader="none" w:pos="452"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spacing w:after="0" w:line="161"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62"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57"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spacing w:after="0" w:line="312"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8</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2">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285"/>
        <w:spacing w:after="0" w:line="283" w:lineRule="auto"/>
        <w:tabs>
          <w:tab w:leader="none" w:pos="453"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463"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upon by both parties to this Contract, the loan interest rate under this Contract shall be calculated using the “simple interest method”. The interest rate calculation method can be found on the website of the People’s Bank of China.</w:t>
      </w:r>
    </w:p>
    <w:p>
      <w:pPr>
        <w:spacing w:after="0" w:line="143"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Market Paralysis</w:t>
      </w:r>
    </w:p>
    <w:p>
      <w:pPr>
        <w:spacing w:after="0" w:line="20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spacing w:after="0" w:line="1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Article 3 Withdrawal</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Before making the first withdrawal, the Borrower shall meet the following conditions:</w:t>
      </w:r>
    </w:p>
    <w:p>
      <w:pPr>
        <w:spacing w:after="0" w:line="201" w:lineRule="exact"/>
        <w:rPr>
          <w:sz w:val="20"/>
          <w:szCs w:val="20"/>
          <w:color w:val="auto"/>
        </w:rPr>
      </w:pPr>
    </w:p>
    <w:p>
      <w:pPr>
        <w:ind w:right="20" w:firstLine="285"/>
        <w:spacing w:after="0" w:line="283" w:lineRule="auto"/>
        <w:tabs>
          <w:tab w:leader="none" w:pos="544"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Withdrawal Application (the format is shown in Annex 1 or Annex 2 of this Contract), the completed Debit (Loan) Certificate and other relevant documents in accordance with the time and method agreed upon in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and the corresponding Guarantee Contract (if any) have been signed and remain in force, and the Guarantee Right has been effectively established;</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4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spacing w:after="0" w:line="300"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9</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54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opened a relevant account with the Lender in accordance with the Lender’s requirements;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performed its obligations under this Contract and no breach of contract has occurred;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documents or conditions required by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In addition to conditions for the initial withdrawal, the Borrower shall also meet the following conditions before each withdrawal:</w:t>
      </w:r>
    </w:p>
    <w:p>
      <w:pPr>
        <w:spacing w:after="0" w:line="201" w:lineRule="exact"/>
        <w:rPr>
          <w:sz w:val="20"/>
          <w:szCs w:val="20"/>
          <w:color w:val="auto"/>
        </w:rPr>
      </w:pPr>
    </w:p>
    <w:p>
      <w:pPr>
        <w:ind w:right="20" w:firstLine="285"/>
        <w:spacing w:after="0" w:line="283" w:lineRule="auto"/>
        <w:tabs>
          <w:tab w:leader="none" w:pos="544"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Withdrawal Application (the format is shown in Annex 1 or Annex 2 of this Contract), the completed Debit (Loan) Certificate and other relevant documents in accordance with the time and method agreed upon in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made by the Borrower under this Contract shall remain valid;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performed its obligations under this Contract and no breach of contract has occurred;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documents or conditions required by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 Withdrawal</w:t>
      </w:r>
    </w:p>
    <w:p>
      <w:pPr>
        <w:spacing w:after="0" w:line="201" w:lineRule="exact"/>
        <w:rPr>
          <w:sz w:val="20"/>
          <w:szCs w:val="20"/>
          <w:color w:val="auto"/>
        </w:rPr>
      </w:pPr>
    </w:p>
    <w:p>
      <w:pPr>
        <w:jc w:val="both"/>
        <w:ind w:right="20" w:firstLine="285"/>
        <w:spacing w:after="0" w:line="267" w:lineRule="auto"/>
        <w:tabs>
          <w:tab w:leader="none" w:pos="545"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4"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spacing w:after="0" w:line="312"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10</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3" w:name="page294"/>
    <w:bookmarkEnd w:id="293"/>
    <w:p>
      <w:pPr>
        <w:ind w:left="92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47560" cy="152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firstLine="285"/>
        <w:spacing w:after="0" w:line="283" w:lineRule="auto"/>
        <w:tabs>
          <w:tab w:leader="none" w:pos="52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requests to cancel all or part of the undrawn loan, he shall apply to the Lender three (3) banking days prior to the determined withdrawal date or the end date of the withdrawal period, and the cancellation can only be made after the Lender agrees;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25"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complete the withdrawal procedures and does not apply for a delay in withdrawal on the specified withdrawal date or within the withdrawal period, the Lender has the right to cancel the undrawn loan;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has the right to waive one or more of the above withdrawal conditions without affecting any rights of the Lender under this Contract.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 Account Opening and Management</w:t>
      </w:r>
    </w:p>
    <w:p>
      <w:pPr>
        <w:spacing w:after="0" w:line="201" w:lineRule="exact"/>
        <w:rPr>
          <w:sz w:val="20"/>
          <w:szCs w:val="20"/>
          <w:color w:val="auto"/>
        </w:rPr>
      </w:pPr>
    </w:p>
    <w:p>
      <w:pPr>
        <w:jc w:val="both"/>
        <w:ind w:right="20" w:firstLine="285"/>
        <w:spacing w:after="0" w:line="268" w:lineRule="auto"/>
        <w:tabs>
          <w:tab w:leader="none" w:pos="4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shall have opened a general settlement account and a fund withdrawal account with the Lender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see Part I of this Contract) at the time of signing this Contract, as well as a special account for working capital loans (if any) agreed upon by both parties. The Borrower agrees that the Lender shall monitor the Borrower’s aforementioned accounts.</w:t>
      </w:r>
    </w:p>
    <w:p>
      <w:pPr>
        <w:spacing w:after="0" w:line="155" w:lineRule="exact"/>
        <w:rPr>
          <w:rFonts w:ascii="Times New Roman" w:cs="Times New Roman" w:eastAsia="Times New Roman" w:hAnsi="Times New Roman"/>
          <w:sz w:val="16"/>
          <w:szCs w:val="16"/>
          <w:color w:val="auto"/>
        </w:rPr>
      </w:pPr>
    </w:p>
    <w:p>
      <w:pPr>
        <w:ind w:right="20" w:firstLine="285"/>
        <w:spacing w:after="0" w:line="283" w:lineRule="auto"/>
        <w:tabs>
          <w:tab w:leader="none" w:pos="466"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special account for working capital loans is not opened, the general settlement account shall be used to calculate the disbursement and payment of loan funds applied by the Borrower from the Lender.</w:t>
      </w:r>
    </w:p>
    <w:p>
      <w:pPr>
        <w:spacing w:after="0" w:line="14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spacing w:after="0" w:line="162" w:lineRule="exact"/>
        <w:rPr>
          <w:sz w:val="20"/>
          <w:szCs w:val="20"/>
          <w:color w:val="auto"/>
        </w:rPr>
      </w:pPr>
    </w:p>
    <w:p>
      <w:pPr>
        <w:ind w:firstLine="285"/>
        <w:spacing w:after="0" w:line="283" w:lineRule="auto"/>
        <w:tabs>
          <w:tab w:leader="none" w:pos="45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confirms that the Fund Withdrawal Account is the income account and repayment reserve account under this Contract. The Borrower’s income cash flow or the Borrower’s overall cash flow shall be entered into the Fund Withdrawal Account.</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Lender has the right to monitor the funds withdrawal account. When the fund flow in the funds withdrawal account is abnormal, the Lender has the right to find out the reason from the Borrower and take corresponding measures.</w:t>
      </w:r>
    </w:p>
    <w:p>
      <w:pPr>
        <w:spacing w:after="0" w:line="300"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11</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5 Payment Supervision</w:t>
      </w:r>
    </w:p>
    <w:p>
      <w:pPr>
        <w:spacing w:after="0" w:line="203" w:lineRule="exact"/>
        <w:rPr>
          <w:sz w:val="20"/>
          <w:szCs w:val="20"/>
          <w:color w:val="auto"/>
        </w:rPr>
      </w:pPr>
    </w:p>
    <w:p>
      <w:pPr>
        <w:ind w:right="20" w:firstLine="285"/>
        <w:spacing w:after="0" w:line="283" w:lineRule="auto"/>
        <w:tabs>
          <w:tab w:leader="none" w:pos="454"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spacing w:after="0" w:line="14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spacing w:after="0" w:line="14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spacing w:after="0" w:line="143" w:lineRule="exact"/>
        <w:rPr>
          <w:sz w:val="20"/>
          <w:szCs w:val="20"/>
          <w:color w:val="auto"/>
        </w:rPr>
      </w:pPr>
    </w:p>
    <w:p>
      <w:pPr>
        <w:jc w:val="both"/>
        <w:ind w:right="20" w:firstLine="285"/>
        <w:spacing w:after="0" w:line="267" w:lineRule="auto"/>
        <w:tabs>
          <w:tab w:leader="none" w:pos="468"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spacing w:after="0" w:line="312"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12</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3">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285"/>
        <w:spacing w:after="0" w:line="283" w:lineRule="auto"/>
        <w:tabs>
          <w:tab w:leader="none" w:pos="452"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Borrower applies to the Lender for external payment of loan funds, he shall submit supporting documents that meet the Lender’s requirements, including but not limited to:</w:t>
      </w:r>
    </w:p>
    <w:p>
      <w:pPr>
        <w:spacing w:after="0" w:line="143" w:lineRule="exact"/>
        <w:rPr>
          <w:sz w:val="20"/>
          <w:szCs w:val="20"/>
          <w:color w:val="auto"/>
        </w:rPr>
      </w:pPr>
    </w:p>
    <w:p>
      <w:pPr>
        <w:ind w:left="520" w:hanging="235"/>
        <w:spacing w:after="0"/>
        <w:tabs>
          <w:tab w:leader="none" w:pos="5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Documents proving that the purpose of payment is in accordance with the purpose agreed in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8"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contracts and written documents that truly reflect the Borrower’s payment obligations. For fees that must be paid without signing a contract, the charging policy and standards approved by the competent authority should be provided;</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34"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corresponding invoice or receipt is not available at the time of payment, the Borrower shall promptly submit the corresponding invoice or receipt after the payment is completed;</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valid payment voucher;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documents required by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has the right to waive one or more of the above-mentioned certification documents, without affecting any rights of the Lender under this Contract.</w:t>
      </w:r>
    </w:p>
    <w:p>
      <w:pPr>
        <w:spacing w:after="0" w:line="201" w:lineRule="exact"/>
        <w:rPr>
          <w:sz w:val="20"/>
          <w:szCs w:val="20"/>
          <w:color w:val="auto"/>
        </w:rPr>
      </w:pPr>
    </w:p>
    <w:p>
      <w:pPr>
        <w:jc w:val="both"/>
        <w:ind w:firstLine="285"/>
        <w:spacing w:after="0" w:line="261" w:lineRule="auto"/>
        <w:tabs>
          <w:tab w:leader="none" w:pos="456"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spacing w:after="0" w:line="162"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spacing w:after="0" w:line="321"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13</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5">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85"/>
        <w:spacing w:after="0" w:line="267" w:lineRule="auto"/>
        <w:tabs>
          <w:tab w:leader="none" w:pos="449"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56"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confirms that he shall pay the Lender the remittance fee incurred in the payment of loan funds. When the remittance fee is incurred, the Lender has the right to directly deduct the actual amount.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458"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spacing w:after="0" w:line="143" w:lineRule="exact"/>
        <w:rPr>
          <w:sz w:val="20"/>
          <w:szCs w:val="20"/>
          <w:color w:val="auto"/>
        </w:rPr>
      </w:pPr>
    </w:p>
    <w:p>
      <w:pPr>
        <w:ind w:left="520" w:hanging="235"/>
        <w:spacing w:after="0"/>
        <w:tabs>
          <w:tab w:leader="none" w:pos="5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status declines;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profitability of the main business is not strong;</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abnormalities in the use of loan funds.</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14</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6 Repayment</w:t>
      </w:r>
    </w:p>
    <w:p>
      <w:pPr>
        <w:spacing w:after="0" w:line="203" w:lineRule="exact"/>
        <w:rPr>
          <w:sz w:val="20"/>
          <w:szCs w:val="20"/>
          <w:color w:val="auto"/>
        </w:rPr>
      </w:pPr>
    </w:p>
    <w:p>
      <w:pPr>
        <w:jc w:val="both"/>
        <w:ind w:firstLine="285"/>
        <w:spacing w:after="0" w:line="267" w:lineRule="auto"/>
        <w:tabs>
          <w:tab w:leader="none" w:pos="453"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If the Borrower repays the loan in advance, he shall submit a written application to the Lender and obtain the Lender’s written consent before the tenth (10th) banking day before the expected repayment date. If the Lender’s prior written consent is not obtained, the Borrower shall still repay the principal and interest in accordance with the term and interest rate agreed in the Contract.</w:t>
      </w:r>
    </w:p>
    <w:p>
      <w:pPr>
        <w:spacing w:after="0" w:line="154"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Early repayment agreed by the Lender shall be deemed as the early maturity of the loan. </w:t>
      </w:r>
      <w:r>
        <w:rPr>
          <w:rFonts w:ascii="Times New Roman" w:cs="Times New Roman" w:eastAsia="Times New Roman" w:hAnsi="Times New Roman"/>
          <w:sz w:val="16"/>
          <w:szCs w:val="16"/>
          <w:color w:val="auto"/>
        </w:rPr>
        <w:t>In this case, the Lender also has the right to require the Borrower to pay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amount of liquidated damages as agreed in this Contract (see Part I of this Contract).</w:t>
      </w:r>
    </w:p>
    <w:p>
      <w:pPr>
        <w:spacing w:after="0" w:line="14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spacing w:after="0" w:line="156" w:lineRule="exact"/>
        <w:rPr>
          <w:sz w:val="20"/>
          <w:szCs w:val="20"/>
          <w:color w:val="auto"/>
        </w:rPr>
      </w:pPr>
    </w:p>
    <w:p>
      <w:pPr>
        <w:jc w:val="both"/>
        <w:ind w:firstLine="285"/>
        <w:spacing w:after="0" w:line="259" w:lineRule="auto"/>
        <w:tabs>
          <w:tab w:leader="none" w:pos="45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spacing w:after="0" w:line="161"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re-draw any loan funds that have been repaid.</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15</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7 Representations and Warranties</w:t>
      </w:r>
    </w:p>
    <w:p>
      <w:pPr>
        <w:spacing w:after="0" w:line="20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 makes the following representations and warranties to the Lender, which are made upon the signing of this Contract and shall remain valid during the validity period of this Contract.</w:t>
      </w:r>
    </w:p>
    <w:p>
      <w:pPr>
        <w:spacing w:after="0" w:line="143" w:lineRule="exact"/>
        <w:rPr>
          <w:sz w:val="20"/>
          <w:szCs w:val="20"/>
          <w:color w:val="auto"/>
        </w:rPr>
      </w:pPr>
    </w:p>
    <w:p>
      <w:pPr>
        <w:ind w:firstLine="285"/>
        <w:spacing w:after="0" w:line="283" w:lineRule="auto"/>
        <w:tabs>
          <w:tab w:leader="none" w:pos="46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73"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45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5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all financial statements (if any) issued by him comply with the provisions of applicable laws and that the statements truly, completely and fairly reflect the financial status of the Borrower.</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56"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spacing w:after="0" w:line="155"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the filing, registration or other formalities required for the validity and legal performance of this Contract have been completed.</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16</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3">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471"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have been no significant adverse changes in the operating and financial conditions of the Borrower since the issuance of the most recent audited financial statements.</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56"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spacing w:after="0" w:line="155"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give up any matured claims, and do not dispose of existing major assets without compensation or in other inappropriate ways.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9"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his credit status is good and has no major bad records.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warrants that there are no other circumstances or events that have or may have a significant adverse impact on the Borrower’s ability to perform.</w:t>
      </w:r>
    </w:p>
    <w:p>
      <w:pPr>
        <w:spacing w:after="0" w:line="198" w:lineRule="exact"/>
        <w:rPr>
          <w:rFonts w:ascii="Times New Roman" w:cs="Times New Roman" w:eastAsia="Times New Roman" w:hAnsi="Times New Roman"/>
          <w:sz w:val="16"/>
          <w:szCs w:val="16"/>
          <w:color w:val="auto"/>
        </w:rPr>
      </w:pPr>
    </w:p>
    <w:p>
      <w:pPr>
        <w:ind w:left="49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Article 8 Agreement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and the Lender agree as follows:</w:t>
      </w:r>
    </w:p>
    <w:p>
      <w:pPr>
        <w:spacing w:after="0" w:line="201" w:lineRule="exact"/>
        <w:rPr>
          <w:sz w:val="20"/>
          <w:szCs w:val="20"/>
          <w:color w:val="auto"/>
        </w:rPr>
      </w:pPr>
    </w:p>
    <w:p>
      <w:pPr>
        <w:jc w:val="both"/>
        <w:ind w:right="20" w:firstLine="285"/>
        <w:spacing w:after="0" w:line="267" w:lineRule="auto"/>
        <w:tabs>
          <w:tab w:leader="none" w:pos="467"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64"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the principal and interest of the loan under this Contract in accordance with the time, amount, currency and interest rate specified in this Contract, the Application Form and the Debit (Loan) Certificate.</w:t>
      </w:r>
    </w:p>
    <w:p>
      <w:pPr>
        <w:spacing w:after="0" w:line="300"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17</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285"/>
        <w:spacing w:after="0" w:line="283" w:lineRule="auto"/>
        <w:tabs>
          <w:tab w:leader="none" w:pos="458"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spacing w:after="0" w:line="143"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promises that he will not take the following actions without the written consent of the Lender:</w:t>
      </w:r>
    </w:p>
    <w:p>
      <w:pPr>
        <w:spacing w:after="0" w:line="201" w:lineRule="exact"/>
        <w:rPr>
          <w:sz w:val="20"/>
          <w:szCs w:val="20"/>
          <w:color w:val="auto"/>
        </w:rPr>
      </w:pPr>
    </w:p>
    <w:p>
      <w:pPr>
        <w:ind w:left="520" w:hanging="235"/>
        <w:spacing w:after="0"/>
        <w:tabs>
          <w:tab w:leader="none" w:pos="5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(including by sale, donation, debt repayment, exchange, etc.), mortgage, pledge or other disposal of all or most of its major assets;</w:t>
      </w:r>
    </w:p>
    <w:p>
      <w:pPr>
        <w:spacing w:after="0" w:line="200"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528"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guarantee to a third party that is sufficient to have a significant adverse effect on its financial condition or its ability to perform its obligations under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Prepayment of other long-term debts in advance may have a significant adverse impact on the Borrower’s ability to perform its obligations under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Signing any contract/agreement that has a significant adverse effect on the Borrower’s ability to perform its obligations under this Contract or assuming any relevant obligation that has such an effect.</w:t>
      </w:r>
    </w:p>
    <w:p>
      <w:pPr>
        <w:spacing w:after="0" w:line="143" w:lineRule="exact"/>
        <w:rPr>
          <w:sz w:val="20"/>
          <w:szCs w:val="20"/>
          <w:color w:val="auto"/>
        </w:rPr>
      </w:pPr>
    </w:p>
    <w:p>
      <w:pPr>
        <w:ind w:right="20" w:firstLine="285"/>
        <w:spacing w:after="0" w:line="283" w:lineRule="auto"/>
        <w:tabs>
          <w:tab w:leader="none" w:pos="453"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undertakes that, if the following events occur, the Borrower will immediately notify the Lender on the date of the event and deliver the original relevant notice to the Lender (with official seal) within five (5) banking days from the date of the event:</w:t>
      </w:r>
    </w:p>
    <w:p>
      <w:pPr>
        <w:spacing w:after="0" w:line="143" w:lineRule="exact"/>
        <w:rPr>
          <w:sz w:val="20"/>
          <w:szCs w:val="20"/>
          <w:color w:val="auto"/>
        </w:rPr>
      </w:pPr>
    </w:p>
    <w:p>
      <w:pPr>
        <w:ind w:left="520" w:hanging="235"/>
        <w:spacing w:after="0"/>
        <w:tabs>
          <w:tab w:leader="none" w:pos="5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 event causes the representations and warranties made by the Borrower in this Contract to become untrue, inaccurate or invalid.</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36"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representative or his authorized agent, person in charge, principal financial officer, correspondence address, company name, office location, etc. of the Borrower are changed;</w:t>
      </w:r>
    </w:p>
    <w:p>
      <w:pPr>
        <w:spacing w:after="0" w:line="300"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18</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8">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hanging="235"/>
        <w:spacing w:after="0"/>
        <w:tabs>
          <w:tab w:leader="none" w:pos="5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applied for reorganization or bankruptcy by other creditors or is revoked by the superior authority;</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significant adverse event that may affect the Borrower’s ability to repay its debts occurs.</w:t>
      </w:r>
    </w:p>
    <w:p>
      <w:pPr>
        <w:spacing w:after="0" w:line="201" w:lineRule="exact"/>
        <w:rPr>
          <w:sz w:val="20"/>
          <w:szCs w:val="20"/>
          <w:color w:val="auto"/>
        </w:rPr>
      </w:pPr>
    </w:p>
    <w:p>
      <w:pPr>
        <w:ind w:firstLine="285"/>
        <w:spacing w:after="0" w:line="283" w:lineRule="auto"/>
        <w:tabs>
          <w:tab w:leader="none" w:pos="454"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he will not repay other loans in priority in violation of the normal repayment order, and will not sign any contract or agreement that will make the loans under this Contract subordinate now or in the future.</w:t>
      </w:r>
    </w:p>
    <w:p>
      <w:pPr>
        <w:spacing w:after="0" w:line="143" w:lineRule="exact"/>
        <w:rPr>
          <w:rFonts w:ascii="Times New Roman" w:cs="Times New Roman" w:eastAsia="Times New Roman" w:hAnsi="Times New Roman"/>
          <w:sz w:val="16"/>
          <w:szCs w:val="16"/>
          <w:color w:val="auto"/>
        </w:rPr>
      </w:pPr>
    </w:p>
    <w:p>
      <w:pPr>
        <w:jc w:val="both"/>
        <w:ind w:firstLine="285"/>
        <w:spacing w:after="0" w:line="259" w:lineRule="auto"/>
        <w:tabs>
          <w:tab w:leader="none" w:pos="457"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spacing w:after="0" w:line="161" w:lineRule="exact"/>
        <w:rPr>
          <w:rFonts w:ascii="Times New Roman" w:cs="Times New Roman" w:eastAsia="Times New Roman" w:hAnsi="Times New Roman"/>
          <w:sz w:val="16"/>
          <w:szCs w:val="16"/>
          <w:color w:val="auto"/>
        </w:rPr>
      </w:pPr>
    </w:p>
    <w:p>
      <w:pPr>
        <w:jc w:val="both"/>
        <w:ind w:right="20" w:firstLine="285"/>
        <w:spacing w:after="0" w:line="257" w:lineRule="auto"/>
        <w:tabs>
          <w:tab w:leader="none" w:pos="45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spacing w:after="0" w:line="164" w:lineRule="exact"/>
        <w:rPr>
          <w:rFonts w:ascii="Times New Roman" w:cs="Times New Roman" w:eastAsia="Times New Roman" w:hAnsi="Times New Roman"/>
          <w:sz w:val="16"/>
          <w:szCs w:val="16"/>
          <w:color w:val="auto"/>
        </w:rPr>
      </w:pPr>
    </w:p>
    <w:p>
      <w:pPr>
        <w:jc w:val="both"/>
        <w:ind w:firstLine="285"/>
        <w:spacing w:after="0" w:line="267" w:lineRule="auto"/>
        <w:tabs>
          <w:tab w:leader="none" w:pos="472"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spacing w:after="0" w:line="312"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19</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235"/>
        <w:spacing w:after="0"/>
        <w:tabs>
          <w:tab w:leader="none" w:pos="5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recover the loan funds under this Contract in advance according to the Borrower’s fund withdrawn situation.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regarding group customers (applicable to group customers).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Borrower of this Contract is a group customer, the Borrower hereby promises:</w:t>
      </w:r>
    </w:p>
    <w:p>
      <w:pPr>
        <w:spacing w:after="0" w:line="165" w:lineRule="exact"/>
        <w:rPr>
          <w:sz w:val="20"/>
          <w:szCs w:val="20"/>
          <w:color w:val="auto"/>
        </w:rPr>
      </w:pPr>
    </w:p>
    <w:p>
      <w:pPr>
        <w:jc w:val="both"/>
        <w:ind w:right="20" w:firstLine="285"/>
        <w:spacing w:after="0" w:line="210" w:lineRule="exact"/>
        <w:tabs>
          <w:tab w:leader="none" w:pos="53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shall promptly report any related-party transactions involving more than 10% of the net assets of the actual trustee, including: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the relationship between the parties to the transaction;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transaction items and nature of the transaction;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the transaction amount or the corresponding proportion;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the pricing policy (including transactions with no amount or only a symbolic amount).</w:t>
      </w:r>
    </w:p>
    <w:p>
      <w:pPr>
        <w:spacing w:after="0" w:line="177" w:lineRule="exact"/>
        <w:rPr>
          <w:rFonts w:ascii="Times New Roman" w:cs="Times New Roman" w:eastAsia="Times New Roman" w:hAnsi="Times New Roman"/>
          <w:sz w:val="16"/>
          <w:szCs w:val="16"/>
          <w:color w:val="auto"/>
        </w:rPr>
      </w:pPr>
    </w:p>
    <w:p>
      <w:pPr>
        <w:jc w:val="both"/>
        <w:ind w:firstLine="285"/>
        <w:spacing w:after="0" w:line="198" w:lineRule="exact"/>
        <w:tabs>
          <w:tab w:leader="none" w:pos="521"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Providing false materials or concealing important operating and financial facts;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Changing the original purpose of the credit without the consent of the Lender, misappropriating the credit or using the bank credit for illegal or irregular transactions;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Using false contracts with related parties to discount or pledge bills receivable, accounts receivable and other debts without actual trade background to the bank to obtain bank funds or credit;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Refusing to accept the Lender’s supervision and inspection of its use of credit funds and related operating and financial activities;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There are significant mergers, acquisitions, reorganizations, etc., which the Lender believes may affect the safety of the credit; </w:t>
      </w:r>
      <w:r>
        <w:rPr>
          <w:rFonts w:ascii="MS PGothic" w:cs="MS PGothic" w:eastAsia="MS PGothic" w:hAnsi="MS PGothic"/>
          <w:sz w:val="16"/>
          <w:szCs w:val="16"/>
          <w:color w:val="auto"/>
        </w:rPr>
        <w:t>⑥</w:t>
      </w:r>
      <w:r>
        <w:rPr>
          <w:rFonts w:ascii="Times New Roman" w:cs="Times New Roman" w:eastAsia="Times New Roman" w:hAnsi="Times New Roman"/>
          <w:sz w:val="16"/>
          <w:szCs w:val="16"/>
          <w:color w:val="auto"/>
        </w:rPr>
        <w:t xml:space="preserve"> Intentionally evading bank debts through related transactions.</w:t>
      </w:r>
    </w:p>
    <w:p>
      <w:pPr>
        <w:spacing w:after="0" w:line="155" w:lineRule="exact"/>
        <w:rPr>
          <w:sz w:val="20"/>
          <w:szCs w:val="20"/>
          <w:color w:val="auto"/>
        </w:rPr>
      </w:pPr>
    </w:p>
    <w:p>
      <w:pPr>
        <w:jc w:val="both"/>
        <w:ind w:right="20" w:firstLine="285"/>
        <w:spacing w:after="0" w:line="259" w:lineRule="auto"/>
        <w:tabs>
          <w:tab w:leader="none" w:pos="535"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spacing w:after="0" w:line="162" w:lineRule="exact"/>
        <w:rPr>
          <w:sz w:val="20"/>
          <w:szCs w:val="20"/>
          <w:color w:val="auto"/>
        </w:rPr>
      </w:pPr>
    </w:p>
    <w:p>
      <w:pPr>
        <w:jc w:val="both"/>
        <w:ind w:firstLine="285"/>
        <w:spacing w:after="0" w:line="207" w:lineRule="exact"/>
        <w:tabs>
          <w:tab w:leader="none" w:pos="518"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undertakes to submit an environmental, social and governance risk report to the Lender and declares and guarantees to strengthen environmental, social and governance risk management, including: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The internal management documents related to environmental, social and governance risks comply with the requirements of laws and regulations and are effectively implemented;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There are no major litigation cases involving environmental, social and governance risks;</w:t>
      </w:r>
    </w:p>
    <w:p>
      <w:pPr>
        <w:spacing w:after="0" w:line="30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20</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firstLine="285"/>
        <w:spacing w:after="0" w:line="198" w:lineRule="exact"/>
        <w:tabs>
          <w:tab w:leader="none" w:pos="516"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commits to accept the Lender’s supervision and strengthen the management of environmental, social and governance risks, including: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Committing to comply with the regulations in all its behaviors and performances related to environmental, social and governance risks;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Committing to establish and improve the internal management system for environmental, social and governance risks, and specify in detail the responsibilities, obligations and penalties of the Borrower’s relevant responsible persons;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Committing to establish and improve the emergency response mechanism and measures for environmental, social and governance risk emergencies;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Committing to set up a special department and/or designate special personnel to be responsible for environmental, social and governance risk matters;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Committing to cooperate with the Lender or a third party recognized by him in assessing and inspecting the Borrower’s environmental, social and governance risks; </w:t>
      </w:r>
      <w:r>
        <w:rPr>
          <w:rFonts w:ascii="MS PGothic" w:cs="MS PGothic" w:eastAsia="MS PGothic" w:hAnsi="MS PGothic"/>
          <w:sz w:val="16"/>
          <w:szCs w:val="16"/>
          <w:color w:val="auto"/>
        </w:rPr>
        <w:t>⑥</w:t>
      </w:r>
      <w:r>
        <w:rPr>
          <w:rFonts w:ascii="Times New Roman" w:cs="Times New Roman" w:eastAsia="Times New Roman" w:hAnsi="Times New Roman"/>
          <w:sz w:val="16"/>
          <w:szCs w:val="16"/>
          <w:color w:val="auto"/>
        </w:rPr>
        <w:t xml:space="preserve"> Committing to give appropriate responses or take other necessary actions in the face of strong doubts from the public or other stakeholders on the Borrower’s performance in controlling environmental, social and governance risks; </w:t>
      </w:r>
      <w:r>
        <w:rPr>
          <w:rFonts w:ascii="MS PGothic" w:cs="MS PGothic" w:eastAsia="MS PGothic" w:hAnsi="MS PGothic"/>
          <w:sz w:val="16"/>
          <w:szCs w:val="16"/>
          <w:color w:val="auto"/>
        </w:rPr>
        <w:t>⑦</w:t>
      </w:r>
      <w:r>
        <w:rPr>
          <w:rFonts w:ascii="Times New Roman" w:cs="Times New Roman" w:eastAsia="Times New Roman" w:hAnsi="Times New Roman"/>
          <w:sz w:val="16"/>
          <w:szCs w:val="16"/>
          <w:color w:val="auto"/>
        </w:rPr>
        <w:t xml:space="preserve"> Committing to urge the Borrower’s key related parties to strengthen management to prevent the transmission of environmental, social and governance risks of related parties to the Borrower; </w:t>
      </w:r>
      <w:r>
        <w:rPr>
          <w:rFonts w:ascii="MS PGothic" w:cs="MS PGothic" w:eastAsia="MS PGothic" w:hAnsi="MS PGothic"/>
          <w:sz w:val="16"/>
          <w:szCs w:val="16"/>
          <w:color w:val="auto"/>
        </w:rPr>
        <w:t>⑧</w:t>
      </w:r>
      <w:r>
        <w:rPr>
          <w:rFonts w:ascii="Times New Roman" w:cs="Times New Roman" w:eastAsia="Times New Roman" w:hAnsi="Times New Roman"/>
          <w:sz w:val="16"/>
          <w:szCs w:val="16"/>
          <w:color w:val="auto"/>
        </w:rPr>
        <w:t xml:space="preserve"> Committing to perform other matters that the Lender considers relevant to the control of environmental, social and governance risks;</w:t>
      </w:r>
    </w:p>
    <w:p>
      <w:pPr>
        <w:spacing w:after="0" w:line="146" w:lineRule="exact"/>
        <w:rPr>
          <w:rFonts w:ascii="Times New Roman" w:cs="Times New Roman" w:eastAsia="Times New Roman" w:hAnsi="Times New Roman"/>
          <w:sz w:val="16"/>
          <w:szCs w:val="16"/>
          <w:color w:val="auto"/>
        </w:rPr>
      </w:pPr>
    </w:p>
    <w:p>
      <w:pPr>
        <w:jc w:val="both"/>
        <w:ind w:firstLine="285"/>
        <w:spacing w:after="0" w:line="201" w:lineRule="exact"/>
        <w:tabs>
          <w:tab w:leader="none" w:pos="544"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undertakes to inform the Lender in a timely and adequate manner when the following situations occur: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All kinds of permits, approvals and ratifications related to environmental, social and governance risks during the commencement, construction, operation and closure of the project;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assessment and inspection of the environmental, social and governance risks of the Borrower by the environmental, social and governance risk regulatory agency or its recognized agency;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The supporting construction and operation of environmental facilities;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The emission and compliance of pollutants;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The safety and health of employees; </w:t>
      </w:r>
      <w:r>
        <w:rPr>
          <w:rFonts w:ascii="MS PGothic" w:cs="MS PGothic" w:eastAsia="MS PGothic" w:hAnsi="MS PGothic"/>
          <w:sz w:val="16"/>
          <w:szCs w:val="16"/>
          <w:color w:val="auto"/>
        </w:rPr>
        <w:t>⑥</w:t>
      </w:r>
      <w:r>
        <w:rPr>
          <w:rFonts w:ascii="Times New Roman" w:cs="Times New Roman" w:eastAsia="Times New Roman" w:hAnsi="Times New Roman"/>
          <w:sz w:val="16"/>
          <w:szCs w:val="16"/>
          <w:color w:val="auto"/>
        </w:rPr>
        <w:t xml:space="preserve"> Major complaints and protests against the Borrower by neighboring communities; </w:t>
      </w:r>
      <w:r>
        <w:rPr>
          <w:rFonts w:ascii="MS PGothic" w:cs="MS PGothic" w:eastAsia="MS PGothic" w:hAnsi="MS PGothic"/>
          <w:sz w:val="16"/>
          <w:szCs w:val="16"/>
          <w:color w:val="auto"/>
        </w:rPr>
        <w:t>⑦</w:t>
      </w:r>
      <w:r>
        <w:rPr>
          <w:rFonts w:ascii="Times New Roman" w:cs="Times New Roman" w:eastAsia="Times New Roman" w:hAnsi="Times New Roman"/>
          <w:sz w:val="16"/>
          <w:szCs w:val="16"/>
          <w:color w:val="auto"/>
        </w:rPr>
        <w:t xml:space="preserve"> Major environmental and social claims; </w:t>
      </w:r>
      <w:r>
        <w:rPr>
          <w:rFonts w:ascii="MS PGothic" w:cs="MS PGothic" w:eastAsia="MS PGothic" w:hAnsi="MS PGothic"/>
          <w:sz w:val="16"/>
          <w:szCs w:val="16"/>
          <w:color w:val="auto"/>
        </w:rPr>
        <w:t>⑧</w:t>
      </w:r>
      <w:r>
        <w:rPr>
          <w:rFonts w:ascii="Times New Roman" w:cs="Times New Roman" w:eastAsia="Times New Roman" w:hAnsi="Times New Roman"/>
          <w:sz w:val="16"/>
          <w:szCs w:val="16"/>
          <w:color w:val="auto"/>
        </w:rPr>
        <w:t xml:space="preserve"> Other major situations that the Lender considers to be related to environmental, social and governance risks;</w:t>
      </w:r>
    </w:p>
    <w:p>
      <w:pPr>
        <w:spacing w:after="0" w:line="141" w:lineRule="exact"/>
        <w:rPr>
          <w:rFonts w:ascii="Times New Roman" w:cs="Times New Roman" w:eastAsia="Times New Roman" w:hAnsi="Times New Roman"/>
          <w:sz w:val="16"/>
          <w:szCs w:val="16"/>
          <w:color w:val="auto"/>
        </w:rPr>
      </w:pPr>
    </w:p>
    <w:p>
      <w:pPr>
        <w:jc w:val="both"/>
        <w:ind w:firstLine="285"/>
        <w:spacing w:after="0" w:line="203" w:lineRule="exact"/>
        <w:tabs>
          <w:tab w:leader="none" w:pos="535"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Borrower and the Actual Trustee have any of the following circumstances, it shall be deemed that the Borrower has defaulted under this Contract: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The Borrower’s statements, warranties and commitments on environmental, social and governance risk management have not been conscientiously performed;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Borrower is punished by relevant government departments for poor environmental, social and governance risk management;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The Borrower is strongly questioned by the public and/or the media for poor environmental, social and governance risk management;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Other defaults on environmental, social and governance risk management agreed upon by the Lender and the Borrower, including cross-default events;</w:t>
      </w:r>
    </w:p>
    <w:p>
      <w:pPr>
        <w:spacing w:after="0" w:line="335"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21</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4" w:name="page305"/>
    <w:bookmarkEnd w:id="304"/>
    <w:p>
      <w:pPr>
        <w:ind w:left="92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47560" cy="152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both"/>
        <w:ind w:right="20" w:firstLine="289"/>
        <w:spacing w:after="0" w:line="219" w:lineRule="exact"/>
        <w:rPr>
          <w:sz w:val="20"/>
          <w:szCs w:val="20"/>
          <w:color w:val="auto"/>
        </w:rPr>
      </w:pPr>
      <w:r>
        <w:rPr>
          <w:rFonts w:ascii="Times New Roman" w:cs="Times New Roman" w:eastAsia="Times New Roman" w:hAnsi="Times New Roman"/>
          <w:sz w:val="16"/>
          <w:szCs w:val="16"/>
          <w:color w:val="auto"/>
        </w:rPr>
        <w:t xml:space="preserve">If the Borrower defaults as mentioned above, the Lender has the right to unilaterally decide: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to cancel the credit commitment that has been made;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to suspend the disbursement of the loan until the Borrower has taken rescue measures that are satisfactory to the Lender;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to recover the disbursed loan in advance;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to exercise the relevant mortgage rights and other penalty measures in advance when the loan cannot be repaid;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other penalty measures agreed upon by the Lender and the Borrower.</w:t>
      </w:r>
    </w:p>
    <w:p>
      <w:pPr>
        <w:spacing w:after="0" w:line="150" w:lineRule="exact"/>
        <w:rPr>
          <w:sz w:val="20"/>
          <w:szCs w:val="20"/>
          <w:color w:val="auto"/>
        </w:rPr>
      </w:pPr>
    </w:p>
    <w:p>
      <w:pPr>
        <w:jc w:val="both"/>
        <w:ind w:firstLine="285"/>
        <w:spacing w:after="0" w:line="267" w:lineRule="auto"/>
        <w:tabs>
          <w:tab w:leader="none" w:pos="568"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spacing w:after="0" w:line="156"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14. Anti-Money Laundering Agreement 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spacing w:after="0" w:line="163" w:lineRule="exact"/>
        <w:rPr>
          <w:sz w:val="20"/>
          <w:szCs w:val="20"/>
          <w:color w:val="auto"/>
        </w:rPr>
      </w:pPr>
    </w:p>
    <w:p>
      <w:pPr>
        <w:jc w:val="both"/>
        <w:ind w:firstLine="285"/>
        <w:spacing w:after="0" w:line="255" w:lineRule="auto"/>
        <w:tabs>
          <w:tab w:leader="none" w:pos="552" w:val="left"/>
        </w:tabs>
        <w:numPr>
          <w:ilvl w:val="0"/>
          <w:numId w:val="2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spacing w:after="0" w:line="169" w:lineRule="exact"/>
        <w:rPr>
          <w:rFonts w:ascii="Times New Roman" w:cs="Times New Roman" w:eastAsia="Times New Roman" w:hAnsi="Times New Roman"/>
          <w:sz w:val="16"/>
          <w:szCs w:val="16"/>
          <w:b w:val="1"/>
          <w:bCs w:val="1"/>
          <w:color w:val="auto"/>
        </w:rPr>
      </w:pPr>
    </w:p>
    <w:p>
      <w:pPr>
        <w:jc w:val="both"/>
        <w:ind w:firstLine="285"/>
        <w:spacing w:after="0" w:line="261" w:lineRule="auto"/>
        <w:tabs>
          <w:tab w:leader="none" w:pos="533"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spacing w:after="0" w:line="318"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22</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9">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9 Deduction Agreement</w:t>
      </w:r>
    </w:p>
    <w:p>
      <w:pPr>
        <w:spacing w:after="0" w:line="201" w:lineRule="exact"/>
        <w:rPr>
          <w:sz w:val="20"/>
          <w:szCs w:val="20"/>
          <w:color w:val="auto"/>
        </w:rPr>
      </w:pPr>
    </w:p>
    <w:p>
      <w:pPr>
        <w:jc w:val="both"/>
        <w:ind w:firstLine="285"/>
        <w:spacing w:after="0" w:line="262" w:lineRule="auto"/>
        <w:tabs>
          <w:tab w:leader="none" w:pos="461"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spacing w:after="0" w:line="158" w:lineRule="exact"/>
        <w:rPr>
          <w:rFonts w:ascii="Times New Roman" w:cs="Times New Roman" w:eastAsia="Times New Roman" w:hAnsi="Times New Roman"/>
          <w:sz w:val="16"/>
          <w:szCs w:val="16"/>
          <w:b w:val="1"/>
          <w:bCs w:val="1"/>
          <w:color w:val="auto"/>
        </w:rPr>
      </w:pPr>
    </w:p>
    <w:p>
      <w:pPr>
        <w:ind w:right="20" w:firstLine="285"/>
        <w:spacing w:after="0" w:line="285" w:lineRule="auto"/>
        <w:tabs>
          <w:tab w:leader="none" w:pos="460" w:val="left"/>
        </w:tabs>
        <w:numPr>
          <w:ilvl w:val="0"/>
          <w:numId w:val="2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Lender has the right to choose to use the proceeds to repay the loan principal, interest or other expenses. If there are multiple claims that are due and unpaid at the same time, the Lender shall decide the order of repayment of the claims.</w:t>
      </w:r>
    </w:p>
    <w:p>
      <w:pPr>
        <w:spacing w:after="0" w:line="142" w:lineRule="exact"/>
        <w:rPr>
          <w:rFonts w:ascii="Times New Roman" w:cs="Times New Roman" w:eastAsia="Times New Roman" w:hAnsi="Times New Roman"/>
          <w:sz w:val="16"/>
          <w:szCs w:val="16"/>
          <w:b w:val="1"/>
          <w:bCs w:val="1"/>
          <w:color w:val="auto"/>
        </w:rPr>
      </w:pPr>
    </w:p>
    <w:p>
      <w:pPr>
        <w:ind w:left="440" w:hanging="155"/>
        <w:spacing w:after="0"/>
        <w:tabs>
          <w:tab w:leader="none" w:pos="44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currency of the deducted funds is inconsistent with the currency to be repaid, the following procedures shall me applied:</w:t>
      </w:r>
    </w:p>
    <w:p>
      <w:pPr>
        <w:spacing w:after="0" w:line="201" w:lineRule="exact"/>
        <w:rPr>
          <w:sz w:val="20"/>
          <w:szCs w:val="20"/>
          <w:color w:val="auto"/>
        </w:rPr>
      </w:pPr>
    </w:p>
    <w:p>
      <w:pPr>
        <w:ind w:right="20" w:firstLine="285"/>
        <w:spacing w:after="0" w:line="283" w:lineRule="auto"/>
        <w:tabs>
          <w:tab w:leader="none" w:pos="537"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currency is RMB, the principal and interest of the loan shall be repaid after the amount is converted into RMB at the applicable buying rate for the deduction currency published by the Lender at the time of deduction.</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2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spacing w:after="0" w:line="143" w:lineRule="exact"/>
        <w:rPr>
          <w:rFonts w:ascii="Times New Roman" w:cs="Times New Roman" w:eastAsia="Times New Roman" w:hAnsi="Times New Roman"/>
          <w:sz w:val="16"/>
          <w:szCs w:val="16"/>
          <w:color w:val="auto"/>
        </w:rPr>
      </w:pPr>
    </w:p>
    <w:p>
      <w:pPr>
        <w:jc w:val="both"/>
        <w:ind w:firstLine="285"/>
        <w:spacing w:after="0" w:line="261" w:lineRule="auto"/>
        <w:tabs>
          <w:tab w:leader="none" w:pos="523"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spacing w:after="0" w:line="318"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23</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1">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10 Proof of Debt</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11 Agreed Delivery Address</w:t>
      </w:r>
    </w:p>
    <w:p>
      <w:pPr>
        <w:spacing w:after="0" w:line="203" w:lineRule="exact"/>
        <w:rPr>
          <w:sz w:val="20"/>
          <w:szCs w:val="20"/>
          <w:color w:val="auto"/>
        </w:rPr>
      </w:pPr>
    </w:p>
    <w:p>
      <w:pPr>
        <w:jc w:val="both"/>
        <w:ind w:firstLine="285"/>
        <w:spacing w:after="0" w:line="267" w:lineRule="auto"/>
        <w:tabs>
          <w:tab w:leader="none" w:pos="452"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spacing w:after="0" w:line="153" w:lineRule="exact"/>
        <w:rPr>
          <w:rFonts w:ascii="Times New Roman" w:cs="Times New Roman" w:eastAsia="Times New Roman" w:hAnsi="Times New Roman"/>
          <w:sz w:val="16"/>
          <w:szCs w:val="16"/>
          <w:color w:val="auto"/>
        </w:rPr>
      </w:pPr>
    </w:p>
    <w:p>
      <w:pPr>
        <w:jc w:val="both"/>
        <w:ind w:firstLine="285"/>
        <w:spacing w:after="0" w:line="256" w:lineRule="auto"/>
        <w:tabs>
          <w:tab w:leader="none" w:pos="470" w:val="left"/>
        </w:tabs>
        <w:numPr>
          <w:ilvl w:val="0"/>
          <w:numId w:val="2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 w:cs="Times New Roman" w:eastAsia="Times New Roman" w:hAnsi="Times New Roman"/>
          <w:sz w:val="16"/>
          <w:szCs w:val="16"/>
          <w:color w:val="auto"/>
        </w:rPr>
        <w:t>.</w:t>
      </w:r>
    </w:p>
    <w:p>
      <w:pPr>
        <w:spacing w:after="0" w:line="324"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24</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3">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12 Breach of Contract and Its Handling</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Breach of Contract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of the following circumstances shall constitute the breach of contract by the Borrower against the Lender:</w:t>
      </w:r>
    </w:p>
    <w:p>
      <w:pPr>
        <w:spacing w:after="0" w:line="201" w:lineRule="exact"/>
        <w:rPr>
          <w:sz w:val="20"/>
          <w:szCs w:val="20"/>
          <w:color w:val="auto"/>
        </w:rPr>
      </w:pPr>
    </w:p>
    <w:p>
      <w:pPr>
        <w:jc w:val="both"/>
        <w:ind w:firstLine="285"/>
        <w:spacing w:after="0" w:line="267" w:lineRule="auto"/>
        <w:tabs>
          <w:tab w:leader="none" w:pos="521"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breached any of the provisions of “Other Matters Agreed by the Parties” (if any) in Part I of this Contract or any of the matters agreed in Article 8 of</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w:t>
      </w:r>
    </w:p>
    <w:p>
      <w:pPr>
        <w:spacing w:after="0" w:line="184" w:lineRule="exact"/>
        <w:rPr>
          <w:rFonts w:ascii="Times New Roman" w:cs="Times New Roman" w:eastAsia="Times New Roman" w:hAnsi="Times New Roman"/>
          <w:sz w:val="16"/>
          <w:szCs w:val="16"/>
          <w:color w:val="auto"/>
        </w:rPr>
      </w:pPr>
    </w:p>
    <w:p>
      <w:pPr>
        <w:ind w:right="20" w:firstLine="285"/>
        <w:spacing w:after="0" w:line="283" w:lineRule="auto"/>
        <w:tabs>
          <w:tab w:leader="none" w:pos="535"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 major cross-default event, including but not limited to the Borrower’s breach of any other loan contract or agreement signed by him; or the Borrower’s failure to pay debts under other loan contracts or agreements signed by him when due.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investors withdraw funds, transfer assets, or transfer equity without authorization.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no longer has or will no longer have the ability to provide a guarantee corresponding to the loan, or violates the guarantee document signed by him.</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52"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ceases operations, stops production, closes down, suspends business for rectification, reorganization, liquidates, is taken over or placed under trusteeship, is dissolved, has his business license revoked or cancelled, or goes bankrupt.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31"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of the Borrower or Guarantor deteriorates, the operation encounters serious difficulties, or an event or situation occurs that has an adverse impact on his normal operation, financial condition or debt repayment ability.</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16"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repay the principal and interest on time or failure to use the loan for the agreed purpose.</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25</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09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7147560" cy="220980"/>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0" w:hanging="315"/>
        <w:spacing w:after="0"/>
        <w:tabs>
          <w:tab w:leader="none" w:pos="6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pay the loan funds in accordance with the agreed method.</w:t>
      </w:r>
    </w:p>
    <w:p>
      <w:pPr>
        <w:spacing w:after="0" w:line="200" w:lineRule="exact"/>
        <w:rPr>
          <w:rFonts w:ascii="Times New Roman" w:cs="Times New Roman" w:eastAsia="Times New Roman" w:hAnsi="Times New Roman"/>
          <w:sz w:val="16"/>
          <w:szCs w:val="16"/>
          <w:color w:val="auto"/>
        </w:rPr>
      </w:pPr>
    </w:p>
    <w:p>
      <w:pPr>
        <w:ind w:left="580" w:hanging="295"/>
        <w:spacing w:after="0"/>
        <w:tabs>
          <w:tab w:leader="none" w:pos="58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documents and information submitted for loan application are false or incorrect.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or exceeding the relevant financial indicator constraints agreed upon in this Contract.</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604"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three (3) days before any principal and interest payment date under this Contract, the balance of funds in the Repayment Reserve Account is lower than the principal and interest payment due by the Borrower for that period.</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abnormalities in the flow of funds within the general settlement account/fund withdrawal account.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9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suspected of participating in illegal activities such as money laundering, sanctions, terrorist financing or financing of the proliferation of weapons of mass destruction, export controls, tax evasion, etc.</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illegally increases the hidden debt of the local government.</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62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commits any other act in violation of this Contract that is sufficient to hinder the normal performance of this Contract, or any other act that is prejudicial to the legitimate interests of the Lender.</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Breach Handling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If one or more of the default circumstances listed in the preceding paragraph occur, the Lender may, at its discretion, take one or more of the following measures:</w:t>
      </w:r>
    </w:p>
    <w:p>
      <w:pPr>
        <w:spacing w:after="0" w:line="201" w:lineRule="exact"/>
        <w:rPr>
          <w:sz w:val="20"/>
          <w:szCs w:val="20"/>
          <w:color w:val="auto"/>
        </w:rPr>
      </w:pPr>
    </w:p>
    <w:p>
      <w:pPr>
        <w:ind w:left="760" w:hanging="187"/>
        <w:spacing w:after="0"/>
        <w:tabs>
          <w:tab w:leader="none" w:pos="760" w:val="left"/>
        </w:tabs>
        <w:numPr>
          <w:ilvl w:val="0"/>
          <w:numId w:val="25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Require the Borrower to make corrections within a specified period of time.</w:t>
      </w:r>
    </w:p>
    <w:p>
      <w:pPr>
        <w:spacing w:after="0" w:line="201" w:lineRule="exact"/>
        <w:rPr>
          <w:sz w:val="20"/>
          <w:szCs w:val="20"/>
          <w:color w:val="auto"/>
        </w:rPr>
      </w:pPr>
    </w:p>
    <w:p>
      <w:pPr>
        <w:ind w:left="760" w:hanging="187"/>
        <w:spacing w:after="0"/>
        <w:tabs>
          <w:tab w:leader="none" w:pos="760" w:val="left"/>
        </w:tabs>
        <w:numPr>
          <w:ilvl w:val="0"/>
          <w:numId w:val="25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Cancel the Borrower’s unused loans and stop issuing and paying the Borrower’s unused loans.</w:t>
      </w:r>
    </w:p>
    <w:p>
      <w:pPr>
        <w:spacing w:after="0" w:line="201" w:lineRule="exact"/>
        <w:rPr>
          <w:sz w:val="20"/>
          <w:szCs w:val="20"/>
          <w:color w:val="auto"/>
        </w:rPr>
      </w:pPr>
    </w:p>
    <w:p>
      <w:pPr>
        <w:ind w:left="280" w:right="20" w:firstLine="293"/>
        <w:spacing w:after="0" w:line="283" w:lineRule="auto"/>
        <w:tabs>
          <w:tab w:leader="none" w:pos="775" w:val="left"/>
        </w:tabs>
        <w:numPr>
          <w:ilvl w:val="0"/>
          <w:numId w:val="25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Declare that all or part of the principal of the loan under this Contract is due in advance immediately, and require the immediate repayment of part or all of the loan, settlement of the outstanding interest, and immediate pursuit of the Guarantor or Borrower through various forms.</w:t>
      </w:r>
    </w:p>
    <w:p>
      <w:pPr>
        <w:spacing w:after="0" w:line="143" w:lineRule="exact"/>
        <w:rPr>
          <w:sz w:val="20"/>
          <w:szCs w:val="20"/>
          <w:color w:val="auto"/>
        </w:rPr>
      </w:pPr>
    </w:p>
    <w:p>
      <w:pPr>
        <w:ind w:left="760" w:hanging="187"/>
        <w:spacing w:after="0"/>
        <w:tabs>
          <w:tab w:leader="none" w:pos="760" w:val="left"/>
        </w:tabs>
        <w:numPr>
          <w:ilvl w:val="0"/>
          <w:numId w:val="2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Penalty interest and compound interest will be charged on overdue loans and misappropriated loans.</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26</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187"/>
        <w:spacing w:after="0"/>
        <w:tabs>
          <w:tab w:leader="none" w:pos="760" w:val="left"/>
        </w:tabs>
        <w:numPr>
          <w:ilvl w:val="0"/>
          <w:numId w:val="25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Deduct the funds from any account opened by the Borrower in any branch of Shanghai Pudong Development Bank Co., Ltd.</w:t>
      </w:r>
    </w:p>
    <w:p>
      <w:pPr>
        <w:spacing w:after="0" w:line="201" w:lineRule="exact"/>
        <w:rPr>
          <w:sz w:val="20"/>
          <w:szCs w:val="20"/>
          <w:color w:val="auto"/>
        </w:rPr>
      </w:pPr>
    </w:p>
    <w:p>
      <w:pPr>
        <w:ind w:left="760" w:hanging="187"/>
        <w:spacing w:after="0"/>
        <w:tabs>
          <w:tab w:leader="none" w:pos="760" w:val="left"/>
        </w:tabs>
        <w:numPr>
          <w:ilvl w:val="0"/>
          <w:numId w:val="25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Require the Borrower to supplement the loan issuance and payment conditions, or change the loan payment method.</w:t>
      </w:r>
    </w:p>
    <w:p>
      <w:pPr>
        <w:spacing w:after="0" w:line="201" w:lineRule="exact"/>
        <w:rPr>
          <w:sz w:val="20"/>
          <w:szCs w:val="20"/>
          <w:color w:val="auto"/>
        </w:rPr>
      </w:pPr>
    </w:p>
    <w:p>
      <w:pPr>
        <w:ind w:left="760" w:hanging="187"/>
        <w:spacing w:after="0"/>
        <w:tabs>
          <w:tab w:leader="none" w:pos="760" w:val="left"/>
        </w:tabs>
        <w:numPr>
          <w:ilvl w:val="0"/>
          <w:numId w:val="25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Require the Borrower to provide other guarantees approved by the Lender.</w:t>
      </w:r>
    </w:p>
    <w:p>
      <w:pPr>
        <w:spacing w:after="0" w:line="201" w:lineRule="exact"/>
        <w:rPr>
          <w:sz w:val="20"/>
          <w:szCs w:val="20"/>
          <w:color w:val="auto"/>
        </w:rPr>
      </w:pPr>
    </w:p>
    <w:p>
      <w:pPr>
        <w:ind w:left="760" w:hanging="187"/>
        <w:spacing w:after="0"/>
        <w:tabs>
          <w:tab w:leader="none" w:pos="760" w:val="left"/>
        </w:tabs>
        <w:numPr>
          <w:ilvl w:val="1"/>
          <w:numId w:val="2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necessary measures prescribed by law.</w:t>
      </w:r>
    </w:p>
    <w:p>
      <w:pPr>
        <w:spacing w:after="0" w:line="200" w:lineRule="exact"/>
        <w:rPr>
          <w:rFonts w:ascii="MS PGothic" w:cs="MS PGothic" w:eastAsia="MS PGothic" w:hAnsi="MS PGothic"/>
          <w:sz w:val="16"/>
          <w:szCs w:val="16"/>
          <w:color w:val="auto"/>
        </w:rPr>
      </w:pPr>
    </w:p>
    <w:p>
      <w:pPr>
        <w:jc w:val="both"/>
        <w:ind w:right="20" w:firstLine="285"/>
        <w:spacing w:after="0" w:line="267" w:lineRule="auto"/>
        <w:tabs>
          <w:tab w:leader="none" w:pos="528"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531"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13 Effectiveness, Change and Termination</w:t>
      </w:r>
    </w:p>
    <w:p>
      <w:pPr>
        <w:spacing w:after="0" w:line="203" w:lineRule="exact"/>
        <w:rPr>
          <w:sz w:val="20"/>
          <w:szCs w:val="20"/>
          <w:color w:val="auto"/>
        </w:rPr>
      </w:pPr>
    </w:p>
    <w:p>
      <w:pPr>
        <w:jc w:val="both"/>
        <w:ind w:firstLine="285"/>
        <w:spacing w:after="0" w:line="267" w:lineRule="auto"/>
        <w:tabs>
          <w:tab w:leader="none" w:pos="459"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54"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this contract comes into effect, neither party shall unilaterally change or terminate this Contract in advance. If this Contract needs to be changed or terminated, it shall be negotiated and agreed upon in writing by both parties.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14 Other Terms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Definition</w:t>
      </w:r>
    </w:p>
    <w:p>
      <w:pPr>
        <w:spacing w:after="0" w:line="201" w:lineRule="exact"/>
        <w:rPr>
          <w:sz w:val="20"/>
          <w:szCs w:val="20"/>
          <w:color w:val="auto"/>
        </w:rPr>
      </w:pPr>
    </w:p>
    <w:p>
      <w:pPr>
        <w:ind w:left="520" w:hanging="235"/>
        <w:spacing w:after="0"/>
        <w:tabs>
          <w:tab w:leader="none" w:pos="5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“all the debts” under this Contract refers to the principal, interest, liquidated damages and all other expenses incurred in realizing the debts.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“interest” under this Contract includes interest, penalty interest and compound interest.</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27</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149225</wp:posOffset>
            </wp:positionV>
            <wp:extent cx="732790" cy="2063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85"/>
        <w:spacing w:after="0" w:line="283" w:lineRule="auto"/>
        <w:tabs>
          <w:tab w:leader="none" w:pos="54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“banking day” under this Contract refers to the day on which the Lender is normally open for business for public business at the Lender’s domicile, excluding Saturdays, Sundays (except those closed due to holiday adjustments) or other statutory holidays.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Applicable Law</w:t>
      </w:r>
    </w:p>
    <w:p>
      <w:pPr>
        <w:spacing w:after="0" w:line="201"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 Dispute Resolution</w:t>
      </w:r>
    </w:p>
    <w:p>
      <w:pPr>
        <w:spacing w:after="0" w:line="201"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 Miscellaneous</w:t>
      </w:r>
    </w:p>
    <w:p>
      <w:pPr>
        <w:spacing w:after="0" w:line="201" w:lineRule="exact"/>
        <w:rPr>
          <w:sz w:val="20"/>
          <w:szCs w:val="20"/>
          <w:color w:val="auto"/>
        </w:rPr>
      </w:pPr>
    </w:p>
    <w:p>
      <w:pPr>
        <w:jc w:val="both"/>
        <w:ind w:firstLine="285"/>
        <w:spacing w:after="0" w:line="267" w:lineRule="auto"/>
        <w:tabs>
          <w:tab w:leader="none" w:pos="525"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1" w:lineRule="auto"/>
        <w:tabs>
          <w:tab w:leader="none" w:pos="523"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spacing w:after="0" w:line="318"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28</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3">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85"/>
        <w:spacing w:after="0" w:line="267" w:lineRule="auto"/>
        <w:tabs>
          <w:tab w:leader="none" w:pos="532"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1"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in this Contract, the relevant terms and expressions in the Annex to this Contract shall have the same meaning as in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under this Contract are for reference only and shall not be construed as the basis for the contents under such headings.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(REMINDER OF PAGE INTENTIONALLY LEFT BLANK)</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(SIGNATURE PAGE TO FOLLOW)</w:t>
      </w:r>
    </w:p>
    <w:p>
      <w:pPr>
        <w:spacing w:after="0" w:line="359"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29</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6">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236"/>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This Contract has been signed between the Borrower and the Lender on </w:t>
      </w:r>
      <w:r>
        <w:rPr>
          <w:rFonts w:ascii="Times New Roman" w:cs="Times New Roman" w:eastAsia="Times New Roman" w:hAnsi="Times New Roman"/>
          <w:sz w:val="16"/>
          <w:szCs w:val="16"/>
          <w:u w:val="single" w:color="auto"/>
          <w:color w:val="auto"/>
        </w:rPr>
        <w:t>January 6, 2025</w:t>
      </w:r>
      <w:r>
        <w:rPr>
          <w:rFonts w:ascii="Times New Roman" w:cs="Times New Roman" w:eastAsia="Times New Roman" w:hAnsi="Times New Roman"/>
          <w:sz w:val="16"/>
          <w:szCs w:val="16"/>
          <w:b w:val="1"/>
          <w:bCs w:val="1"/>
          <w:color w:val="auto"/>
        </w:rPr>
        <w:t xml:space="preserve"> (date,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6"/>
          <w:szCs w:val="16"/>
          <w:b w:val="1"/>
          <w:bCs w:val="1"/>
          <w:color w:val="auto"/>
        </w:rPr>
        <w:t>Borrower (official seal)</w:t>
      </w:r>
      <w:r>
        <w:rPr>
          <w:sz w:val="20"/>
          <w:szCs w:val="20"/>
          <w:color w:val="auto"/>
        </w:rPr>
        <w:tab/>
      </w:r>
      <w:r>
        <w:rPr>
          <w:rFonts w:ascii="Times New Roman" w:cs="Times New Roman" w:eastAsia="Times New Roman" w:hAnsi="Times New Roman"/>
          <w:sz w:val="16"/>
          <w:szCs w:val="16"/>
          <w:b w:val="1"/>
          <w:bCs w:val="1"/>
          <w:color w:val="auto"/>
        </w:rPr>
        <w:t>Lender (official seal or contract-specific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17145</wp:posOffset>
            </wp:positionV>
            <wp:extent cx="1297940" cy="13208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8">
                      <a:extLst>
                        <a:ext uri="{28A0092B-C50C-407E-A947-70E740481C1C}"/>
                      </a:extLst>
                    </a:blip>
                    <a:srcRect/>
                    <a:stretch>
                      <a:fillRect/>
                    </a:stretch>
                  </pic:blipFill>
                  <pic:spPr bwMode="auto">
                    <a:xfrm>
                      <a:off x="0" y="0"/>
                      <a:ext cx="1297940" cy="132080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17145</wp:posOffset>
            </wp:positionV>
            <wp:extent cx="1656715" cy="137477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9">
                      <a:extLst>
                        <a:ext uri="{28A0092B-C50C-407E-A947-70E740481C1C}"/>
                      </a:extLst>
                    </a:blip>
                    <a:srcRect/>
                    <a:stretch>
                      <a:fillRect/>
                    </a:stretch>
                  </pic:blipFill>
                  <pic:spPr bwMode="auto">
                    <a:xfrm>
                      <a:off x="0" y="0"/>
                      <a:ext cx="1656715" cy="137477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2000"/>
        <w:spacing w:after="0" w:line="285" w:lineRule="auto"/>
        <w:rPr>
          <w:sz w:val="20"/>
          <w:szCs w:val="20"/>
          <w:color w:val="auto"/>
        </w:rPr>
      </w:pPr>
      <w:r>
        <w:rPr>
          <w:rFonts w:ascii="Times New Roman" w:cs="Times New Roman" w:eastAsia="Times New Roman" w:hAnsi="Times New Roman"/>
          <w:sz w:val="16"/>
          <w:szCs w:val="16"/>
          <w:b w:val="1"/>
          <w:bCs w:val="1"/>
          <w:color w:val="auto"/>
        </w:rPr>
        <w:t>Legal Representative or Authorized Agent (signature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100965</wp:posOffset>
            </wp:positionV>
            <wp:extent cx="1015365" cy="7639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0">
                      <a:extLst>
                        <a:ext uri="{28A0092B-C50C-407E-A947-70E740481C1C}"/>
                      </a:extLst>
                    </a:blip>
                    <a:srcRect/>
                    <a:stretch>
                      <a:fillRect/>
                    </a:stretch>
                  </pic:blipFill>
                  <pic:spPr bwMode="auto">
                    <a:xfrm>
                      <a:off x="0" y="0"/>
                      <a:ext cx="1015365" cy="763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Representative/Person in Charge or Authorized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70585" cy="8020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1">
                      <a:extLst>
                        <a:ext uri="{28A0092B-C50C-407E-A947-70E740481C1C}"/>
                      </a:extLst>
                    </a:blip>
                    <a:srcRect/>
                    <a:stretch>
                      <a:fillRect/>
                    </a:stretch>
                  </pic:blipFill>
                  <pic:spPr bwMode="auto">
                    <a:xfrm>
                      <a:off x="0" y="0"/>
                      <a:ext cx="870585" cy="8020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920" w:space="720"/>
            <w:col w:w="5620"/>
          </w:cols>
          <w:pgMar w:left="320" w:top="35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30</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type w:val="continuous"/>
        </w:sectPr>
      </w:pPr>
    </w:p>
    <w:bookmarkStart w:id="313" w:name="page314"/>
    <w:bookmarkEnd w:id="313"/>
    <w:p>
      <w:pPr>
        <w:jc w:val="right"/>
        <w:spacing w:after="0"/>
        <w:rPr>
          <w:sz w:val="20"/>
          <w:szCs w:val="20"/>
          <w:color w:val="auto"/>
        </w:rPr>
      </w:pPr>
      <w:r>
        <w:rPr>
          <w:rFonts w:ascii="Times New Roman" w:cs="Times New Roman" w:eastAsia="Times New Roman" w:hAnsi="Times New Roman"/>
          <w:sz w:val="16"/>
          <w:szCs w:val="16"/>
          <w:b w:val="1"/>
          <w:bCs w:val="1"/>
          <w:color w:val="auto"/>
        </w:rPr>
        <w:t>Exhibit 10.18</w:t>
      </w:r>
    </w:p>
    <w:p>
      <w:pPr>
        <w:spacing w:after="0" w:line="20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b w:val="1"/>
          <w:bCs w:val="1"/>
          <w:color w:val="auto"/>
        </w:rPr>
        <w:t>Serial Number: 98842024280785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750570</wp:posOffset>
            </wp:positionV>
            <wp:extent cx="2199005" cy="6108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3">
                      <a:extLst>
                        <a:ext uri="{28A0092B-C50C-407E-A947-70E740481C1C}"/>
                      </a:extLst>
                    </a:blip>
                    <a:srcRect/>
                    <a:stretch>
                      <a:fillRect/>
                    </a:stretch>
                  </pic:blipFill>
                  <pic:spPr bwMode="auto">
                    <a:xfrm>
                      <a:off x="0" y="0"/>
                      <a:ext cx="2199005"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Working Capital Loan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Version Number: SPDB 20 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147560" cy="152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5">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Working Capital Loan Contract</w:t>
      </w:r>
    </w:p>
    <w:p>
      <w:pPr>
        <w:spacing w:after="0" w:line="199" w:lineRule="exact"/>
        <w:rPr>
          <w:sz w:val="20"/>
          <w:szCs w:val="20"/>
          <w:color w:val="auto"/>
        </w:rPr>
      </w:pPr>
    </w:p>
    <w:p>
      <w:pPr>
        <w:ind w:left="280"/>
        <w:spacing w:after="0"/>
        <w:tabs>
          <w:tab w:leader="none" w:pos="1320" w:val="left"/>
        </w:tabs>
        <w:rPr>
          <w:sz w:val="20"/>
          <w:szCs w:val="20"/>
          <w:color w:val="auto"/>
        </w:rPr>
      </w:pPr>
      <w:r>
        <w:rPr>
          <w:rFonts w:ascii="Times New Roman" w:cs="Times New Roman" w:eastAsia="Times New Roman" w:hAnsi="Times New Roman"/>
          <w:sz w:val="16"/>
          <w:szCs w:val="16"/>
          <w:b w:val="1"/>
          <w:bCs w:val="1"/>
          <w:color w:val="auto"/>
        </w:rPr>
        <w:t>Borrower:</w:t>
      </w:r>
      <w:r>
        <w:rPr>
          <w:sz w:val="20"/>
          <w:szCs w:val="20"/>
          <w:color w:val="auto"/>
        </w:rPr>
        <w:tab/>
      </w:r>
      <w:r>
        <w:rPr>
          <w:rFonts w:ascii="Times New Roman" w:cs="Times New Roman" w:eastAsia="Times New Roman" w:hAnsi="Times New Roman"/>
          <w:sz w:val="16"/>
          <w:szCs w:val="16"/>
          <w:color w:val="auto"/>
        </w:rPr>
        <w:t>CLPS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17145</wp:posOffset>
            </wp:positionV>
            <wp:extent cx="146621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6">
                      <a:extLst>
                        <a:ext uri="{28A0092B-C50C-407E-A947-70E740481C1C}"/>
                      </a:extLst>
                    </a:blip>
                    <a:srcRect/>
                    <a:stretch>
                      <a:fillRect/>
                    </a:stretch>
                  </pic:blipFill>
                  <pic:spPr bwMode="auto">
                    <a:xfrm>
                      <a:off x="0" y="0"/>
                      <a:ext cx="1466215" cy="7620"/>
                    </a:xfrm>
                    <a:prstGeom prst="rect">
                      <a:avLst/>
                    </a:prstGeom>
                    <a:noFill/>
                  </pic:spPr>
                </pic:pic>
              </a:graphicData>
            </a:graphic>
          </wp:anchor>
        </w:drawing>
      </w:r>
    </w:p>
    <w:p>
      <w:pPr>
        <w:spacing w:after="0" w:line="193" w:lineRule="exact"/>
        <w:rPr>
          <w:sz w:val="20"/>
          <w:szCs w:val="20"/>
          <w:color w:val="auto"/>
        </w:rPr>
      </w:pPr>
    </w:p>
    <w:p>
      <w:pPr>
        <w:ind w:left="28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auto"/>
        </w:rPr>
        <w:t>Principal Business Address:</w:t>
      </w:r>
      <w:r>
        <w:rPr>
          <w:sz w:val="20"/>
          <w:szCs w:val="20"/>
          <w:color w:val="auto"/>
        </w:rPr>
        <w:tab/>
      </w:r>
      <w:r>
        <w:rPr>
          <w:rFonts w:ascii="Times New Roman" w:cs="Times New Roman" w:eastAsia="Times New Roman" w:hAnsi="Times New Roman"/>
          <w:sz w:val="15"/>
          <w:szCs w:val="15"/>
          <w:color w:val="auto"/>
        </w:rPr>
        <w:t>2F, Building 18, 498 Guoshoujing Road, Pudong, Shanghai,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1463675</wp:posOffset>
            </wp:positionH>
            <wp:positionV relativeFrom="paragraph">
              <wp:posOffset>17145</wp:posOffset>
            </wp:positionV>
            <wp:extent cx="293243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7">
                      <a:extLst>
                        <a:ext uri="{28A0092B-C50C-407E-A947-70E740481C1C}"/>
                      </a:extLst>
                    </a:blip>
                    <a:srcRect/>
                    <a:stretch>
                      <a:fillRect/>
                    </a:stretch>
                  </pic:blipFill>
                  <pic:spPr bwMode="auto">
                    <a:xfrm>
                      <a:off x="0" y="0"/>
                      <a:ext cx="2932430" cy="7620"/>
                    </a:xfrm>
                    <a:prstGeom prst="rect">
                      <a:avLst/>
                    </a:prstGeom>
                    <a:noFill/>
                  </pic:spPr>
                </pic:pic>
              </a:graphicData>
            </a:graphic>
          </wp:anchor>
        </w:drawing>
      </w:r>
    </w:p>
    <w:p>
      <w:pPr>
        <w:spacing w:after="0" w:line="193" w:lineRule="exact"/>
        <w:rPr>
          <w:sz w:val="20"/>
          <w:szCs w:val="20"/>
          <w:color w:val="auto"/>
        </w:rPr>
      </w:pPr>
    </w:p>
    <w:tbl>
      <w:tblPr>
        <w:tblLayout w:type="fixed"/>
        <w:tblInd w:w="280" w:type="dxa"/>
        <w:tblCellMar>
          <w:top w:w="0" w:type="dxa"/>
          <w:left w:w="0" w:type="dxa"/>
          <w:bottom w:w="0" w:type="dxa"/>
          <w:right w:w="0" w:type="dxa"/>
        </w:tblCellMar>
      </w:tblPr>
      <w:tr>
        <w:trPr>
          <w:trHeight w:val="211"/>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Contact Person:</w:t>
            </w:r>
          </w:p>
        </w:tc>
        <w:tc>
          <w:tcPr>
            <w:tcW w:w="17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Huanzhen Wu</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6"/>
              </w:rPr>
              <w:t>Telephone:</w:t>
            </w:r>
          </w:p>
        </w:tc>
        <w:tc>
          <w:tcPr>
            <w:tcW w:w="120" w:type="dxa"/>
            <w:vAlign w:val="bottom"/>
          </w:tcPr>
          <w:p>
            <w:pPr>
              <w:spacing w:after="0"/>
              <w:rPr>
                <w:sz w:val="18"/>
                <w:szCs w:val="18"/>
                <w:color w:val="auto"/>
              </w:rPr>
            </w:pPr>
          </w:p>
        </w:tc>
        <w:tc>
          <w:tcPr>
            <w:tcW w:w="17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15040094890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77"/>
        </w:trPr>
        <w:tc>
          <w:tcPr>
            <w:tcW w:w="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Fax:</w:t>
            </w: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88"/>
              </w:rPr>
              <w:t>/</w:t>
            </w:r>
          </w:p>
        </w:tc>
        <w:tc>
          <w:tcPr>
            <w:tcW w:w="6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9"/>
              </w:rPr>
              <w:t>Email:</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9"/>
        </w:trPr>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Lender:</w:t>
            </w:r>
          </w:p>
        </w:tc>
        <w:tc>
          <w:tcPr>
            <w:tcW w:w="3260" w:type="dxa"/>
            <w:vAlign w:val="bottom"/>
            <w:gridSpan w:val="6"/>
          </w:tcPr>
          <w:p>
            <w:pPr>
              <w:ind w:left="120"/>
              <w:spacing w:after="0"/>
              <w:rPr>
                <w:sz w:val="20"/>
                <w:szCs w:val="20"/>
                <w:color w:val="auto"/>
              </w:rPr>
            </w:pPr>
            <w:r>
              <w:rPr>
                <w:rFonts w:ascii="Times New Roman" w:cs="Times New Roman" w:eastAsia="Times New Roman" w:hAnsi="Times New Roman"/>
                <w:sz w:val="16"/>
                <w:szCs w:val="16"/>
                <w:color w:val="auto"/>
              </w:rPr>
              <w:t>Shanghai Pudong Development Bank Co., Ltd.</w:t>
            </w:r>
          </w:p>
        </w:tc>
        <w:tc>
          <w:tcPr>
            <w:tcW w:w="10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Jinqiao</w:t>
            </w:r>
          </w:p>
        </w:tc>
        <w:tc>
          <w:tcPr>
            <w:tcW w:w="120" w:type="dxa"/>
            <w:vAlign w:val="bottom"/>
            <w:tcBorders>
              <w:bottom w:val="single" w:sz="8" w:color="auto"/>
            </w:tcBorders>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Branch</w:t>
            </w:r>
          </w:p>
        </w:tc>
      </w:tr>
      <w:tr>
        <w:trPr>
          <w:trHeight w:val="377"/>
        </w:trPr>
        <w:tc>
          <w:tcPr>
            <w:tcW w:w="20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Principal Business Address:</w:t>
            </w:r>
          </w:p>
        </w:tc>
        <w:tc>
          <w:tcPr>
            <w:tcW w:w="880" w:type="dxa"/>
            <w:vAlign w:val="bottom"/>
            <w:tcBorders>
              <w:bottom w:val="single" w:sz="8" w:color="auto"/>
            </w:tcBorders>
            <w:gridSpan w:val="2"/>
          </w:tcPr>
          <w:p>
            <w:pPr>
              <w:spacing w:after="0"/>
              <w:rPr>
                <w:sz w:val="24"/>
                <w:szCs w:val="24"/>
                <w:color w:val="auto"/>
              </w:rPr>
            </w:pPr>
          </w:p>
        </w:tc>
        <w:tc>
          <w:tcPr>
            <w:tcW w:w="374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16"/>
                <w:szCs w:val="16"/>
                <w:color w:val="auto"/>
                <w:w w:val="99"/>
              </w:rPr>
              <w:t>509 Jingang Road, Pudong, Shanghai, China</w:t>
            </w:r>
          </w:p>
        </w:tc>
        <w:tc>
          <w:tcPr>
            <w:tcW w:w="580" w:type="dxa"/>
            <w:vAlign w:val="bottom"/>
            <w:gridSpan w:val="2"/>
          </w:tcPr>
          <w:p>
            <w:pPr>
              <w:spacing w:after="0"/>
              <w:rPr>
                <w:sz w:val="24"/>
                <w:szCs w:val="24"/>
                <w:color w:val="auto"/>
              </w:rPr>
            </w:pPr>
          </w:p>
        </w:tc>
      </w:tr>
      <w:tr>
        <w:trPr>
          <w:trHeight w:val="377"/>
        </w:trPr>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Contact Person:</w:t>
            </w: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Lin Xie</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w w:val="96"/>
              </w:rPr>
              <w:t>Telephone:</w:t>
            </w:r>
          </w:p>
        </w:tc>
        <w:tc>
          <w:tcPr>
            <w:tcW w:w="18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021-58994702</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Given that:</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Borrower applies to the Lender for working capital loan due to capital turnover needs; after examination, the Lender agrees to grant the loan in accordance with the terms and conditions of this Contract. In order to clarify the rights and obligations of both parties, we hereby enter into this Contract in accordance with the relevant laws, regulations and rules of the People’s Republic of China.</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Meanwhile, the Borrower and the Lender confirm the following primary terms:</w:t>
      </w:r>
    </w:p>
    <w:p>
      <w:pPr>
        <w:spacing w:after="0" w:line="201" w:lineRule="exact"/>
        <w:rPr>
          <w:sz w:val="20"/>
          <w:szCs w:val="20"/>
          <w:color w:val="auto"/>
        </w:rPr>
      </w:pPr>
    </w:p>
    <w:p>
      <w:pPr>
        <w:ind w:left="580" w:hanging="295"/>
        <w:spacing w:after="0"/>
        <w:tabs>
          <w:tab w:leader="none" w:pos="580" w:val="left"/>
        </w:tabs>
        <w:numPr>
          <w:ilvl w:val="0"/>
          <w:numId w:val="2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(Please mark </w:t>
      </w:r>
      <w:r>
        <w:rPr>
          <w:rFonts w:ascii="Arial" w:cs="Arial" w:eastAsia="Arial" w:hAnsi="Arial"/>
          <w:sz w:val="16"/>
          <w:szCs w:val="16"/>
          <w:b w:val="1"/>
          <w:bCs w:val="1"/>
          <w:color w:val="auto"/>
          <w:highlight w:val="black"/>
        </w:rPr>
        <w:t>ü</w:t>
      </w:r>
      <w:r>
        <w:rPr>
          <w:rFonts w:ascii="Times New Roman" w:cs="Times New Roman" w:eastAsia="Times New Roman" w:hAnsi="Times New Roman"/>
          <w:sz w:val="16"/>
          <w:szCs w:val="16"/>
          <w:b w:val="1"/>
          <w:bCs w:val="1"/>
          <w:color w:val="auto"/>
        </w:rPr>
        <w:t xml:space="preserve">  in the appropriate box according to the situation, and mark x if you do not select)</w:t>
      </w:r>
    </w:p>
    <w:p>
      <w:pPr>
        <w:spacing w:after="0" w:line="202" w:lineRule="exact"/>
        <w:rPr>
          <w:sz w:val="20"/>
          <w:szCs w:val="20"/>
          <w:color w:val="auto"/>
        </w:rPr>
      </w:pPr>
    </w:p>
    <w:p>
      <w:pPr>
        <w:jc w:val="both"/>
        <w:ind w:right="20" w:firstLine="285"/>
        <w:spacing w:after="0" w:line="267" w:lineRule="auto"/>
        <w:tabs>
          <w:tab w:leader="none" w:pos="475" w:val="left"/>
        </w:tabs>
        <w:numPr>
          <w:ilvl w:val="0"/>
          <w:numId w:val="26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This Contract is signed as a subsidiary financing document of the Financing Line Agreement No. (hereinafter referred to as the Financing Line Agreement). After this Contract comes into effect, all its terms shall be incorporated into the Financing Line Agreement and become its component parts (if the Borrower has previously signed the Financing Line Agreement, this option shall be selected and the Financing Line Agreement number shall be indicated);</w:t>
      </w:r>
    </w:p>
    <w:p>
      <w:pPr>
        <w:spacing w:after="0" w:line="156" w:lineRule="exact"/>
        <w:rPr>
          <w:sz w:val="20"/>
          <w:szCs w:val="20"/>
          <w:color w:val="auto"/>
        </w:rPr>
      </w:pPr>
    </w:p>
    <w:p>
      <w:pPr>
        <w:ind w:right="20" w:firstLine="285"/>
        <w:spacing w:after="0" w:line="282" w:lineRule="auto"/>
        <w:tabs>
          <w:tab w:leader="none" w:pos="483" w:val="left"/>
        </w:tabs>
        <w:numPr>
          <w:ilvl w:val="0"/>
          <w:numId w:val="266"/>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This contract is an independent credit document signed between the Borrower and the Lender (if the Borrower and the Lender have not signed a Financing Line Agreement, this option should be selected);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 xml:space="preserve">2. (If the purpose of the loan is to borrow new money to repay old loan or to renew the loan, you must mark </w:t>
            </w:r>
            <w:r>
              <w:rPr>
                <w:rFonts w:ascii="Arial" w:cs="Arial" w:eastAsia="Arial" w:hAnsi="Arial"/>
                <w:sz w:val="16"/>
                <w:szCs w:val="16"/>
                <w:b w:val="1"/>
                <w:bCs w:val="1"/>
                <w:color w:val="auto"/>
                <w:highlight w:val="black"/>
              </w:rPr>
              <w:t>ü</w:t>
            </w:r>
            <w:r>
              <w:rPr>
                <w:rFonts w:ascii="Times New Roman" w:cs="Times New Roman" w:eastAsia="Times New Roman" w:hAnsi="Times New Roman"/>
                <w:sz w:val="16"/>
                <w:szCs w:val="16"/>
                <w:b w:val="1"/>
                <w:bCs w:val="1"/>
                <w:color w:val="auto"/>
              </w:rPr>
              <w:t xml:space="preserve"> in the box)</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49"/>
        </w:trPr>
        <w:tc>
          <w:tcPr>
            <w:tcW w:w="8860" w:type="dxa"/>
            <w:vAlign w:val="bottom"/>
            <w:gridSpan w:val="4"/>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guarantors are aware that the loan purpose of this contract is to repay the loan under the original contract name:</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(Signed on:</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Serial</w:t>
            </w:r>
          </w:p>
        </w:tc>
      </w:tr>
      <w:tr>
        <w:trPr>
          <w:trHeight w:val="172"/>
        </w:trPr>
        <w:tc>
          <w:tcPr>
            <w:tcW w:w="600" w:type="dxa"/>
            <w:vAlign w:val="bottom"/>
          </w:tcPr>
          <w:p>
            <w:pPr>
              <w:spacing w:after="0" w:line="172" w:lineRule="exact"/>
              <w:rPr>
                <w:sz w:val="20"/>
                <w:szCs w:val="20"/>
                <w:color w:val="auto"/>
              </w:rPr>
            </w:pPr>
            <w:r>
              <w:rPr>
                <w:rFonts w:ascii="Times New Roman" w:cs="Times New Roman" w:eastAsia="Times New Roman" w:hAnsi="Times New Roman"/>
                <w:sz w:val="16"/>
                <w:szCs w:val="16"/>
                <w:color w:val="auto"/>
              </w:rPr>
              <w:t>Number:</w:t>
            </w:r>
          </w:p>
        </w:tc>
        <w:tc>
          <w:tcPr>
            <w:tcW w:w="880" w:type="dxa"/>
            <w:vAlign w:val="bottom"/>
            <w:tcBorders>
              <w:bottom w:val="single" w:sz="8" w:color="auto"/>
            </w:tcBorders>
          </w:tcPr>
          <w:p>
            <w:pPr>
              <w:spacing w:after="0"/>
              <w:rPr>
                <w:sz w:val="14"/>
                <w:szCs w:val="14"/>
                <w:color w:val="auto"/>
              </w:rPr>
            </w:pPr>
          </w:p>
        </w:tc>
        <w:tc>
          <w:tcPr>
            <w:tcW w:w="6620" w:type="dxa"/>
            <w:vAlign w:val="bottom"/>
          </w:tcPr>
          <w:p>
            <w:pPr>
              <w:jc w:val="right"/>
              <w:ind w:right="6440"/>
              <w:spacing w:after="0" w:line="172" w:lineRule="exact"/>
              <w:rPr>
                <w:sz w:val="20"/>
                <w:szCs w:val="20"/>
                <w:color w:val="auto"/>
              </w:rPr>
            </w:pPr>
            <w:r>
              <w:rPr>
                <w:rFonts w:ascii="Times New Roman" w:cs="Times New Roman" w:eastAsia="Times New Roman" w:hAnsi="Times New Roman"/>
                <w:sz w:val="16"/>
                <w:szCs w:val="16"/>
                <w:color w:val="auto"/>
                <w:w w:val="85"/>
              </w:rPr>
              <w:t>).</w:t>
            </w:r>
          </w:p>
        </w:tc>
        <w:tc>
          <w:tcPr>
            <w:tcW w:w="7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597"/>
        </w:trPr>
        <w:tc>
          <w:tcPr>
            <w:tcW w:w="1480" w:type="dxa"/>
            <w:vAlign w:val="bottom"/>
            <w:tcBorders>
              <w:bottom w:val="single" w:sz="8" w:color="auto"/>
            </w:tcBorders>
            <w:gridSpan w:val="2"/>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p>
        </w:tc>
        <w:tc>
          <w:tcPr>
            <w:tcW w:w="7380" w:type="dxa"/>
            <w:vAlign w:val="bottom"/>
            <w:tcBorders>
              <w:bottom w:val="single" w:sz="8" w:color="auto"/>
            </w:tcBorders>
            <w:gridSpan w:val="2"/>
          </w:tcPr>
          <w:p>
            <w:pPr>
              <w:ind w:left="3940"/>
              <w:spacing w:after="0"/>
              <w:rPr>
                <w:sz w:val="20"/>
                <w:szCs w:val="20"/>
                <w:color w:val="auto"/>
              </w:rPr>
            </w:pPr>
            <w:r>
              <w:rPr>
                <w:rFonts w:ascii="Times New Roman" w:cs="Times New Roman" w:eastAsia="Times New Roman" w:hAnsi="Times New Roman"/>
                <w:sz w:val="16"/>
                <w:szCs w:val="16"/>
                <w:color w:val="auto"/>
              </w:rPr>
              <w:t>Page 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ZEZAEBAA</w:t>
            </w:r>
          </w:p>
        </w:tc>
      </w:tr>
    </w:tbl>
    <w:p>
      <w:pPr>
        <w:sectPr>
          <w:pgSz w:w="11900" w:h="16838" w:orient="portrait"/>
          <w:cols w:equalWidth="0" w:num="1">
            <w:col w:w="11260"/>
          </w:cols>
          <w:pgMar w:left="320" w:top="351" w:right="31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8">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Part I Commercial Terms</w:t>
      </w:r>
    </w:p>
    <w:p>
      <w:pPr>
        <w:spacing w:after="0" w:line="167" w:lineRule="exact"/>
        <w:rPr>
          <w:sz w:val="20"/>
          <w:szCs w:val="20"/>
          <w:color w:val="auto"/>
        </w:rPr>
      </w:pPr>
    </w:p>
    <w:p>
      <w:pPr>
        <w:ind w:left="444" w:hanging="155"/>
        <w:spacing w:after="0" w:line="185" w:lineRule="exact"/>
        <w:tabs>
          <w:tab w:leader="none" w:pos="444"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Loan types: </w:t>
      </w:r>
      <w:r>
        <w:rPr>
          <w:rFonts w:ascii="Arial" w:cs="Arial" w:eastAsia="Arial" w:hAnsi="Arial"/>
          <w:sz w:val="16"/>
          <w:szCs w:val="16"/>
          <w:b w:val="1"/>
          <w:bCs w:val="1"/>
          <w:color w:val="auto"/>
        </w:rPr>
        <w:t>þ</w:t>
      </w:r>
      <w:r>
        <w:rPr>
          <w:rFonts w:ascii="Times New Roman" w:cs="Times New Roman" w:eastAsia="Times New Roman" w:hAnsi="Times New Roman"/>
          <w:sz w:val="16"/>
          <w:szCs w:val="16"/>
          <w:color w:val="auto"/>
        </w:rPr>
        <w:t xml:space="preserve"> Short-term working capital loan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Medium-term working capital loan</w:t>
      </w:r>
    </w:p>
    <w:p>
      <w:pPr>
        <w:spacing w:after="0" w:line="236" w:lineRule="exact"/>
        <w:rPr>
          <w:rFonts w:ascii="Times New Roman" w:cs="Times New Roman" w:eastAsia="Times New Roman" w:hAnsi="Times New Roman"/>
          <w:sz w:val="16"/>
          <w:szCs w:val="16"/>
          <w:color w:val="auto"/>
        </w:rPr>
      </w:pPr>
    </w:p>
    <w:p>
      <w:pPr>
        <w:ind w:left="444" w:hanging="155"/>
        <w:spacing w:after="0"/>
        <w:tabs>
          <w:tab w:leader="none" w:pos="444"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amount under this contract is </w:t>
      </w:r>
      <w:r>
        <w:rPr>
          <w:rFonts w:ascii="Times New Roman" w:cs="Times New Roman" w:eastAsia="Times New Roman" w:hAnsi="Times New Roman"/>
          <w:sz w:val="16"/>
          <w:szCs w:val="16"/>
          <w:u w:val="single" w:color="auto"/>
          <w:color w:val="auto"/>
        </w:rPr>
        <w:t>RMB</w:t>
      </w:r>
      <w:r>
        <w:rPr>
          <w:rFonts w:ascii="Times New Roman" w:cs="Times New Roman" w:eastAsia="Times New Roman" w:hAnsi="Times New Roman"/>
          <w:sz w:val="16"/>
          <w:szCs w:val="16"/>
          <w:color w:val="auto"/>
        </w:rPr>
        <w:t xml:space="preserve"> (currency) </w:t>
      </w:r>
      <w:r>
        <w:rPr>
          <w:rFonts w:ascii="Times New Roman" w:cs="Times New Roman" w:eastAsia="Times New Roman" w:hAnsi="Times New Roman"/>
          <w:sz w:val="16"/>
          <w:szCs w:val="16"/>
          <w:u w:val="single" w:color="auto"/>
          <w:color w:val="auto"/>
        </w:rPr>
        <w:t>Twenty-three Million</w:t>
      </w:r>
      <w:r>
        <w:rPr>
          <w:rFonts w:ascii="Times New Roman" w:cs="Times New Roman" w:eastAsia="Times New Roman" w:hAnsi="Times New Roman"/>
          <w:sz w:val="16"/>
          <w:szCs w:val="16"/>
          <w:color w:val="auto"/>
        </w:rPr>
        <w:t xml:space="preserve"> Yuan (in words).</w:t>
      </w:r>
    </w:p>
    <w:p>
      <w:pPr>
        <w:spacing w:after="0" w:line="200" w:lineRule="exact"/>
        <w:rPr>
          <w:rFonts w:ascii="Times New Roman" w:cs="Times New Roman" w:eastAsia="Times New Roman" w:hAnsi="Times New Roman"/>
          <w:sz w:val="16"/>
          <w:szCs w:val="16"/>
          <w:color w:val="auto"/>
        </w:rPr>
      </w:pPr>
    </w:p>
    <w:p>
      <w:pPr>
        <w:ind w:left="444" w:hanging="155"/>
        <w:spacing w:after="0"/>
        <w:tabs>
          <w:tab w:leader="none" w:pos="444"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specific purposes of the loan under this Contract are: </w:t>
      </w:r>
      <w:r>
        <w:rPr>
          <w:rFonts w:ascii="Times New Roman" w:cs="Times New Roman" w:eastAsia="Times New Roman" w:hAnsi="Times New Roman"/>
          <w:sz w:val="16"/>
          <w:szCs w:val="16"/>
          <w:u w:val="single" w:color="auto"/>
          <w:color w:val="auto"/>
        </w:rPr>
        <w:t>Company daily operations</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color w:val="auto"/>
        </w:rPr>
      </w:pPr>
    </w:p>
    <w:p>
      <w:pPr>
        <w:ind w:left="444" w:hanging="155"/>
        <w:spacing w:after="0"/>
        <w:tabs>
          <w:tab w:leader="none" w:pos="444"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term under this Contract is (please mark </w:t>
      </w:r>
      <w:r>
        <w:rPr>
          <w:rFonts w:ascii="Arial" w:cs="Arial" w:eastAsia="Arial" w:hAnsi="Arial"/>
          <w:sz w:val="16"/>
          <w:szCs w:val="16"/>
          <w:b w:val="1"/>
          <w:bCs w:val="1"/>
          <w:color w:val="auto"/>
        </w:rPr>
        <w:t>ü</w:t>
      </w:r>
      <w:r>
        <w:rPr>
          <w:rFonts w:ascii="Times New Roman" w:cs="Times New Roman" w:eastAsia="Times New Roman" w:hAnsi="Times New Roman"/>
          <w:sz w:val="16"/>
          <w:szCs w:val="16"/>
          <w:color w:val="auto"/>
        </w:rPr>
        <w:t xml:space="preserve"> in the following boxes, or mark x if you do not select):</w:t>
      </w:r>
    </w:p>
    <w:p>
      <w:pPr>
        <w:spacing w:after="0" w:line="164" w:lineRule="exact"/>
        <w:rPr>
          <w:sz w:val="20"/>
          <w:szCs w:val="20"/>
          <w:color w:val="auto"/>
        </w:rPr>
      </w:pPr>
    </w:p>
    <w:p>
      <w:pPr>
        <w:ind w:left="284"/>
        <w:spacing w:after="0" w:line="184" w:lineRule="exact"/>
        <w:tabs>
          <w:tab w:leader="none" w:pos="4723"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since </w:t>
      </w:r>
      <w:r>
        <w:rPr>
          <w:rFonts w:ascii="Times New Roman" w:cs="Times New Roman" w:eastAsia="Times New Roman" w:hAnsi="Times New Roman"/>
          <w:sz w:val="16"/>
          <w:szCs w:val="16"/>
          <w:u w:val="single" w:color="auto"/>
          <w:color w:val="auto"/>
        </w:rPr>
        <w:t>October 30, 2024</w:t>
      </w:r>
      <w:r>
        <w:rPr>
          <w:rFonts w:ascii="Times New Roman" w:cs="Times New Roman" w:eastAsia="Times New Roman" w:hAnsi="Times New Roman"/>
          <w:sz w:val="16"/>
          <w:szCs w:val="16"/>
          <w:color w:val="auto"/>
        </w:rPr>
        <w:t xml:space="preserve"> (date, month, year) to </w:t>
      </w:r>
      <w:r>
        <w:rPr>
          <w:rFonts w:ascii="Times New Roman" w:cs="Times New Roman" w:eastAsia="Times New Roman" w:hAnsi="Times New Roman"/>
          <w:sz w:val="16"/>
          <w:szCs w:val="16"/>
          <w:u w:val="single" w:color="auto"/>
          <w:color w:val="auto"/>
        </w:rPr>
        <w:t>October 29, 2025</w:t>
      </w:r>
      <w:r>
        <w:rPr>
          <w:sz w:val="20"/>
          <w:szCs w:val="20"/>
          <w:color w:val="auto"/>
        </w:rPr>
        <w:tab/>
      </w:r>
      <w:r>
        <w:rPr>
          <w:rFonts w:ascii="Times New Roman" w:cs="Times New Roman" w:eastAsia="Times New Roman" w:hAnsi="Times New Roman"/>
          <w:sz w:val="15"/>
          <w:szCs w:val="15"/>
          <w:color w:val="auto"/>
        </w:rPr>
        <w:t>(date, month, year);</w:t>
      </w:r>
    </w:p>
    <w:p>
      <w:pPr>
        <w:spacing w:after="0" w:line="201" w:lineRule="exact"/>
        <w:rPr>
          <w:sz w:val="20"/>
          <w:szCs w:val="20"/>
          <w:color w:val="auto"/>
        </w:rPr>
      </w:pPr>
    </w:p>
    <w:p>
      <w:pPr>
        <w:ind w:left="284"/>
        <w:spacing w:after="0"/>
        <w:tabs>
          <w:tab w:leader="none" w:pos="843" w:val="left"/>
          <w:tab w:leader="none" w:pos="1963"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year(s) (or</w:t>
      </w:r>
      <w:r>
        <w:rPr>
          <w:sz w:val="20"/>
          <w:szCs w:val="20"/>
          <w:color w:val="auto"/>
        </w:rPr>
        <w:tab/>
      </w:r>
      <w:r>
        <w:rPr>
          <w:rFonts w:ascii="Times New Roman" w:cs="Times New Roman" w:eastAsia="Times New Roman" w:hAnsi="Times New Roman"/>
          <w:sz w:val="16"/>
          <w:szCs w:val="16"/>
          <w:color w:val="auto"/>
        </w:rPr>
        <w:t>months) from the date of first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15875</wp:posOffset>
            </wp:positionV>
            <wp:extent cx="22923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9">
                      <a:extLst>
                        <a:ext uri="{28A0092B-C50C-407E-A947-70E740481C1C}"/>
                      </a:extLst>
                    </a:blip>
                    <a:srcRect/>
                    <a:stretch>
                      <a:fillRect/>
                    </a:stretch>
                  </pic:blipFill>
                  <pic:spPr bwMode="auto">
                    <a:xfrm>
                      <a:off x="0" y="0"/>
                      <a:ext cx="229235" cy="7620"/>
                    </a:xfrm>
                    <a:prstGeom prst="rect">
                      <a:avLst/>
                    </a:prstGeom>
                    <a:noFill/>
                  </pic:spPr>
                </pic:pic>
              </a:graphicData>
            </a:graphic>
          </wp:anchor>
        </w:drawing>
        <w:drawing>
          <wp:anchor simplePos="0" relativeHeight="251657728" behindDoc="1" locked="0" layoutInCell="0" allowOverlap="1">
            <wp:simplePos x="0" y="0"/>
            <wp:positionH relativeFrom="column">
              <wp:posOffset>1006475</wp:posOffset>
            </wp:positionH>
            <wp:positionV relativeFrom="paragraph">
              <wp:posOffset>15875</wp:posOffset>
            </wp:positionV>
            <wp:extent cx="229235"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0">
                      <a:extLst>
                        <a:ext uri="{28A0092B-C50C-407E-A947-70E740481C1C}"/>
                      </a:extLst>
                    </a:blip>
                    <a:srcRect/>
                    <a:stretch>
                      <a:fillRect/>
                    </a:stretch>
                  </pic:blipFill>
                  <pic:spPr bwMode="auto">
                    <a:xfrm>
                      <a:off x="0" y="0"/>
                      <a:ext cx="229235"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The actual withdrawal date and repayment date shall be subject to the date recorded on the IOU (loan certificate) issued by the Lender and the Borrower. The last repayment date shall not exceed the loan period agreed in this Contract. The IOU (loan certificate) is an integral part of this Contract.</w:t>
      </w:r>
    </w:p>
    <w:p>
      <w:pPr>
        <w:spacing w:after="0" w:line="143" w:lineRule="exact"/>
        <w:rPr>
          <w:sz w:val="20"/>
          <w:szCs w:val="20"/>
          <w:color w:val="auto"/>
        </w:rPr>
      </w:pPr>
    </w:p>
    <w:p>
      <w:pPr>
        <w:ind w:left="444" w:hanging="155"/>
        <w:spacing w:after="0"/>
        <w:tabs>
          <w:tab w:leader="none" w:pos="444" w:val="left"/>
        </w:tabs>
        <w:numPr>
          <w:ilvl w:val="1"/>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interest rate under this Contract is (please mark </w:t>
      </w:r>
      <w:r>
        <w:rPr>
          <w:rFonts w:ascii="Arial" w:cs="Arial" w:eastAsia="Arial" w:hAnsi="Arial"/>
          <w:sz w:val="16"/>
          <w:szCs w:val="16"/>
          <w:b w:val="1"/>
          <w:bCs w:val="1"/>
          <w:color w:val="auto"/>
        </w:rPr>
        <w:t>ü</w:t>
      </w:r>
      <w:r>
        <w:rPr>
          <w:rFonts w:ascii="Times New Roman" w:cs="Times New Roman" w:eastAsia="Times New Roman" w:hAnsi="Times New Roman"/>
          <w:sz w:val="16"/>
          <w:szCs w:val="16"/>
          <w:color w:val="auto"/>
        </w:rPr>
        <w:t xml:space="preserve"> in the following boxes, and mark x if you do not select):</w:t>
      </w:r>
    </w:p>
    <w:p>
      <w:pPr>
        <w:spacing w:after="0" w:line="200" w:lineRule="exact"/>
        <w:rPr>
          <w:rFonts w:ascii="Times New Roman" w:cs="Times New Roman" w:eastAsia="Times New Roman" w:hAnsi="Times New Roman"/>
          <w:sz w:val="16"/>
          <w:szCs w:val="16"/>
          <w:color w:val="auto"/>
        </w:rPr>
      </w:pPr>
    </w:p>
    <w:p>
      <w:pPr>
        <w:ind w:left="184" w:hanging="184"/>
        <w:spacing w:after="0"/>
        <w:tabs>
          <w:tab w:leader="none" w:pos="184" w:val="left"/>
        </w:tabs>
        <w:numPr>
          <w:ilvl w:val="0"/>
          <w:numId w:val="268"/>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(1) RMB loan interest rate:</w:t>
      </w:r>
    </w:p>
    <w:p>
      <w:pPr>
        <w:spacing w:after="0" w:line="164" w:lineRule="exact"/>
        <w:rPr>
          <w:sz w:val="20"/>
          <w:szCs w:val="20"/>
          <w:color w:val="auto"/>
        </w:rPr>
      </w:pPr>
    </w:p>
    <w:p>
      <w:pPr>
        <w:jc w:val="both"/>
        <w:ind w:left="4" w:right="20" w:firstLine="289"/>
        <w:spacing w:after="0" w:line="210" w:lineRule="exact"/>
        <w:rPr>
          <w:sz w:val="20"/>
          <w:szCs w:val="20"/>
          <w:color w:val="auto"/>
        </w:rPr>
      </w:pPr>
      <w:r>
        <w:rPr>
          <w:rFonts w:ascii="Times New Roman" w:cs="Times New Roman" w:eastAsia="Times New Roman" w:hAnsi="Times New Roman"/>
          <w:sz w:val="16"/>
          <w:szCs w:val="16"/>
          <w:color w:val="auto"/>
        </w:rPr>
        <w:t xml:space="preserve">Each loan under this contract shall be calculated based on the Loan Prime Rate (LPR)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 BPS announced by the National Interbank Funding Center at the end of the day before the actual disbursement date of the loan. If the calculated interest rate is less than 0%, it will be executed at 0%. (The Loan Prime Rate is an annual interest rate, which can be found on the National Interbank Funding Center and the website of the People’s Bank of China).</w:t>
      </w:r>
    </w:p>
    <w:p>
      <w:pPr>
        <w:spacing w:after="0" w:line="334" w:lineRule="exact"/>
        <w:rPr>
          <w:sz w:val="20"/>
          <w:szCs w:val="20"/>
          <w:color w:val="auto"/>
        </w:rPr>
      </w:pPr>
    </w:p>
    <w:p>
      <w:pPr>
        <w:ind w:left="4"/>
        <w:spacing w:after="0" w:line="184" w:lineRule="exact"/>
        <w:tabs>
          <w:tab w:leader="none" w:pos="5403" w:val="left"/>
          <w:tab w:leader="none" w:pos="10383"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7560" cy="152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51" w:right="31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2">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4"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After each loan under this Contract is issued, if the Loan Prime Rate is adjusted during the loan period, the loan interest rate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x if you do not select):</w:t>
      </w:r>
    </w:p>
    <w:p>
      <w:pPr>
        <w:spacing w:after="0" w:line="143" w:lineRule="exact"/>
        <w:rPr>
          <w:sz w:val="20"/>
          <w:szCs w:val="20"/>
          <w:color w:val="auto"/>
        </w:rPr>
      </w:pPr>
    </w:p>
    <w:p>
      <w:pPr>
        <w:ind w:left="464" w:hanging="175"/>
        <w:spacing w:after="0"/>
        <w:tabs>
          <w:tab w:leader="none" w:pos="464" w:val="left"/>
        </w:tabs>
        <w:numPr>
          <w:ilvl w:val="0"/>
          <w:numId w:val="26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adjustment, fixed interest rate;</w:t>
      </w:r>
    </w:p>
    <w:p>
      <w:pPr>
        <w:spacing w:after="0" w:line="201" w:lineRule="exact"/>
        <w:rPr>
          <w:sz w:val="20"/>
          <w:szCs w:val="20"/>
          <w:color w:val="auto"/>
        </w:rPr>
      </w:pPr>
    </w:p>
    <w:p>
      <w:pPr>
        <w:jc w:val="both"/>
        <w:ind w:left="4" w:firstLine="285"/>
        <w:spacing w:after="0" w:line="258" w:lineRule="auto"/>
        <w:tabs>
          <w:tab w:leader="none" w:pos="482" w:val="left"/>
        </w:tabs>
        <w:numPr>
          <w:ilvl w:val="0"/>
          <w:numId w:val="27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will be adjusted starting from the interest rate adjustment date, based on the Loan Prime Rate (LPR) for the agreed period as stated above announced by the National Interbank Funding Center at the end of the day before the interest rate adjustment date, and the floating points and calculation method of the interest rate</w:t>
      </w:r>
    </w:p>
    <w:p>
      <w:pPr>
        <w:spacing w:after="0" w:line="1" w:lineRule="exact"/>
        <w:rPr>
          <w:sz w:val="20"/>
          <w:szCs w:val="20"/>
          <w:color w:val="auto"/>
        </w:rPr>
      </w:pPr>
    </w:p>
    <w:p>
      <w:pPr>
        <w:ind w:left="4"/>
        <w:spacing w:after="0" w:line="184" w:lineRule="exact"/>
        <w:tabs>
          <w:tab w:leader="none" w:pos="6843" w:val="left"/>
        </w:tabs>
        <w:rPr>
          <w:sz w:val="20"/>
          <w:szCs w:val="20"/>
          <w:color w:val="auto"/>
        </w:rPr>
      </w:pPr>
      <w:r>
        <w:rPr>
          <w:rFonts w:ascii="Times New Roman" w:cs="Times New Roman" w:eastAsia="Times New Roman" w:hAnsi="Times New Roman"/>
          <w:sz w:val="16"/>
          <w:szCs w:val="16"/>
          <w:color w:val="auto"/>
        </w:rPr>
        <w:t xml:space="preserve">agreed above remain unchanged. The specific interest rate adjustment dates is as follows (please mark </w:t>
      </w:r>
      <w:r>
        <w:rPr>
          <w:rFonts w:ascii="Wingdings" w:cs="Wingdings" w:eastAsia="Wingdings" w:hAnsi="Wingdings"/>
          <w:sz w:val="16"/>
          <w:szCs w:val="16"/>
          <w:b w:val="1"/>
          <w:bCs w:val="1"/>
          <w:color w:val="auto"/>
        </w:rPr>
        <w:t>ü</w:t>
      </w:r>
      <w:r>
        <w:rPr>
          <w:sz w:val="20"/>
          <w:szCs w:val="20"/>
          <w:color w:val="auto"/>
        </w:rPr>
        <w:tab/>
      </w:r>
      <w:r>
        <w:rPr>
          <w:rFonts w:ascii="Times New Roman" w:cs="Times New Roman" w:eastAsia="Times New Roman" w:hAnsi="Times New Roman"/>
          <w:sz w:val="15"/>
          <w:szCs w:val="15"/>
          <w:color w:val="auto"/>
        </w:rPr>
        <w:t xml:space="preserve">in the box below, and mark </w:t>
      </w:r>
      <w:r>
        <w:rPr>
          <w:rFonts w:ascii="MS PGothic" w:cs="MS PGothic" w:eastAsia="MS PGothic" w:hAnsi="MS PGothic"/>
          <w:sz w:val="15"/>
          <w:szCs w:val="15"/>
          <w:color w:val="auto"/>
        </w:rPr>
        <w:t>ⅹ</w:t>
      </w:r>
      <w:r>
        <w:rPr>
          <w:rFonts w:ascii="Times New Roman" w:cs="Times New Roman" w:eastAsia="Times New Roman" w:hAnsi="Times New Roman"/>
          <w:sz w:val="15"/>
          <w:szCs w:val="15"/>
          <w:color w:val="auto"/>
        </w:rPr>
        <w:t xml:space="preserve"> if you do not select):</w:t>
      </w:r>
    </w:p>
    <w:p>
      <w:pPr>
        <w:spacing w:after="0" w:line="189" w:lineRule="exact"/>
        <w:rPr>
          <w:sz w:val="20"/>
          <w:szCs w:val="20"/>
          <w:color w:val="auto"/>
        </w:rPr>
      </w:pPr>
    </w:p>
    <w:p>
      <w:pPr>
        <w:jc w:val="both"/>
        <w:ind w:left="584" w:right="20" w:hanging="7"/>
        <w:spacing w:after="0" w:line="267" w:lineRule="auto"/>
        <w:tabs>
          <w:tab w:leader="none" w:pos="782" w:val="left"/>
        </w:tabs>
        <w:numPr>
          <w:ilvl w:val="2"/>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annually. The interest rate adjustment date is the corresponding day of the corresponding month of the next calendar year after the actual loan disbursement date. If there is no corresponding day in the corresponding month of the next calendar year after the actual loan disbursement date, the interest rate adjustment date is the last day of the corresponding month of the next calendar year after the actual loan disbursement date;</w:t>
      </w:r>
    </w:p>
    <w:p>
      <w:pPr>
        <w:spacing w:after="0" w:line="155" w:lineRule="exact"/>
        <w:rPr>
          <w:rFonts w:ascii="MS PGothic" w:cs="MS PGothic" w:eastAsia="MS PGothic" w:hAnsi="MS PGothic"/>
          <w:sz w:val="16"/>
          <w:szCs w:val="16"/>
          <w:color w:val="auto"/>
        </w:rPr>
      </w:pPr>
    </w:p>
    <w:p>
      <w:pPr>
        <w:ind w:left="764" w:hanging="187"/>
        <w:spacing w:after="0"/>
        <w:tabs>
          <w:tab w:leader="none" w:pos="764" w:val="left"/>
        </w:tabs>
        <w:numPr>
          <w:ilvl w:val="2"/>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annually, and the interest rate adjustment date is January 1 of each year;</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according to the interest payment date, and the interest rate adjustment date is the ________ day after the interest payment date;</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quarterly, and the interest rate adjustment date is the ___________ day of the last month of each quarter;</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interest rate is adjusted monthly, and the interest rate adjustment date is the day of every month;</w:t>
      </w:r>
    </w:p>
    <w:p>
      <w:pPr>
        <w:spacing w:after="0" w:line="200" w:lineRule="exact"/>
        <w:rPr>
          <w:rFonts w:ascii="MS PGothic" w:cs="MS PGothic" w:eastAsia="MS PGothic" w:hAnsi="MS PGothic"/>
          <w:sz w:val="16"/>
          <w:szCs w:val="16"/>
          <w:color w:val="auto"/>
        </w:rPr>
      </w:pPr>
    </w:p>
    <w:p>
      <w:pPr>
        <w:ind w:left="764" w:hanging="187"/>
        <w:spacing w:after="0"/>
        <w:tabs>
          <w:tab w:leader="none" w:pos="764" w:val="left"/>
        </w:tabs>
        <w:numPr>
          <w:ilvl w:val="2"/>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conventions (specific interest rate adjustment date): ____________.</w:t>
      </w:r>
    </w:p>
    <w:p>
      <w:pPr>
        <w:spacing w:after="0" w:line="200" w:lineRule="exact"/>
        <w:rPr>
          <w:rFonts w:ascii="MS PGothic" w:cs="MS PGothic" w:eastAsia="MS PGothic" w:hAnsi="MS PGothic"/>
          <w:sz w:val="16"/>
          <w:szCs w:val="16"/>
          <w:color w:val="auto"/>
        </w:rPr>
      </w:pPr>
    </w:p>
    <w:p>
      <w:pPr>
        <w:ind w:left="184" w:hanging="184"/>
        <w:spacing w:after="0"/>
        <w:tabs>
          <w:tab w:leader="none" w:pos="184" w:val="left"/>
        </w:tabs>
        <w:numPr>
          <w:ilvl w:val="0"/>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(2) Foreign currency loan interest rate:</w:t>
      </w:r>
    </w:p>
    <w:p>
      <w:pPr>
        <w:spacing w:after="0" w:line="200" w:lineRule="exact"/>
        <w:rPr>
          <w:rFonts w:ascii="MS PGothic" w:cs="MS PGothic" w:eastAsia="MS PGothic" w:hAnsi="MS PGothic"/>
          <w:sz w:val="16"/>
          <w:szCs w:val="16"/>
          <w:color w:val="auto"/>
        </w:rPr>
      </w:pPr>
    </w:p>
    <w:p>
      <w:pPr>
        <w:jc w:val="both"/>
        <w:ind w:left="4" w:firstLine="285"/>
        <w:spacing w:after="0" w:line="267" w:lineRule="auto"/>
        <w:tabs>
          <w:tab w:leader="none" w:pos="484" w:val="left"/>
        </w:tabs>
        <w:numPr>
          <w:ilvl w:val="1"/>
          <w:numId w:val="2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 Each loan under this Contract shall be calculated based on the ______________ (LIBOR/HIBOR/SIBOR) published by the Lender on ____________(date, month, year) (hereinafter referred to as the “Benchmark Interest Rate Term”) on the actual date of loan issuance as the Benchmark Interest Rate plus BPS (hereinafter referred to as the “Spread”, and the Spread ≥0). If the Benchmark Interest Rate is less than 0%, the Benchmark Interest Rate shall be calculated at 0%.</w:t>
      </w:r>
    </w:p>
    <w:p>
      <w:pPr>
        <w:spacing w:after="0" w:line="312" w:lineRule="exact"/>
        <w:rPr>
          <w:sz w:val="20"/>
          <w:szCs w:val="20"/>
          <w:color w:val="auto"/>
        </w:rPr>
      </w:pPr>
    </w:p>
    <w:p>
      <w:pPr>
        <w:ind w:left="4"/>
        <w:spacing w:after="0" w:line="184" w:lineRule="exact"/>
        <w:tabs>
          <w:tab w:leader="none" w:pos="5403" w:val="left"/>
          <w:tab w:leader="none" w:pos="10383"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3</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7560" cy="152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352" w:right="31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4">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398" w:lineRule="exact"/>
        <w:rPr>
          <w:sz w:val="20"/>
          <w:szCs w:val="20"/>
          <w:color w:val="auto"/>
        </w:rPr>
      </w:pPr>
    </w:p>
    <w:p>
      <w:pPr>
        <w:jc w:val="both"/>
        <w:ind w:right="20" w:firstLine="289"/>
        <w:spacing w:after="0" w:line="219" w:lineRule="exact"/>
        <w:rPr>
          <w:sz w:val="20"/>
          <w:szCs w:val="20"/>
          <w:color w:val="auto"/>
        </w:rPr>
      </w:pPr>
      <w:r>
        <w:rPr>
          <w:rFonts w:ascii="Times New Roman" w:cs="Times New Roman" w:eastAsia="Times New Roman" w:hAnsi="Times New Roman"/>
          <w:sz w:val="16"/>
          <w:szCs w:val="16"/>
          <w:color w:val="auto"/>
        </w:rPr>
        <w:t xml:space="preserve">After each loan under this Contract is issued, the loan interest rate will be adjusted during the loan period as follows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176" w:lineRule="exact"/>
        <w:rPr>
          <w:sz w:val="20"/>
          <w:szCs w:val="20"/>
          <w:color w:val="auto"/>
        </w:rPr>
      </w:pPr>
    </w:p>
    <w:p>
      <w:pPr>
        <w:jc w:val="both"/>
        <w:ind w:right="20" w:firstLine="573"/>
        <w:spacing w:after="0" w:line="267" w:lineRule="auto"/>
        <w:tabs>
          <w:tab w:leader="none" w:pos="767" w:val="left"/>
        </w:tabs>
        <w:numPr>
          <w:ilvl w:val="1"/>
          <w:numId w:val="27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From the date of each loan disbursement, the loan interest rate shall be adjusted according to the Benchmark Interest Rate Term agreed in this Contract, the latest foreign currency benchmark interest rate of the corresponding day plus the interest rate spread agreed in this Contract. If the Benchmark Interest Rate is less than 0%, the Benchmark Interest Rate shall be calculated at 0%.</w:t>
      </w:r>
    </w:p>
    <w:p>
      <w:pPr>
        <w:spacing w:after="0" w:line="155" w:lineRule="exact"/>
        <w:rPr>
          <w:rFonts w:ascii="MS PGothic" w:cs="MS PGothic" w:eastAsia="MS PGothic" w:hAnsi="MS PGothic"/>
          <w:sz w:val="16"/>
          <w:szCs w:val="16"/>
          <w:color w:val="auto"/>
        </w:rPr>
      </w:pPr>
    </w:p>
    <w:p>
      <w:pPr>
        <w:ind w:left="760" w:hanging="187"/>
        <w:spacing w:after="0"/>
        <w:tabs>
          <w:tab w:leader="none" w:pos="760" w:val="left"/>
        </w:tabs>
        <w:numPr>
          <w:ilvl w:val="1"/>
          <w:numId w:val="27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Fixed interest rate, which means the interest rate will remain the same.</w:t>
      </w:r>
    </w:p>
    <w:p>
      <w:pPr>
        <w:spacing w:after="0" w:line="200" w:lineRule="exact"/>
        <w:rPr>
          <w:rFonts w:ascii="MS PGothic" w:cs="MS PGothic" w:eastAsia="MS PGothic" w:hAnsi="MS PGothic"/>
          <w:sz w:val="16"/>
          <w:szCs w:val="16"/>
          <w:color w:val="auto"/>
        </w:rPr>
      </w:pPr>
    </w:p>
    <w:p>
      <w:pPr>
        <w:ind w:firstLine="285"/>
        <w:spacing w:after="0" w:line="283" w:lineRule="auto"/>
        <w:tabs>
          <w:tab w:leader="none" w:pos="487" w:val="left"/>
        </w:tabs>
        <w:numPr>
          <w:ilvl w:val="0"/>
          <w:numId w:val="27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2) The foreign currency loan interest rate under this Contract is detailed in the “Foreign Currency Interest Rate Supplementary Contract” signed separately by both parties to this Contract.</w:t>
      </w:r>
    </w:p>
    <w:p>
      <w:pPr>
        <w:spacing w:after="0" w:line="143" w:lineRule="exact"/>
        <w:rPr>
          <w:rFonts w:ascii="MS PGothic" w:cs="MS PGothic" w:eastAsia="MS PGothic" w:hAnsi="MS PGothic"/>
          <w:sz w:val="16"/>
          <w:szCs w:val="16"/>
          <w:color w:val="auto"/>
        </w:rPr>
      </w:pPr>
    </w:p>
    <w:p>
      <w:pPr>
        <w:ind w:left="460" w:hanging="175"/>
        <w:spacing w:after="0"/>
        <w:tabs>
          <w:tab w:leader="none" w:pos="460" w:val="left"/>
        </w:tabs>
        <w:numPr>
          <w:ilvl w:val="0"/>
          <w:numId w:val="27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3) The interest rate for each loan under this Contract is ____/___ %, which is a fixed rate and will not be adjusted during the loan period.</w:t>
      </w:r>
    </w:p>
    <w:p>
      <w:pPr>
        <w:spacing w:after="0" w:line="165"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6. The interest settlement method under this Contract is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237" w:lineRule="exact"/>
        <w:rPr>
          <w:sz w:val="20"/>
          <w:szCs w:val="20"/>
          <w:color w:val="auto"/>
        </w:rPr>
      </w:pPr>
    </w:p>
    <w:p>
      <w:pPr>
        <w:ind w:left="460" w:hanging="175"/>
        <w:spacing w:after="0"/>
        <w:tabs>
          <w:tab w:leader="none" w:pos="460" w:val="left"/>
        </w:tabs>
        <w:numPr>
          <w:ilvl w:val="0"/>
          <w:numId w:val="27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interest is settled monthly, the interest settlement date is the 20th day of each month;</w:t>
      </w:r>
    </w:p>
    <w:p>
      <w:pPr>
        <w:spacing w:after="0" w:line="200" w:lineRule="exact"/>
        <w:rPr>
          <w:rFonts w:ascii="MS PGothic" w:cs="MS PGothic" w:eastAsia="MS PGothic" w:hAnsi="MS PGothic"/>
          <w:sz w:val="16"/>
          <w:szCs w:val="16"/>
          <w:color w:val="auto"/>
        </w:rPr>
      </w:pPr>
    </w:p>
    <w:p>
      <w:pPr>
        <w:ind w:left="460" w:hanging="175"/>
        <w:spacing w:after="0"/>
        <w:tabs>
          <w:tab w:leader="none" w:pos="460" w:val="left"/>
        </w:tabs>
        <w:numPr>
          <w:ilvl w:val="0"/>
          <w:numId w:val="27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interest is settled quarterly, the interest settlement date is the 20th day of the last month of each quarter;</w:t>
      </w:r>
    </w:p>
    <w:p>
      <w:pPr>
        <w:spacing w:after="0" w:line="200" w:lineRule="exact"/>
        <w:rPr>
          <w:rFonts w:ascii="MS PGothic" w:cs="MS PGothic" w:eastAsia="MS PGothic" w:hAnsi="MS PGothic"/>
          <w:sz w:val="16"/>
          <w:szCs w:val="16"/>
          <w:color w:val="auto"/>
        </w:rPr>
      </w:pPr>
    </w:p>
    <w:p>
      <w:pPr>
        <w:ind w:left="460" w:hanging="175"/>
        <w:spacing w:after="0"/>
        <w:tabs>
          <w:tab w:leader="none" w:pos="460" w:val="left"/>
        </w:tabs>
        <w:numPr>
          <w:ilvl w:val="0"/>
          <w:numId w:val="27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methods: ________________________________.</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interest of each repayment under this Contract shall be paid together with the principal.</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 The penalty interest rate under this Contract is:</w:t>
      </w:r>
    </w:p>
    <w:p>
      <w:pPr>
        <w:spacing w:after="0" w:line="201" w:lineRule="exact"/>
        <w:rPr>
          <w:sz w:val="20"/>
          <w:szCs w:val="20"/>
          <w:color w:val="auto"/>
        </w:rPr>
      </w:pPr>
    </w:p>
    <w:p>
      <w:pPr>
        <w:ind w:left="580" w:hanging="295"/>
        <w:spacing w:after="0"/>
        <w:tabs>
          <w:tab w:leader="none" w:pos="58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overdue penalty interest rate under this Contract shall be </w:t>
      </w:r>
      <w:r>
        <w:rPr>
          <w:rFonts w:ascii="Times New Roman" w:cs="Times New Roman" w:eastAsia="Times New Roman" w:hAnsi="Times New Roman"/>
          <w:sz w:val="16"/>
          <w:szCs w:val="16"/>
          <w:u w:val="single" w:color="auto"/>
          <w:color w:val="auto"/>
        </w:rPr>
        <w:t>30</w:t>
      </w:r>
      <w:r>
        <w:rPr>
          <w:rFonts w:ascii="Times New Roman" w:cs="Times New Roman" w:eastAsia="Times New Roman" w:hAnsi="Times New Roman"/>
          <w:sz w:val="16"/>
          <w:szCs w:val="16"/>
          <w:color w:val="auto"/>
        </w:rPr>
        <w:t>% higher than the loan execution interest rate applicable on the penalty interest calculation date.</w:t>
      </w:r>
    </w:p>
    <w:p>
      <w:pPr>
        <w:spacing w:after="0" w:line="200" w:lineRule="exact"/>
        <w:rPr>
          <w:rFonts w:ascii="Times New Roman" w:cs="Times New Roman" w:eastAsia="Times New Roman" w:hAnsi="Times New Roman"/>
          <w:sz w:val="16"/>
          <w:szCs w:val="16"/>
          <w:color w:val="auto"/>
        </w:rPr>
      </w:pPr>
    </w:p>
    <w:p>
      <w:pPr>
        <w:ind w:left="580" w:right="20" w:hanging="295"/>
        <w:spacing w:after="0" w:line="283" w:lineRule="auto"/>
        <w:tabs>
          <w:tab w:leader="none" w:pos="58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penalty interest rate for misappropriation of the loan or failure to use the loan for the purposes agreed in this Contract shall be </w:t>
      </w:r>
      <w:r>
        <w:rPr>
          <w:rFonts w:ascii="Times New Roman" w:cs="Times New Roman" w:eastAsia="Times New Roman" w:hAnsi="Times New Roman"/>
          <w:sz w:val="16"/>
          <w:szCs w:val="16"/>
          <w:u w:val="single" w:color="auto"/>
          <w:color w:val="auto"/>
        </w:rPr>
        <w:t>50</w:t>
      </w:r>
      <w:r>
        <w:rPr>
          <w:rFonts w:ascii="Times New Roman" w:cs="Times New Roman" w:eastAsia="Times New Roman" w:hAnsi="Times New Roman"/>
          <w:sz w:val="16"/>
          <w:szCs w:val="16"/>
          <w:color w:val="auto"/>
        </w:rPr>
        <w:t xml:space="preserve"> % higher than the loan execution rate applicable on the penalty interest calculation date.</w:t>
      </w:r>
    </w:p>
    <w:p>
      <w:pPr>
        <w:spacing w:after="0" w:line="143" w:lineRule="exact"/>
        <w:rPr>
          <w:sz w:val="20"/>
          <w:szCs w:val="20"/>
          <w:color w:val="auto"/>
        </w:rPr>
      </w:pPr>
    </w:p>
    <w:p>
      <w:pPr>
        <w:ind w:left="280" w:right="20"/>
        <w:spacing w:after="0" w:line="283" w:lineRule="auto"/>
        <w:rPr>
          <w:sz w:val="20"/>
          <w:szCs w:val="20"/>
          <w:color w:val="auto"/>
        </w:rPr>
      </w:pPr>
      <w:r>
        <w:rPr>
          <w:rFonts w:ascii="Times New Roman" w:cs="Times New Roman" w:eastAsia="Times New Roman" w:hAnsi="Times New Roman"/>
          <w:sz w:val="16"/>
          <w:szCs w:val="16"/>
          <w:color w:val="auto"/>
        </w:rPr>
        <w:t>If the loan currency is in foreign currency, if there are other provisions in the foreign currency interest rate supplementary contract or foreign currency interest rate change contract signed by the two parties to this Contract, such provisions shall apply.</w:t>
      </w:r>
    </w:p>
    <w:p>
      <w:pPr>
        <w:spacing w:after="0" w:line="300"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4</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09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6">
                      <a:extLst>
                        <a:ext uri="{28A0092B-C50C-407E-A947-70E740481C1C}"/>
                      </a:extLst>
                    </a:blip>
                    <a:srcRect/>
                    <a:stretch>
                      <a:fillRect/>
                    </a:stretch>
                  </pic:blipFill>
                  <pic:spPr bwMode="auto">
                    <a:xfrm>
                      <a:off x="0" y="0"/>
                      <a:ext cx="7147560" cy="220980"/>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285"/>
        <w:spacing w:after="0" w:line="283" w:lineRule="auto"/>
        <w:tabs>
          <w:tab w:leader="none" w:pos="461"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loan withdrawal period under this Contract is from </w:t>
      </w:r>
      <w:r>
        <w:rPr>
          <w:rFonts w:ascii="Times New Roman" w:cs="Times New Roman" w:eastAsia="Times New Roman" w:hAnsi="Times New Roman"/>
          <w:sz w:val="16"/>
          <w:szCs w:val="16"/>
          <w:u w:val="single" w:color="auto"/>
          <w:color w:val="auto"/>
        </w:rPr>
        <w:t>October 30, 2024</w:t>
      </w:r>
      <w:r>
        <w:rPr>
          <w:rFonts w:ascii="Times New Roman" w:cs="Times New Roman" w:eastAsia="Times New Roman" w:hAnsi="Times New Roman"/>
          <w:sz w:val="16"/>
          <w:szCs w:val="16"/>
          <w:color w:val="auto"/>
        </w:rPr>
        <w:t xml:space="preserve"> (date, month, year) to </w:t>
      </w:r>
      <w:r>
        <w:rPr>
          <w:rFonts w:ascii="Times New Roman" w:cs="Times New Roman" w:eastAsia="Times New Roman" w:hAnsi="Times New Roman"/>
          <w:sz w:val="16"/>
          <w:szCs w:val="16"/>
          <w:u w:val="single" w:color="auto"/>
          <w:color w:val="auto"/>
        </w:rPr>
        <w:t>October 31, 2024</w:t>
      </w:r>
      <w:r>
        <w:rPr>
          <w:rFonts w:ascii="Times New Roman" w:cs="Times New Roman" w:eastAsia="Times New Roman" w:hAnsi="Times New Roman"/>
          <w:sz w:val="16"/>
          <w:szCs w:val="16"/>
          <w:color w:val="auto"/>
        </w:rPr>
        <w:t xml:space="preserve"> (date, month, year). The first withdrawal shall be made before </w:t>
      </w:r>
      <w:r>
        <w:rPr>
          <w:rFonts w:ascii="Times New Roman" w:cs="Times New Roman" w:eastAsia="Times New Roman" w:hAnsi="Times New Roman"/>
          <w:sz w:val="16"/>
          <w:szCs w:val="16"/>
          <w:u w:val="single" w:color="auto"/>
          <w:color w:val="auto"/>
        </w:rPr>
        <w:t>October 31, 2024</w:t>
      </w:r>
      <w:r>
        <w:rPr>
          <w:rFonts w:ascii="Times New Roman" w:cs="Times New Roman" w:eastAsia="Times New Roman" w:hAnsi="Times New Roman"/>
          <w:sz w:val="16"/>
          <w:szCs w:val="16"/>
          <w:color w:val="auto"/>
        </w:rPr>
        <w:t xml:space="preserve"> (date, month, year).</w:t>
      </w:r>
    </w:p>
    <w:p>
      <w:pPr>
        <w:spacing w:after="0" w:line="107" w:lineRule="exact"/>
        <w:rPr>
          <w:rFonts w:ascii="Times New Roman" w:cs="Times New Roman" w:eastAsia="Times New Roman" w:hAnsi="Times New Roman"/>
          <w:sz w:val="16"/>
          <w:szCs w:val="16"/>
          <w:color w:val="auto"/>
        </w:rPr>
      </w:pPr>
    </w:p>
    <w:p>
      <w:pPr>
        <w:ind w:left="440" w:hanging="155"/>
        <w:spacing w:after="0" w:line="184" w:lineRule="exact"/>
        <w:tabs>
          <w:tab w:leader="none" w:pos="44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withdrawal plan for the loan under this Contract is as follows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237" w:lineRule="exact"/>
        <w:rPr>
          <w:sz w:val="20"/>
          <w:szCs w:val="20"/>
          <w:color w:val="auto"/>
        </w:rPr>
      </w:pPr>
    </w:p>
    <w:p>
      <w:pPr>
        <w:ind w:left="460" w:hanging="175"/>
        <w:spacing w:after="0"/>
        <w:tabs>
          <w:tab w:leader="none" w:pos="460" w:val="left"/>
        </w:tabs>
        <w:numPr>
          <w:ilvl w:val="0"/>
          <w:numId w:val="2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withdrawal plan is shown in the table below:</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44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Withdrawal Date</w:t>
            </w:r>
          </w:p>
        </w:tc>
        <w:tc>
          <w:tcPr>
            <w:tcW w:w="572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6"/>
                <w:szCs w:val="16"/>
                <w:b w:val="1"/>
                <w:bCs w:val="1"/>
                <w:color w:val="auto"/>
              </w:rPr>
              <w:t>Withdrawal Amount</w:t>
            </w: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r>
      <w:tr>
        <w:trPr>
          <w:trHeight w:val="27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bl>
    <w:p>
      <w:pPr>
        <w:spacing w:after="0" w:line="176" w:lineRule="exact"/>
        <w:rPr>
          <w:sz w:val="20"/>
          <w:szCs w:val="20"/>
          <w:color w:val="auto"/>
        </w:rPr>
      </w:pPr>
    </w:p>
    <w:p>
      <w:pPr>
        <w:ind w:left="460" w:hanging="175"/>
        <w:spacing w:after="0"/>
        <w:tabs>
          <w:tab w:leader="none" w:pos="460" w:val="left"/>
        </w:tabs>
        <w:numPr>
          <w:ilvl w:val="0"/>
          <w:numId w:val="2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withdrawal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-6350</wp:posOffset>
            </wp:positionV>
            <wp:extent cx="1933575"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7">
                      <a:extLst>
                        <a:ext uri="{28A0092B-C50C-407E-A947-70E740481C1C}"/>
                      </a:extLst>
                    </a:blip>
                    <a:srcRect/>
                    <a:stretch>
                      <a:fillRect/>
                    </a:stretch>
                  </pic:blipFill>
                  <pic:spPr bwMode="auto">
                    <a:xfrm>
                      <a:off x="0" y="0"/>
                      <a:ext cx="1933575"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237490</wp:posOffset>
            </wp:positionV>
            <wp:extent cx="2747645"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8">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10. The repayment plan for the loan under this Contract is as follows (please mark </w:t>
      </w:r>
      <w:r>
        <w:rPr>
          <w:rFonts w:ascii="Wingdings" w:cs="Wingdings" w:eastAsia="Wingdings" w:hAnsi="Wingdings"/>
          <w:sz w:val="16"/>
          <w:szCs w:val="16"/>
          <w:b w:val="1"/>
          <w:bCs w:val="1"/>
          <w:color w:val="auto"/>
        </w:rPr>
        <w:t>ü</w:t>
      </w:r>
      <w:r>
        <w:rPr>
          <w:rFonts w:ascii="Times New Roman" w:cs="Times New Roman" w:eastAsia="Times New Roman" w:hAnsi="Times New Roman"/>
          <w:sz w:val="16"/>
          <w:szCs w:val="16"/>
          <w:color w:val="auto"/>
        </w:rPr>
        <w:t xml:space="preserve"> in the box below, and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237" w:lineRule="exact"/>
        <w:rPr>
          <w:sz w:val="20"/>
          <w:szCs w:val="20"/>
          <w:color w:val="auto"/>
        </w:rPr>
      </w:pPr>
    </w:p>
    <w:p>
      <w:pPr>
        <w:ind w:left="460" w:hanging="175"/>
        <w:spacing w:after="0"/>
        <w:tabs>
          <w:tab w:leader="none" w:pos="460" w:val="left"/>
        </w:tabs>
        <w:numPr>
          <w:ilvl w:val="0"/>
          <w:numId w:val="2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repayment plan is shown in the table below:</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440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Repayment Date</w:t>
            </w:r>
          </w:p>
        </w:tc>
        <w:tc>
          <w:tcPr>
            <w:tcW w:w="5720" w:type="dxa"/>
            <w:vAlign w:val="bottom"/>
            <w:tcBorders>
              <w:top w:val="single" w:sz="8" w:color="auto"/>
              <w:right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color w:val="auto"/>
              </w:rPr>
              <w:t>Repayment Amount</w:t>
            </w: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5720" w:type="dxa"/>
            <w:vAlign w:val="bottom"/>
            <w:tcBorders>
              <w:bottom w:val="single" w:sz="8" w:color="auto"/>
              <w:right w:val="single" w:sz="8" w:color="auto"/>
            </w:tcBorders>
          </w:tcPr>
          <w:p>
            <w:pPr>
              <w:spacing w:after="0"/>
              <w:rPr>
                <w:sz w:val="4"/>
                <w:szCs w:val="4"/>
                <w:color w:val="auto"/>
              </w:rPr>
            </w:pPr>
          </w:p>
        </w:tc>
      </w:tr>
      <w:tr>
        <w:trPr>
          <w:trHeight w:val="27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r>
        <w:trPr>
          <w:trHeight w:val="281"/>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800" w:type="dxa"/>
            <w:vAlign w:val="bottom"/>
            <w:tcBorders>
              <w:bottom w:val="single" w:sz="8" w:color="auto"/>
            </w:tcBorders>
          </w:tcPr>
          <w:p>
            <w:pPr>
              <w:ind w:left="130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w:t>
            </w:r>
          </w:p>
        </w:tc>
        <w:tc>
          <w:tcPr>
            <w:tcW w:w="740" w:type="dxa"/>
            <w:vAlign w:val="bottom"/>
            <w:tcBorders>
              <w:bottom w:val="single" w:sz="8" w:color="auto"/>
            </w:tcBorders>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Month</w:t>
            </w:r>
          </w:p>
        </w:tc>
        <w:tc>
          <w:tcPr>
            <w:tcW w:w="1860" w:type="dxa"/>
            <w:vAlign w:val="bottom"/>
            <w:tcBorders>
              <w:bottom w:val="single" w:sz="8" w:color="auto"/>
              <w:right w:val="single" w:sz="8" w:color="auto"/>
            </w:tcBorders>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w:t>
            </w:r>
          </w:p>
        </w:tc>
        <w:tc>
          <w:tcPr>
            <w:tcW w:w="5720" w:type="dxa"/>
            <w:vAlign w:val="bottom"/>
            <w:tcBorders>
              <w:bottom w:val="single" w:sz="8" w:color="auto"/>
              <w:right w:val="single" w:sz="8" w:color="auto"/>
            </w:tcBorders>
          </w:tcPr>
          <w:p>
            <w:pPr>
              <w:ind w:left="4380"/>
              <w:spacing w:after="0"/>
              <w:rPr>
                <w:sz w:val="20"/>
                <w:szCs w:val="20"/>
                <w:color w:val="auto"/>
              </w:rPr>
            </w:pPr>
            <w:r>
              <w:rPr>
                <w:rFonts w:ascii="Times New Roman" w:cs="Times New Roman" w:eastAsia="Times New Roman" w:hAnsi="Times New Roman"/>
                <w:sz w:val="16"/>
                <w:szCs w:val="16"/>
                <w:color w:val="auto"/>
              </w:rPr>
              <w:t>(Amount in words)</w:t>
            </w:r>
          </w:p>
        </w:tc>
      </w:tr>
    </w:tbl>
    <w:p>
      <w:pPr>
        <w:spacing w:after="0" w:line="176" w:lineRule="exact"/>
        <w:rPr>
          <w:sz w:val="20"/>
          <w:szCs w:val="20"/>
          <w:color w:val="auto"/>
        </w:rPr>
      </w:pPr>
    </w:p>
    <w:p>
      <w:pPr>
        <w:ind w:left="460" w:hanging="175"/>
        <w:spacing w:after="0"/>
        <w:tabs>
          <w:tab w:leader="none" w:pos="460" w:val="left"/>
        </w:tabs>
        <w:numPr>
          <w:ilvl w:val="0"/>
          <w:numId w:val="2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repayment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-6350</wp:posOffset>
            </wp:positionV>
            <wp:extent cx="1908175"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9">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237490</wp:posOffset>
            </wp:positionV>
            <wp:extent cx="2747645"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0">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5</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213"/>
        </w:trPr>
        <w:tc>
          <w:tcPr>
            <w:tcW w:w="3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8"/>
              </w:rPr>
              <w:t>Working Capital Loan Contract</w:t>
            </w:r>
          </w:p>
        </w:tc>
      </w:tr>
      <w:tr>
        <w:trPr>
          <w:trHeight w:val="758"/>
        </w:trPr>
        <w:tc>
          <w:tcPr>
            <w:tcW w:w="3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11. Penalty for early repayment of loan: Equivalent to</w:t>
            </w:r>
          </w:p>
        </w:tc>
        <w:tc>
          <w:tcPr>
            <w:tcW w:w="7480" w:type="dxa"/>
            <w:vAlign w:val="bottom"/>
            <w:gridSpan w:val="10"/>
          </w:tcPr>
          <w:p>
            <w:pPr>
              <w:ind w:left="240"/>
              <w:spacing w:after="0"/>
              <w:rPr>
                <w:sz w:val="20"/>
                <w:szCs w:val="20"/>
                <w:color w:val="auto"/>
              </w:rPr>
            </w:pPr>
            <w:r>
              <w:rPr>
                <w:rFonts w:ascii="Times New Roman" w:cs="Times New Roman" w:eastAsia="Times New Roman" w:hAnsi="Times New Roman"/>
                <w:sz w:val="16"/>
                <w:szCs w:val="16"/>
                <w:color w:val="auto"/>
              </w:rPr>
              <w:t>/   % of the total amount of loan actually repaid in advance or RMB (currency) Zero Yuan (in words).</w:t>
            </w:r>
          </w:p>
        </w:tc>
      </w:tr>
      <w:tr>
        <w:trPr>
          <w:trHeight w:val="20"/>
        </w:trPr>
        <w:tc>
          <w:tcPr>
            <w:tcW w:w="3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65"/>
        </w:trPr>
        <w:tc>
          <w:tcPr>
            <w:tcW w:w="558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12. The principal amount of the loan to be repaid in advance shall not be less than</w:t>
            </w: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RMB</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(currency)</w:t>
            </w: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Zero</w:t>
            </w:r>
          </w:p>
        </w:tc>
        <w:tc>
          <w:tcPr>
            <w:tcW w:w="20" w:type="dxa"/>
            <w:vAlign w:val="bottom"/>
          </w:tcPr>
          <w:p>
            <w:pPr>
              <w:spacing w:after="0"/>
              <w:rPr>
                <w:sz w:val="24"/>
                <w:szCs w:val="24"/>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Yuan (in words).</w:t>
            </w:r>
          </w:p>
        </w:tc>
      </w:tr>
    </w:tbl>
    <w:p>
      <w:pPr>
        <w:spacing w:after="0" w:line="1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r>
    </w:p>
    <w:p>
      <w:pPr>
        <w:ind w:right="20" w:firstLine="285"/>
        <w:spacing w:after="0" w:line="219" w:lineRule="exact"/>
        <w:tabs>
          <w:tab w:leader="none" w:pos="535"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Account Opening ( For RMB loans, choose one of the following modes and mark </w:t>
      </w:r>
      <w:r>
        <w:rPr>
          <w:rFonts w:ascii="Arial" w:cs="Arial" w:eastAsia="Arial" w:hAnsi="Arial"/>
          <w:sz w:val="16"/>
          <w:szCs w:val="16"/>
          <w:b w:val="1"/>
          <w:bCs w:val="1"/>
          <w:color w:val="auto"/>
        </w:rPr>
        <w:t>ü</w:t>
      </w:r>
      <w:r>
        <w:rPr>
          <w:rFonts w:ascii="Times New Roman" w:cs="Times New Roman" w:eastAsia="Times New Roman" w:hAnsi="Times New Roman"/>
          <w:sz w:val="16"/>
          <w:szCs w:val="16"/>
          <w:color w:val="auto"/>
        </w:rPr>
        <w:t xml:space="preserve">; for foreign currency loans, choose the special account mode. Mark </w:t>
      </w:r>
      <w:r>
        <w:rPr>
          <w:rFonts w:ascii="MS PGothic" w:cs="MS PGothic" w:eastAsia="MS PGothic" w:hAnsi="MS PGothic"/>
          <w:sz w:val="16"/>
          <w:szCs w:val="16"/>
          <w:color w:val="auto"/>
        </w:rPr>
        <w:t>ⅹ</w:t>
      </w:r>
      <w:r>
        <w:rPr>
          <w:rFonts w:ascii="Times New Roman" w:cs="Times New Roman" w:eastAsia="Times New Roman" w:hAnsi="Times New Roman"/>
          <w:sz w:val="16"/>
          <w:szCs w:val="16"/>
          <w:color w:val="auto"/>
        </w:rPr>
        <w:t xml:space="preserve"> if you do not select):</w:t>
      </w:r>
    </w:p>
    <w:p>
      <w:pPr>
        <w:spacing w:after="0" w:line="177" w:lineRule="exact"/>
        <w:rPr>
          <w:sz w:val="20"/>
          <w:szCs w:val="20"/>
          <w:color w:val="auto"/>
        </w:rPr>
      </w:pPr>
    </w:p>
    <w:p>
      <w:pPr>
        <w:ind w:left="460" w:hanging="175"/>
        <w:spacing w:after="0"/>
        <w:tabs>
          <w:tab w:leader="none" w:pos="460" w:val="left"/>
        </w:tabs>
        <w:numPr>
          <w:ilvl w:val="0"/>
          <w:numId w:val="281"/>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Non-special account mode:</w:t>
      </w:r>
    </w:p>
    <w:p>
      <w:pPr>
        <w:spacing w:after="0" w:line="200" w:lineRule="exact"/>
        <w:rPr>
          <w:rFonts w:ascii="Arial" w:cs="Arial" w:eastAsia="Arial" w:hAnsi="Arial"/>
          <w:sz w:val="16"/>
          <w:szCs w:val="16"/>
          <w:b w:val="1"/>
          <w:bCs w:val="1"/>
          <w:color w:val="auto"/>
        </w:rPr>
      </w:pPr>
    </w:p>
    <w:p>
      <w:pPr>
        <w:jc w:val="both"/>
        <w:ind w:left="580" w:right="5580" w:hanging="7"/>
        <w:spacing w:after="0" w:line="501" w:lineRule="auto"/>
        <w:tabs>
          <w:tab w:leader="none" w:pos="807" w:val="left"/>
        </w:tabs>
        <w:numPr>
          <w:ilvl w:val="1"/>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settlement account opened by the Borrower with the Lender is: Deposit Bank: Shanghai Pudong Development Bank Co., Ltd. JInqiao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-132715</wp:posOffset>
            </wp:positionV>
            <wp:extent cx="2662555"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3">
                      <a:extLst>
                        <a:ext uri="{28A0092B-C50C-407E-A947-70E740481C1C}"/>
                      </a:extLst>
                    </a:blip>
                    <a:srcRect/>
                    <a:stretch>
                      <a:fillRect/>
                    </a:stretch>
                  </pic:blipFill>
                  <pic:spPr bwMode="auto">
                    <a:xfrm>
                      <a:off x="0" y="0"/>
                      <a:ext cx="2662555" cy="762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74"/>
        </w:trPr>
        <w:tc>
          <w:tcPr>
            <w:tcW w:w="10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Account Name:</w:t>
            </w: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jc w:val="right"/>
              <w:ind w:right="320"/>
              <w:spacing w:after="0" w:line="175" w:lineRule="exact"/>
              <w:rPr>
                <w:sz w:val="20"/>
                <w:szCs w:val="20"/>
                <w:color w:val="auto"/>
              </w:rPr>
            </w:pPr>
            <w:r>
              <w:rPr>
                <w:rFonts w:ascii="Times New Roman" w:cs="Times New Roman" w:eastAsia="Times New Roman" w:hAnsi="Times New Roman"/>
                <w:sz w:val="16"/>
                <w:szCs w:val="16"/>
                <w:color w:val="auto"/>
              </w:rPr>
              <w:t>CLPS Shanghai Co., Ltd.</w:t>
            </w:r>
          </w:p>
        </w:tc>
        <w:tc>
          <w:tcPr>
            <w:tcW w:w="360" w:type="dxa"/>
            <w:vAlign w:val="bottom"/>
          </w:tcPr>
          <w:p>
            <w:pPr>
              <w:spacing w:after="0"/>
              <w:rPr>
                <w:sz w:val="15"/>
                <w:szCs w:val="15"/>
                <w:color w:val="auto"/>
              </w:rPr>
            </w:pPr>
          </w:p>
        </w:tc>
      </w:tr>
      <w:tr>
        <w:trPr>
          <w:trHeight w:val="365"/>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 Number:</w:t>
            </w:r>
          </w:p>
        </w:tc>
        <w:tc>
          <w:tcPr>
            <w:tcW w:w="23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color w:val="auto"/>
              </w:rPr>
              <w:t>98840078801600002917</w:t>
            </w:r>
          </w:p>
        </w:tc>
        <w:tc>
          <w:tcPr>
            <w:tcW w:w="3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ind w:left="580" w:right="5580" w:hanging="7"/>
        <w:spacing w:after="0" w:line="501" w:lineRule="auto"/>
        <w:tabs>
          <w:tab w:leader="none" w:pos="807"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withdrawal account opened by the Borrower with the Lender is: Deposit Bank: Shanghai Pudong Development Bank Co., Ltd. JInqiao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-132715</wp:posOffset>
            </wp:positionV>
            <wp:extent cx="2662555"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4">
                      <a:extLst>
                        <a:ext uri="{28A0092B-C50C-407E-A947-70E740481C1C}"/>
                      </a:extLst>
                    </a:blip>
                    <a:srcRect/>
                    <a:stretch>
                      <a:fillRect/>
                    </a:stretch>
                  </pic:blipFill>
                  <pic:spPr bwMode="auto">
                    <a:xfrm>
                      <a:off x="0" y="0"/>
                      <a:ext cx="2662555" cy="762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74"/>
        </w:trPr>
        <w:tc>
          <w:tcPr>
            <w:tcW w:w="10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Account Name:</w:t>
            </w: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CLPS Shanghai Co., Ltd.</w:t>
            </w:r>
          </w:p>
        </w:tc>
        <w:tc>
          <w:tcPr>
            <w:tcW w:w="240" w:type="dxa"/>
            <w:vAlign w:val="bottom"/>
          </w:tcPr>
          <w:p>
            <w:pPr>
              <w:spacing w:after="0"/>
              <w:rPr>
                <w:sz w:val="15"/>
                <w:szCs w:val="15"/>
                <w:color w:val="auto"/>
              </w:rPr>
            </w:pPr>
          </w:p>
        </w:tc>
      </w:tr>
      <w:tr>
        <w:trPr>
          <w:trHeight w:val="365"/>
        </w:trPr>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 Number:</w:t>
            </w:r>
          </w:p>
        </w:tc>
        <w:tc>
          <w:tcPr>
            <w:tcW w:w="2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98840078801600002917</w:t>
            </w:r>
          </w:p>
        </w:tc>
        <w:tc>
          <w:tcPr>
            <w:tcW w:w="2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ind w:left="460" w:hanging="175"/>
        <w:spacing w:after="0"/>
        <w:tabs>
          <w:tab w:leader="none" w:pos="460" w:val="left"/>
        </w:tabs>
        <w:numPr>
          <w:ilvl w:val="0"/>
          <w:numId w:val="28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Special account mode:</w:t>
      </w:r>
    </w:p>
    <w:p>
      <w:pPr>
        <w:spacing w:after="0" w:line="200" w:lineRule="exact"/>
        <w:rPr>
          <w:rFonts w:ascii="MS PGothic" w:cs="MS PGothic" w:eastAsia="MS PGothic" w:hAnsi="MS PGothic"/>
          <w:sz w:val="16"/>
          <w:szCs w:val="16"/>
          <w:color w:val="auto"/>
        </w:rPr>
      </w:pPr>
    </w:p>
    <w:p>
      <w:pPr>
        <w:ind w:left="580" w:right="4700" w:hanging="7"/>
        <w:spacing w:after="0" w:line="501" w:lineRule="auto"/>
        <w:tabs>
          <w:tab w:leader="none" w:pos="807" w:val="left"/>
        </w:tabs>
        <w:numPr>
          <w:ilvl w:val="1"/>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special account for working capital loans opened by the Borrower with the Lender is: Deposit Bank:</w:t>
      </w:r>
    </w:p>
    <w:p>
      <w:pPr>
        <w:spacing w:after="0" w:line="1" w:lineRule="exact"/>
        <w:rPr>
          <w:rFonts w:ascii="Times New Roman" w:cs="Times New Roman" w:eastAsia="Times New Roman" w:hAnsi="Times New Roman"/>
          <w:sz w:val="16"/>
          <w:szCs w:val="16"/>
          <w:color w:val="auto"/>
        </w:rPr>
      </w:pPr>
    </w:p>
    <w:p>
      <w:pPr>
        <w:ind w:left="580" w:right="9540"/>
        <w:spacing w:after="0" w:line="5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Account Name: Account Number:</w:t>
      </w:r>
    </w:p>
    <w:p>
      <w:pPr>
        <w:ind w:left="800" w:hanging="227"/>
        <w:spacing w:after="0"/>
        <w:tabs>
          <w:tab w:leader="none" w:pos="800" w:val="left"/>
        </w:tabs>
        <w:numPr>
          <w:ilvl w:val="1"/>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general settlement account opened by the Borrower with the Lender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-739775</wp:posOffset>
            </wp:positionV>
            <wp:extent cx="1831975"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5">
                      <a:extLst>
                        <a:ext uri="{28A0092B-C50C-407E-A947-70E740481C1C}"/>
                      </a:extLst>
                    </a:blip>
                    <a:srcRect/>
                    <a:stretch>
                      <a:fillRect/>
                    </a:stretch>
                  </pic:blipFill>
                  <pic:spPr bwMode="auto">
                    <a:xfrm>
                      <a:off x="0" y="0"/>
                      <a:ext cx="1831975"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-495300</wp:posOffset>
            </wp:positionV>
            <wp:extent cx="1908175"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6">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-250825</wp:posOffset>
            </wp:positionV>
            <wp:extent cx="1908175"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7">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974725</wp:posOffset>
            </wp:positionH>
            <wp:positionV relativeFrom="paragraph">
              <wp:posOffset>237490</wp:posOffset>
            </wp:positionV>
            <wp:extent cx="1831975"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8">
                      <a:extLst>
                        <a:ext uri="{28A0092B-C50C-407E-A947-70E740481C1C}"/>
                      </a:extLst>
                    </a:blip>
                    <a:srcRect/>
                    <a:stretch>
                      <a:fillRect/>
                    </a:stretch>
                  </pic:blipFill>
                  <pic:spPr bwMode="auto">
                    <a:xfrm>
                      <a:off x="0" y="0"/>
                      <a:ext cx="1831975"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481330</wp:posOffset>
            </wp:positionV>
            <wp:extent cx="1908175"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9">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725805</wp:posOffset>
            </wp:positionV>
            <wp:extent cx="1908175"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0">
                      <a:extLst>
                        <a:ext uri="{28A0092B-C50C-407E-A947-70E740481C1C}"/>
                      </a:extLst>
                    </a:blip>
                    <a:srcRect/>
                    <a:stretch>
                      <a:fillRect/>
                    </a:stretch>
                  </pic:blipFill>
                  <pic:spPr bwMode="auto">
                    <a:xfrm>
                      <a:off x="0" y="0"/>
                      <a:ext cx="1908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0" w:right="5740" w:hanging="7"/>
        <w:spacing w:after="0" w:line="501" w:lineRule="auto"/>
        <w:tabs>
          <w:tab w:leader="none" w:pos="807"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withdrawal account opened by the Borrower with the Lender is: Deposit Bank:</w:t>
      </w:r>
    </w:p>
    <w:p>
      <w:pPr>
        <w:spacing w:after="0" w:line="1" w:lineRule="exact"/>
        <w:rPr>
          <w:rFonts w:ascii="Times New Roman" w:cs="Times New Roman" w:eastAsia="Times New Roman" w:hAnsi="Times New Roman"/>
          <w:sz w:val="16"/>
          <w:szCs w:val="16"/>
          <w:color w:val="auto"/>
        </w:rPr>
      </w:pPr>
    </w:p>
    <w:p>
      <w:pPr>
        <w:ind w:left="580" w:right="9540"/>
        <w:spacing w:after="0" w:line="58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Account Name: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-668020</wp:posOffset>
            </wp:positionV>
            <wp:extent cx="1831975"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1">
                      <a:extLst>
                        <a:ext uri="{28A0092B-C50C-407E-A947-70E740481C1C}"/>
                      </a:extLst>
                    </a:blip>
                    <a:srcRect/>
                    <a:stretch>
                      <a:fillRect/>
                    </a:stretch>
                  </pic:blipFill>
                  <pic:spPr bwMode="auto">
                    <a:xfrm>
                      <a:off x="0" y="0"/>
                      <a:ext cx="1831975" cy="762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-423545</wp:posOffset>
            </wp:positionV>
            <wp:extent cx="1908175"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2">
                      <a:extLst>
                        <a:ext uri="{28A0092B-C50C-407E-A947-70E740481C1C}"/>
                      </a:extLst>
                    </a:blip>
                    <a:srcRect/>
                    <a:stretch>
                      <a:fillRect/>
                    </a:stretch>
                  </pic:blipFill>
                  <pic:spPr bwMode="auto">
                    <a:xfrm>
                      <a:off x="0" y="0"/>
                      <a:ext cx="1908175" cy="7620"/>
                    </a:xfrm>
                    <a:prstGeom prst="rect">
                      <a:avLst/>
                    </a:prstGeom>
                    <a:noFill/>
                  </pic:spPr>
                </pic:pic>
              </a:graphicData>
            </a:graphic>
          </wp:anchor>
        </w:drawing>
        <w:drawing>
          <wp:anchor simplePos="0" relativeHeight="251657728" behindDoc="1" locked="0" layoutInCell="0" allowOverlap="1">
            <wp:simplePos x="0" y="0"/>
            <wp:positionH relativeFrom="column">
              <wp:posOffset>1121410</wp:posOffset>
            </wp:positionH>
            <wp:positionV relativeFrom="paragraph">
              <wp:posOffset>-179070</wp:posOffset>
            </wp:positionV>
            <wp:extent cx="1908175"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3">
                      <a:extLst>
                        <a:ext uri="{28A0092B-C50C-407E-A947-70E740481C1C}"/>
                      </a:extLst>
                    </a:blip>
                    <a:srcRect/>
                    <a:stretch>
                      <a:fillRect/>
                    </a:stretch>
                  </pic:blipFill>
                  <pic:spPr bwMode="auto">
                    <a:xfrm>
                      <a:off x="0" y="0"/>
                      <a:ext cx="1908175" cy="7620"/>
                    </a:xfrm>
                    <a:prstGeom prst="rect">
                      <a:avLst/>
                    </a:prstGeom>
                    <a:noFill/>
                  </pic:spPr>
                </pic:pic>
              </a:graphicData>
            </a:graphic>
          </wp:anchor>
        </w:drawing>
      </w:r>
    </w:p>
    <w:p>
      <w:pPr>
        <w:spacing w:after="0" w:line="65"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6</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0" w:name="page321"/>
    <w:bookmarkEnd w:id="320"/>
    <w:tbl>
      <w:tblPr>
        <w:tblLayout w:type="fixed"/>
        <w:tblInd w:w="60" w:type="dxa"/>
        <w:tblCellMar>
          <w:top w:w="0" w:type="dxa"/>
          <w:left w:w="0" w:type="dxa"/>
          <w:bottom w:w="0" w:type="dxa"/>
          <w:right w:w="0" w:type="dxa"/>
        </w:tblCellMar>
      </w:tblPr>
      <w:tr>
        <w:trPr>
          <w:trHeight w:val="213"/>
        </w:trPr>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color w:val="auto"/>
                <w:w w:val="98"/>
              </w:rPr>
              <w:t>Working Capital Loan Contract</w:t>
            </w:r>
          </w:p>
        </w:tc>
      </w:tr>
      <w:tr>
        <w:trPr>
          <w:trHeight w:val="758"/>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14.</w:t>
            </w:r>
          </w:p>
        </w:tc>
        <w:tc>
          <w:tcPr>
            <w:tcW w:w="8000" w:type="dxa"/>
            <w:vAlign w:val="bottom"/>
            <w:gridSpan w:val="18"/>
          </w:tcPr>
          <w:p>
            <w:pPr>
              <w:ind w:left="20"/>
              <w:spacing w:after="0"/>
              <w:rPr>
                <w:sz w:val="20"/>
                <w:szCs w:val="20"/>
                <w:color w:val="auto"/>
              </w:rPr>
            </w:pPr>
            <w:r>
              <w:rPr>
                <w:rFonts w:ascii="Times New Roman" w:cs="Times New Roman" w:eastAsia="Times New Roman" w:hAnsi="Times New Roman"/>
                <w:sz w:val="16"/>
                <w:szCs w:val="16"/>
                <w:color w:val="auto"/>
              </w:rPr>
              <w:t>Lender entrusted payment: For loan funds payment with a clear payment object and a single payment amount exceeding</w:t>
            </w:r>
          </w:p>
        </w:tc>
        <w:tc>
          <w:tcPr>
            <w:tcW w:w="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(Currency and Amount), the</w:t>
            </w:r>
          </w:p>
        </w:tc>
      </w:tr>
      <w:tr>
        <w:trPr>
          <w:trHeight w:val="208"/>
        </w:trPr>
        <w:tc>
          <w:tcPr>
            <w:tcW w:w="3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Lender entrusted payment method should be adopted.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r>
      <w:tr>
        <w:trPr>
          <w:trHeight w:val="385"/>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15.</w:t>
            </w:r>
          </w:p>
        </w:tc>
        <w:tc>
          <w:tcPr>
            <w:tcW w:w="8000" w:type="dxa"/>
            <w:vAlign w:val="bottom"/>
            <w:gridSpan w:val="18"/>
          </w:tcPr>
          <w:p>
            <w:pPr>
              <w:ind w:left="20"/>
              <w:spacing w:after="0"/>
              <w:rPr>
                <w:sz w:val="20"/>
                <w:szCs w:val="20"/>
                <w:color w:val="auto"/>
              </w:rPr>
            </w:pPr>
            <w:r>
              <w:rPr>
                <w:rFonts w:ascii="Times New Roman" w:cs="Times New Roman" w:eastAsia="Times New Roman" w:hAnsi="Times New Roman"/>
                <w:sz w:val="16"/>
                <w:szCs w:val="16"/>
                <w:color w:val="auto"/>
              </w:rPr>
              <w:t>The guarantors and guarantee contracts that provide guarantee for the debts under this Contract include but not limited to:</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1"/>
        </w:trPr>
        <w:tc>
          <w:tcPr>
            <w:tcW w:w="1120" w:type="dxa"/>
            <w:vAlign w:val="bottom"/>
            <w:gridSpan w:val="5"/>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Guarantor</w:t>
            </w:r>
          </w:p>
        </w:tc>
        <w:tc>
          <w:tcPr>
            <w:tcW w:w="440" w:type="dxa"/>
            <w:vAlign w:val="bottom"/>
            <w:tcBorders>
              <w:bottom w:val="single" w:sz="8" w:color="auto"/>
            </w:tcBorders>
            <w:gridSpan w:val="2"/>
          </w:tcPr>
          <w:p>
            <w:pPr>
              <w:spacing w:after="0"/>
              <w:rPr>
                <w:sz w:val="24"/>
                <w:szCs w:val="24"/>
                <w:color w:val="auto"/>
              </w:rPr>
            </w:pPr>
          </w:p>
        </w:tc>
        <w:tc>
          <w:tcPr>
            <w:tcW w:w="1980" w:type="dxa"/>
            <w:vAlign w:val="bottom"/>
            <w:tcBorders>
              <w:bottom w:val="single" w:sz="8" w:color="auto"/>
            </w:tcBorders>
          </w:tcPr>
          <w:p>
            <w:pPr>
              <w:jc w:val="right"/>
              <w:ind w:right="1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1900" w:type="dxa"/>
            <w:vAlign w:val="bottom"/>
            <w:gridSpan w:val="7"/>
          </w:tcPr>
          <w:p>
            <w:pPr>
              <w:jc w:val="right"/>
              <w:ind w:right="60"/>
              <w:spacing w:after="0" w:line="195" w:lineRule="exact"/>
              <w:rPr>
                <w:sz w:val="20"/>
                <w:szCs w:val="20"/>
                <w:color w:val="auto"/>
              </w:rPr>
            </w:pPr>
            <w:r>
              <w:rPr>
                <w:rFonts w:ascii="Times New Roman" w:cs="Times New Roman" w:eastAsia="Times New Roman" w:hAnsi="Times New Roman"/>
                <w:sz w:val="16"/>
                <w:szCs w:val="16"/>
                <w:color w:val="auto"/>
              </w:rPr>
              <w:t xml:space="preserve">Guarantee Contract No. </w:t>
            </w:r>
            <w:r>
              <w:rPr>
                <w:rFonts w:ascii="SimSun" w:cs="SimSun" w:eastAsia="SimSun" w:hAnsi="SimSun"/>
                <w:sz w:val="16"/>
                <w:szCs w:val="16"/>
                <w:color w:val="auto"/>
              </w:rPr>
              <w:t>【</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gridSpan w:val="3"/>
          </w:tcPr>
          <w:p>
            <w:pPr>
              <w:ind w:left="8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9"/>
        </w:trPr>
        <w:tc>
          <w:tcPr>
            <w:tcW w:w="1140" w:type="dxa"/>
            <w:vAlign w:val="bottom"/>
            <w:gridSpan w:val="6"/>
          </w:tcPr>
          <w:p>
            <w:pPr>
              <w:ind w:left="240"/>
              <w:spacing w:after="0" w:line="184" w:lineRule="exact"/>
              <w:rPr>
                <w:sz w:val="20"/>
                <w:szCs w:val="20"/>
                <w:color w:val="auto"/>
              </w:rPr>
            </w:pPr>
            <w:r>
              <w:rPr>
                <w:rFonts w:ascii="MS PGothic" w:cs="MS PGothic" w:eastAsia="MS PGothic" w:hAnsi="MS PGothic"/>
                <w:sz w:val="16"/>
                <w:szCs w:val="16"/>
                <w:color w:val="auto"/>
                <w:w w:val="99"/>
              </w:rPr>
              <w:t>☒</w:t>
            </w:r>
            <w:r>
              <w:rPr>
                <w:rFonts w:ascii="Times New Roman" w:cs="Times New Roman" w:eastAsia="Times New Roman" w:hAnsi="Times New Roman"/>
                <w:sz w:val="16"/>
                <w:szCs w:val="16"/>
                <w:color w:val="auto"/>
                <w:w w:val="99"/>
              </w:rPr>
              <w:t xml:space="preserve"> Mortgagor</w:t>
            </w: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gridSpan w:val="6"/>
          </w:tcPr>
          <w:p>
            <w:pPr>
              <w:jc w:val="right"/>
              <w:ind w:right="60"/>
              <w:spacing w:after="0" w:line="195" w:lineRule="exact"/>
              <w:rPr>
                <w:sz w:val="20"/>
                <w:szCs w:val="20"/>
                <w:color w:val="auto"/>
              </w:rPr>
            </w:pPr>
            <w:r>
              <w:rPr>
                <w:rFonts w:ascii="Times New Roman" w:cs="Times New Roman" w:eastAsia="Times New Roman" w:hAnsi="Times New Roman"/>
                <w:sz w:val="16"/>
                <w:szCs w:val="16"/>
                <w:color w:val="auto"/>
                <w:w w:val="98"/>
              </w:rPr>
              <w:t xml:space="preserve">Mortgage Contract No. </w:t>
            </w:r>
            <w:r>
              <w:rPr>
                <w:rFonts w:ascii="SimSun" w:cs="SimSun" w:eastAsia="SimSun" w:hAnsi="SimSun"/>
                <w:sz w:val="16"/>
                <w:szCs w:val="16"/>
                <w:color w:val="auto"/>
                <w:w w:val="98"/>
              </w:rPr>
              <w:t>【</w:t>
            </w:r>
          </w:p>
        </w:tc>
        <w:tc>
          <w:tcPr>
            <w:tcW w:w="4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gridSpan w:val="3"/>
          </w:tcPr>
          <w:p>
            <w:pPr>
              <w:ind w:left="8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9"/>
        </w:trPr>
        <w:tc>
          <w:tcPr>
            <w:tcW w:w="960" w:type="dxa"/>
            <w:vAlign w:val="bottom"/>
            <w:gridSpan w:val="4"/>
          </w:tcPr>
          <w:p>
            <w:pPr>
              <w:ind w:left="240"/>
              <w:spacing w:after="0" w:line="184" w:lineRule="exact"/>
              <w:rPr>
                <w:sz w:val="20"/>
                <w:szCs w:val="20"/>
                <w:color w:val="auto"/>
              </w:rPr>
            </w:pPr>
            <w:r>
              <w:rPr>
                <w:rFonts w:ascii="MS PGothic" w:cs="MS PGothic" w:eastAsia="MS PGothic" w:hAnsi="MS PGothic"/>
                <w:sz w:val="16"/>
                <w:szCs w:val="16"/>
                <w:color w:val="auto"/>
                <w:w w:val="98"/>
              </w:rPr>
              <w:t>☒</w:t>
            </w:r>
            <w:r>
              <w:rPr>
                <w:rFonts w:ascii="Times New Roman" w:cs="Times New Roman" w:eastAsia="Times New Roman" w:hAnsi="Times New Roman"/>
                <w:sz w:val="16"/>
                <w:szCs w:val="16"/>
                <w:color w:val="auto"/>
                <w:w w:val="98"/>
              </w:rPr>
              <w:t xml:space="preserve"> Pledgee</w:t>
            </w:r>
          </w:p>
        </w:tc>
        <w:tc>
          <w:tcPr>
            <w:tcW w:w="600" w:type="dxa"/>
            <w:vAlign w:val="bottom"/>
            <w:tcBorders>
              <w:bottom w:val="single" w:sz="8" w:color="auto"/>
            </w:tcBorders>
            <w:gridSpan w:val="3"/>
          </w:tcPr>
          <w:p>
            <w:pPr>
              <w:spacing w:after="0"/>
              <w:rPr>
                <w:sz w:val="24"/>
                <w:szCs w:val="24"/>
                <w:color w:val="auto"/>
              </w:rPr>
            </w:pPr>
          </w:p>
        </w:tc>
        <w:tc>
          <w:tcPr>
            <w:tcW w:w="1980" w:type="dxa"/>
            <w:vAlign w:val="bottom"/>
            <w:tcBorders>
              <w:bottom w:val="single" w:sz="8" w:color="auto"/>
            </w:tcBorders>
          </w:tcPr>
          <w:p>
            <w:pPr>
              <w:jc w:val="right"/>
              <w:ind w:right="12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7"/>
          </w:tcPr>
          <w:p>
            <w:pPr>
              <w:jc w:val="right"/>
              <w:ind w:right="85"/>
              <w:spacing w:after="0" w:line="195" w:lineRule="exact"/>
              <w:rPr>
                <w:sz w:val="20"/>
                <w:szCs w:val="20"/>
                <w:color w:val="auto"/>
              </w:rPr>
            </w:pPr>
            <w:r>
              <w:rPr>
                <w:rFonts w:ascii="Times New Roman" w:cs="Times New Roman" w:eastAsia="Times New Roman" w:hAnsi="Times New Roman"/>
                <w:sz w:val="16"/>
                <w:szCs w:val="16"/>
                <w:color w:val="auto"/>
              </w:rPr>
              <w:t xml:space="preserve">Pledge Contract No. </w:t>
            </w:r>
            <w:r>
              <w:rPr>
                <w:rFonts w:ascii="SimSun" w:cs="SimSun" w:eastAsia="SimSun" w:hAnsi="SimSun"/>
                <w:sz w:val="16"/>
                <w:szCs w:val="16"/>
                <w:color w:val="auto"/>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77"/>
        </w:trPr>
        <w:tc>
          <w:tcPr>
            <w:tcW w:w="1560" w:type="dxa"/>
            <w:vAlign w:val="bottom"/>
            <w:gridSpan w:val="7"/>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Other guarantees</w:t>
            </w:r>
          </w:p>
        </w:tc>
        <w:tc>
          <w:tcPr>
            <w:tcW w:w="19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gridSpan w:val="6"/>
          </w:tcPr>
          <w:p>
            <w:pPr>
              <w:spacing w:after="0"/>
              <w:rPr>
                <w:sz w:val="24"/>
                <w:szCs w:val="24"/>
                <w:color w:val="auto"/>
              </w:rPr>
            </w:pPr>
          </w:p>
        </w:tc>
        <w:tc>
          <w:tcPr>
            <w:tcW w:w="102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0"/>
              </w:rPr>
              <w:t>.</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1"/>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16.</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Breach of Contract Handling</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5"/>
        </w:trPr>
        <w:tc>
          <w:tcPr>
            <w:tcW w:w="5580" w:type="dxa"/>
            <w:vAlign w:val="bottom"/>
            <w:gridSpan w:val="16"/>
          </w:tcPr>
          <w:p>
            <w:pPr>
              <w:ind w:left="280"/>
              <w:spacing w:after="0"/>
              <w:rPr>
                <w:sz w:val="20"/>
                <w:szCs w:val="20"/>
                <w:color w:val="auto"/>
              </w:rPr>
            </w:pPr>
            <w:r>
              <w:rPr>
                <w:rFonts w:ascii="Times New Roman" w:cs="Times New Roman" w:eastAsia="Times New Roman" w:hAnsi="Times New Roman"/>
                <w:sz w:val="16"/>
                <w:szCs w:val="16"/>
                <w:color w:val="auto"/>
              </w:rPr>
              <w:t>Penalty: Equivalent to __________% (in words) of the loan principal amount or</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184"/>
        </w:trPr>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r>
        <w:trPr>
          <w:trHeight w:val="377"/>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17.</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The annexs to this Contract include: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49"/>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( 1 )</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Withdrawal Application Form</w:t>
            </w: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( 2 )</w:t>
            </w:r>
          </w:p>
        </w:tc>
        <w:tc>
          <w:tcPr>
            <w:tcW w:w="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gridSpan w:val="3"/>
          </w:tcPr>
          <w:p>
            <w:pPr>
              <w:spacing w:after="0"/>
              <w:rPr>
                <w:sz w:val="24"/>
                <w:szCs w:val="24"/>
                <w:color w:val="auto"/>
              </w:rPr>
            </w:pPr>
          </w:p>
        </w:tc>
        <w:tc>
          <w:tcPr>
            <w:tcW w:w="60" w:type="dxa"/>
            <w:vAlign w:val="bottom"/>
            <w:tcBorders>
              <w:bottom w:val="single" w:sz="8" w:color="auto"/>
            </w:tcBorders>
            <w:gridSpan w:val="2"/>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5"/>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( 4 )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spacing w:after="0"/>
              <w:rPr>
                <w:sz w:val="24"/>
                <w:szCs w:val="24"/>
                <w:color w:val="auto"/>
              </w:rPr>
            </w:pPr>
          </w:p>
        </w:tc>
        <w:tc>
          <w:tcPr>
            <w:tcW w:w="120" w:type="dxa"/>
            <w:vAlign w:val="bottom"/>
            <w:gridSpan w:val="2"/>
          </w:tcPr>
          <w:p>
            <w:pPr>
              <w:jc w:val="right"/>
              <w:ind w:right="25"/>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( 5 )</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5"/>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1"/>
        </w:trPr>
        <w:tc>
          <w:tcPr>
            <w:tcW w:w="5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99"/>
              </w:rPr>
              <w:t>18.</w:t>
            </w:r>
          </w:p>
        </w:tc>
        <w:tc>
          <w:tcPr>
            <w:tcW w:w="30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Other matters agreed upon by both parties.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85"/>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377"/>
        </w:trPr>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2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19. This Contract is made in</w:t>
            </w:r>
          </w:p>
        </w:tc>
        <w:tc>
          <w:tcPr>
            <w:tcW w:w="1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triplicate</w:t>
            </w:r>
          </w:p>
        </w:tc>
        <w:tc>
          <w:tcPr>
            <w:tcW w:w="2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of which the Borrower holds</w:t>
            </w:r>
          </w:p>
        </w:tc>
        <w:tc>
          <w:tcPr>
            <w:tcW w:w="358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one   copy, the Lender holds   two   copies, and</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holds</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copies. Each</w:t>
            </w:r>
          </w:p>
        </w:tc>
      </w:tr>
      <w:tr>
        <w:trPr>
          <w:trHeight w:val="208"/>
        </w:trPr>
        <w:tc>
          <w:tcPr>
            <w:tcW w:w="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copy has the same legal effect.</w:t>
            </w:r>
          </w:p>
        </w:tc>
        <w:tc>
          <w:tcPr>
            <w:tcW w:w="114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Pr>
          <w:p>
            <w:pPr>
              <w:spacing w:after="0"/>
              <w:rPr>
                <w:sz w:val="18"/>
                <w:szCs w:val="18"/>
                <w:color w:val="auto"/>
              </w:rPr>
            </w:pPr>
          </w:p>
        </w:tc>
      </w:tr>
      <w:tr>
        <w:trPr>
          <w:trHeight w:val="385"/>
        </w:trPr>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 of Part 1)</w:t>
            </w: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81"/>
        </w:trPr>
        <w:tc>
          <w:tcPr>
            <w:tcW w:w="60" w:type="dxa"/>
            <w:vAlign w:val="bottom"/>
          </w:tcPr>
          <w:p>
            <w:pPr>
              <w:spacing w:after="0"/>
              <w:rPr>
                <w:sz w:val="24"/>
                <w:szCs w:val="24"/>
                <w:color w:val="auto"/>
              </w:rPr>
            </w:pPr>
          </w:p>
        </w:tc>
        <w:tc>
          <w:tcPr>
            <w:tcW w:w="2160" w:type="dxa"/>
            <w:vAlign w:val="bottom"/>
            <w:tcBorders>
              <w:bottom w:val="single" w:sz="8" w:color="auto"/>
            </w:tcBorders>
          </w:tcPr>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p>
        </w:tc>
        <w:tc>
          <w:tcPr>
            <w:tcW w:w="1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color w:val="auto"/>
              </w:rPr>
              <w:t>Page 7</w:t>
            </w: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ZEZAEBAA</w:t>
            </w:r>
          </w:p>
        </w:tc>
      </w:tr>
    </w:tbl>
    <w:p>
      <w:pPr>
        <w:sectPr>
          <w:pgSz w:w="11900" w:h="16838" w:orient="portrait"/>
          <w:cols w:equalWidth="0" w:num="1">
            <w:col w:w="11320"/>
          </w:cols>
          <w:pgMar w:left="260" w:top="351" w:right="319" w:bottom="1440" w:gutter="0" w:footer="0" w:header="0"/>
        </w:sectPr>
      </w:pPr>
    </w:p>
    <w:bookmarkStart w:id="321" w:name="page322"/>
    <w:bookmarkEnd w:id="321"/>
    <w:p>
      <w:pPr>
        <w:ind w:left="92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47560" cy="152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General Terms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 Loan</w:t>
      </w:r>
    </w:p>
    <w:p>
      <w:pPr>
        <w:spacing w:after="0" w:line="201" w:lineRule="exact"/>
        <w:rPr>
          <w:sz w:val="20"/>
          <w:szCs w:val="20"/>
          <w:color w:val="auto"/>
        </w:rPr>
      </w:pPr>
    </w:p>
    <w:p>
      <w:pPr>
        <w:jc w:val="both"/>
        <w:ind w:firstLine="285"/>
        <w:spacing w:after="0" w:line="262" w:lineRule="auto"/>
        <w:tabs>
          <w:tab w:leader="none" w:pos="449" w:val="left"/>
        </w:tabs>
        <w:numPr>
          <w:ilvl w:val="0"/>
          <w:numId w:val="2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irrevocably agrees and confirms that the Lender has the right to adjust or add loan disbursement conditions due to changes in laws, regulations and policies, or restrictions on the government’s macro-monetary policy or financial regulatory policy, or based on market conditions, capital position and financial cost conditions, its own business needs, the Borrower’s performance ability or financial status, or other major changes in circumstances, and may suspend, reduce or cancel the loan and notify the Borrower.</w:t>
      </w:r>
    </w:p>
    <w:p>
      <w:pPr>
        <w:spacing w:after="0" w:line="160" w:lineRule="exact"/>
        <w:rPr>
          <w:rFonts w:ascii="Times New Roman" w:cs="Times New Roman" w:eastAsia="Times New Roman" w:hAnsi="Times New Roman"/>
          <w:sz w:val="16"/>
          <w:szCs w:val="16"/>
          <w:b w:val="1"/>
          <w:bCs w:val="1"/>
          <w:color w:val="auto"/>
        </w:rPr>
      </w:pPr>
    </w:p>
    <w:p>
      <w:pPr>
        <w:jc w:val="both"/>
        <w:ind w:firstLine="285"/>
        <w:spacing w:after="0" w:line="267" w:lineRule="auto"/>
        <w:tabs>
          <w:tab w:leader="none" w:pos="457"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under this Contract shall be used in accordance with the purpose of the loan agreed in this Contract. The Borrower shall not misappropriate or embezzle the loan for fixed asset investment, equity investment, etc., nor shall it be used in the fields and for purposes prohibited by the State for production and operation or other activities that are not in line with the purpose of working capital loans.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 Loan Interest Rate and Interest Calculation Method</w:t>
      </w:r>
    </w:p>
    <w:p>
      <w:pPr>
        <w:spacing w:after="0" w:line="203" w:lineRule="exact"/>
        <w:rPr>
          <w:sz w:val="20"/>
          <w:szCs w:val="20"/>
          <w:color w:val="auto"/>
        </w:rPr>
      </w:pPr>
    </w:p>
    <w:p>
      <w:pPr>
        <w:jc w:val="both"/>
        <w:ind w:right="20" w:firstLine="285"/>
        <w:spacing w:after="0" w:line="261" w:lineRule="auto"/>
        <w:tabs>
          <w:tab w:leader="none" w:pos="452"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in this Contract, the interest on the loan under this Contract shall be calculated based on the actual withdrawal amount and the number of days occupied from the date the Lender issues the loan. The number of days occupied includes the first day and excludes the last day. Daily interest rate = monthly interest rate / 30, monthly interest rate = annual interest rate / 12, that is, daily interest rate = annual interest rate / 360. When the loan currency is British Pound, Hong Kong Dollar or Singapore Dollar, daily interest rate = annual interest rate / 365.</w:t>
      </w:r>
    </w:p>
    <w:p>
      <w:pPr>
        <w:spacing w:after="0" w:line="161"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62"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charge overdue penalty interest on the principal of the loan that is due (the term “due” in this Contract includes the situation where the Lender declares the loan to be due in advance) payable by the Borrower at the overdue rate agreed in this Contract and calculated on the actual number of days overdue, starting from the date of overdue, until the Borrower repays the principal and interest.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57"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use the loan funds for the agreed purpose, the Lender shall have the right to charge penalty interest on the amount of the loan used in breach, calculated according to the actual number of days of breach at the penalty interest rate for misappropriation agreed in this Contract, starting from the date of breach, until the Borrower repays the principal and interest.</w:t>
      </w:r>
    </w:p>
    <w:p>
      <w:pPr>
        <w:spacing w:after="0" w:line="312"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8</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453"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shall charge compound interest on the interest (including normal interest, overdue penalty interest and misappropriation penalty interest) that the Borrower fails to pay on time at the overdue penalty interest rate agreed in this Contract based on the actual number of days overdue from the date of overdue payment.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463"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upon by both parties to this Contract, the loan interest rate under this Contract shall be calculated using the “simple interest method”. The interest rate calculation method can be found on the website of the People’s Bank of China.</w:t>
      </w:r>
    </w:p>
    <w:p>
      <w:pPr>
        <w:spacing w:after="0" w:line="143"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Market Paralysis</w:t>
      </w:r>
    </w:p>
    <w:p>
      <w:pPr>
        <w:spacing w:after="0" w:line="20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After the loan is disbursed under this Contract, if there is no applicable LPR (applicable to RMB) or LIBOR/HIBOR/SIBOR (applicable to foreign currencies) interest rate on the quotation date of the relevant interest period, the Borrower shall negotiate with the Lender to determine the alternative interest rate; if no agreement can be reached within five (5) banking days after the start of the negotiation, the Borrower shall repay all principal and interest of the loan within thirty (30) banking days from the date of failure to reach an agreement. If the parties have signed a foreign currency interest rate supplementary contract or a foreign currency interest rate modification contract at the same time as signing this Contract, the interest rate shall be determined in accordance with the provisions of the supplementary contract or modification contract.</w:t>
      </w:r>
    </w:p>
    <w:p>
      <w:pPr>
        <w:spacing w:after="0" w:line="1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Article 3 Withdrawal</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Before making the first withdrawal, the Borrower shall meet the following conditions:</w:t>
      </w:r>
    </w:p>
    <w:p>
      <w:pPr>
        <w:spacing w:after="0" w:line="201" w:lineRule="exact"/>
        <w:rPr>
          <w:sz w:val="20"/>
          <w:szCs w:val="20"/>
          <w:color w:val="auto"/>
        </w:rPr>
      </w:pPr>
    </w:p>
    <w:p>
      <w:pPr>
        <w:ind w:right="20" w:firstLine="285"/>
        <w:spacing w:after="0" w:line="283" w:lineRule="auto"/>
        <w:tabs>
          <w:tab w:leader="none" w:pos="544"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Withdrawal Application (the format is shown in Annex 1 or Annex 2 of this Contract), the completed Debit (Loan) Certificate and other relevant documents in accordance with the time and method agreed upon in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and the corresponding Guarantee Contract (if any) have been signed and remain in force, and the Guarantee Right has been effectively established;</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40" w:val="left"/>
        </w:tabs>
        <w:numPr>
          <w:ilvl w:val="0"/>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Borrower’s current valid business license, company charter, and recent financial statements on the withdrawal date (including but not limited to the previous year’s annual financial report audited by a certified public accountant and current financial statements);</w:t>
      </w:r>
    </w:p>
    <w:p>
      <w:pPr>
        <w:spacing w:after="0" w:line="300" w:lineRule="exact"/>
        <w:rPr>
          <w:sz w:val="20"/>
          <w:szCs w:val="20"/>
          <w:color w:val="auto"/>
        </w:rPr>
      </w:pPr>
    </w:p>
    <w:p>
      <w:pPr>
        <w:spacing w:after="0" w:line="184" w:lineRule="exact"/>
        <w:tabs>
          <w:tab w:leader="none" w:pos="540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9</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2">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54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original copy of the loan resolution made by the Borrower’s board of directors/shareholders meeting or other institutions with equivalent effect, the authorization letter from the legal representative to the authorized representative, and the signature specimens of the legal representative and the authorized representative;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opened a relevant account with the Lender in accordance with the Lender’s requirements;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performed its obligations under this Contract and no breach of contract has occurred;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documents or conditions required by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In addition to conditions for the initial withdrawal, the Borrower shall also meet the following conditions before each withdrawal:</w:t>
      </w:r>
    </w:p>
    <w:p>
      <w:pPr>
        <w:spacing w:after="0" w:line="201" w:lineRule="exact"/>
        <w:rPr>
          <w:sz w:val="20"/>
          <w:szCs w:val="20"/>
          <w:color w:val="auto"/>
        </w:rPr>
      </w:pPr>
    </w:p>
    <w:p>
      <w:pPr>
        <w:ind w:right="20" w:firstLine="285"/>
        <w:spacing w:after="0" w:line="283" w:lineRule="auto"/>
        <w:tabs>
          <w:tab w:leader="none" w:pos="544"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the Withdrawal Application (the format is shown in Annex 1 or Annex 2 of this Contract), the completed Debit (Loan) Certificate and other relevant documents in accordance with the time and method agreed upon in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made by the Borrower under this Contract shall remain valid;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performed its obligations under this Contract and no breach of contract has occurred;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documents or conditions required by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 Withdrawal</w:t>
      </w:r>
    </w:p>
    <w:p>
      <w:pPr>
        <w:spacing w:after="0" w:line="201" w:lineRule="exact"/>
        <w:rPr>
          <w:sz w:val="20"/>
          <w:szCs w:val="20"/>
          <w:color w:val="auto"/>
        </w:rPr>
      </w:pPr>
    </w:p>
    <w:p>
      <w:pPr>
        <w:jc w:val="both"/>
        <w:ind w:right="20" w:firstLine="285"/>
        <w:spacing w:after="0" w:line="267" w:lineRule="auto"/>
        <w:tabs>
          <w:tab w:leader="none" w:pos="545"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make a one-time or installment withdrawal according to the withdrawal plan agreed upon in this Contract and shall submit a Withdrawal Application (the format of which is provided in Annex 1 or Annex 2 to this Contract) to the Lender three (3) banking days before the due date of each Withdrawal to complete the withdrawal procedures;</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4"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needs to postpone or change the withdrawal date, the Borrower shall obtain the Lender’s consent three (3) banking days before the withdrawal date. The Lender shall have the right to require the Borrower to pay the interest loss incurred by the Lender as a result (interest loss = interest on the postponed withdrawal period - interest on demand deposits during the same period);</w:t>
      </w:r>
    </w:p>
    <w:p>
      <w:pPr>
        <w:spacing w:after="0" w:line="312"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10</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4" w:name="page325"/>
    <w:bookmarkEnd w:id="324"/>
    <w:p>
      <w:pPr>
        <w:ind w:left="92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5">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85"/>
        <w:spacing w:after="0" w:line="283" w:lineRule="auto"/>
        <w:tabs>
          <w:tab w:leader="none" w:pos="523"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requests to cancel all or part of the undrawn loan, he shall apply to the Lender three (3) banking days prior to the determined withdrawal date or the end date of the withdrawal period, and the cancellation can only be made after the Lender agrees;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25"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complete the withdrawal procedures and does not apply for a delay in withdrawal on the specified withdrawal date or within the withdrawal period, the Lender has the right to cancel the undrawn loan;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has the right to waive one or more of the above withdrawal conditions without affecting any rights of the Lender under this Contract.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 Account Opening and Management</w:t>
      </w:r>
    </w:p>
    <w:p>
      <w:pPr>
        <w:spacing w:after="0" w:line="201" w:lineRule="exact"/>
        <w:rPr>
          <w:sz w:val="20"/>
          <w:szCs w:val="20"/>
          <w:color w:val="auto"/>
        </w:rPr>
      </w:pPr>
    </w:p>
    <w:p>
      <w:pPr>
        <w:jc w:val="both"/>
        <w:ind w:right="20" w:firstLine="285"/>
        <w:spacing w:after="0" w:line="268" w:lineRule="auto"/>
        <w:tabs>
          <w:tab w:leader="none" w:pos="460"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shall have opened a general settlement account and a fund withdrawal account with the Lender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see Part I of this Contract) at the time of signing this Contract, as well as a special account for working capital loans (if any) agreed upon by both parties. The Borrower agrees that the Lender shall monitor the Borrower’s aforementioned accounts.</w:t>
      </w:r>
    </w:p>
    <w:p>
      <w:pPr>
        <w:spacing w:after="0" w:line="155" w:lineRule="exact"/>
        <w:rPr>
          <w:rFonts w:ascii="Times New Roman" w:cs="Times New Roman" w:eastAsia="Times New Roman" w:hAnsi="Times New Roman"/>
          <w:sz w:val="16"/>
          <w:szCs w:val="16"/>
          <w:color w:val="auto"/>
        </w:rPr>
      </w:pPr>
    </w:p>
    <w:p>
      <w:pPr>
        <w:ind w:right="20" w:firstLine="285"/>
        <w:spacing w:after="0" w:line="283" w:lineRule="auto"/>
        <w:tabs>
          <w:tab w:leader="none" w:pos="466"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special account for working capital loans is not opened, the general settlement account shall be used to calculate the disbursement and payment of loan funds applied by the Borrower from the Lender.</w:t>
      </w:r>
    </w:p>
    <w:p>
      <w:pPr>
        <w:spacing w:after="0" w:line="14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If a special working capital loan account is opened, it is used to calculate the loan funds issued and paid by the Borrower from the Lender, and the funds in the account are calculated according to the interest of demand deposits. The Borrower agrees that in addition to the Borrower’s reserved seal, the special working capital loan account shall also reserve the Lender’s special seal for loan fund payment supervision. The Borrower cannot change the reserved seal of the special working capital loan account at will without the Lender’s written consent.</w:t>
      </w:r>
    </w:p>
    <w:p>
      <w:pPr>
        <w:spacing w:after="0" w:line="162" w:lineRule="exact"/>
        <w:rPr>
          <w:sz w:val="20"/>
          <w:szCs w:val="20"/>
          <w:color w:val="auto"/>
        </w:rPr>
      </w:pPr>
    </w:p>
    <w:p>
      <w:pPr>
        <w:ind w:firstLine="285"/>
        <w:spacing w:after="0" w:line="283" w:lineRule="auto"/>
        <w:tabs>
          <w:tab w:leader="none" w:pos="450"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confirms that the Fund Withdrawal Account is the income account and repayment reserve account under this Contract. The Borrower’s income cash flow or the Borrower’s overall cash flow shall be entered into the Fund Withdrawal Account.</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The Borrower guarantees that, on each principal and interest payment date under this Agreement and within the three (3) days prior thereto, the balance of funds in the Borrower’s repayment reserve account shall not be less than the principal and interest payment amount that the Borrower should pay in the current period. The Borrower agrees that, on each principal and interest payment date and within the three (3) days prior thereto, the Lender has the right to restrict or refuse any external payment behavior of the Borrower that will cause the balance of funds in the repayment reserve account to be less than the principal and interest payment amount that should be paid in the current period, so as to ensure that the balance of funds in the repayment reserve account is sufficient to pay the principal and interest payment amount that should be paid in the current period.</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Lender has the right to monitor the funds withdrawal account. When the fund flow in the funds withdrawal account is abnormal, the Lender has the right to find out the reason from the Borrower and take corresponding measures.</w:t>
      </w:r>
    </w:p>
    <w:p>
      <w:pPr>
        <w:spacing w:after="0" w:line="300"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11</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7">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5 Payment Supervision</w:t>
      </w:r>
    </w:p>
    <w:p>
      <w:pPr>
        <w:spacing w:after="0" w:line="203" w:lineRule="exact"/>
        <w:rPr>
          <w:sz w:val="20"/>
          <w:szCs w:val="20"/>
          <w:color w:val="auto"/>
        </w:rPr>
      </w:pPr>
    </w:p>
    <w:p>
      <w:pPr>
        <w:ind w:right="20" w:firstLine="285"/>
        <w:spacing w:after="0" w:line="283" w:lineRule="auto"/>
        <w:tabs>
          <w:tab w:leader="none" w:pos="454" w:val="left"/>
        </w:tabs>
        <w:numPr>
          <w:ilvl w:val="0"/>
          <w:numId w:val="2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that the Lender has the right to manage and control the payment of the loan funds through the Lender’s entrusted payment and/or the Borrower’s independent payment, so as to supervise the use of the loan funds in accordance with the purposes agreed in this Contract.</w:t>
      </w:r>
    </w:p>
    <w:p>
      <w:pPr>
        <w:spacing w:after="0" w:line="14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The lender’s entrusted payment means that the Lender pays the loan funds through the Borrower’s account to the Borrower’s transaction counterparty that meets the purpose agreed in this Contract based on the Borrower’s withdrawal application and payment entrustment.</w:t>
      </w:r>
    </w:p>
    <w:p>
      <w:pPr>
        <w:spacing w:after="0" w:line="14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Borrower’s autonomous payment means that after the Lender disburses the loan funds to the Borrower’s account based on the Borrower’s withdrawal application, the Borrower will independently pay it to the Borrower’s transaction counterparty for the purpose agreed in the Contract.</w:t>
      </w:r>
    </w:p>
    <w:p>
      <w:pPr>
        <w:spacing w:after="0" w:line="143" w:lineRule="exact"/>
        <w:rPr>
          <w:sz w:val="20"/>
          <w:szCs w:val="20"/>
          <w:color w:val="auto"/>
        </w:rPr>
      </w:pPr>
    </w:p>
    <w:p>
      <w:pPr>
        <w:jc w:val="both"/>
        <w:ind w:right="20" w:firstLine="285"/>
        <w:spacing w:after="0" w:line="267" w:lineRule="auto"/>
        <w:tabs>
          <w:tab w:leader="none" w:pos="468"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that if the Borrower and the Lender have newly established a credit business relationship and the Borrower’s credit status is average, or the payment object is clear and the single payment amount exceeds the amount agreed in this Contract (see Part I of this Contract), or other circumstances determined by the Lender, the Lender’s entrusted payment method shall be adopted.</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Lender is entrusted to pay, the Lender has the right to review the payment object, payment amount and other information listed in the payment application provided by the Borrower based on the loan purpose agreed in the loan contract to see if they are consistent with the corresponding business contract and other supporting materials. After review and approval, the Lender will pay the loan funds to the Borrower’s trading counterparty through the Borrower’s account.</w:t>
      </w:r>
    </w:p>
    <w:p>
      <w:pPr>
        <w:spacing w:after="0" w:line="312"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12</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9">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285"/>
        <w:spacing w:after="0" w:line="283" w:lineRule="auto"/>
        <w:tabs>
          <w:tab w:leader="none" w:pos="452"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Borrower applies to the Lender for external payment of loan funds, he shall submit supporting documents that meet the Lender’s requirements, including but not limited to:</w:t>
      </w:r>
    </w:p>
    <w:p>
      <w:pPr>
        <w:spacing w:after="0" w:line="143" w:lineRule="exact"/>
        <w:rPr>
          <w:sz w:val="20"/>
          <w:szCs w:val="20"/>
          <w:color w:val="auto"/>
        </w:rPr>
      </w:pPr>
    </w:p>
    <w:p>
      <w:pPr>
        <w:ind w:left="520" w:hanging="235"/>
        <w:spacing w:after="0"/>
        <w:tabs>
          <w:tab w:leader="none" w:pos="52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Documents proving that the purpose of payment is in accordance with the purpose agreed in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8"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contracts and written documents that truly reflect the Borrower’s payment obligations. For fees that must be paid without signing a contract, the charging policy and standards approved by the competent authority should be provided;</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34"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corresponding invoice or receipt is not available at the time of payment, the Borrower shall promptly submit the corresponding invoice or receipt after the payment is completed;</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valid payment voucher;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documents required by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has the right to waive one or more of the above-mentioned certification documents, without affecting any rights of the Lender under this Contract.</w:t>
      </w:r>
    </w:p>
    <w:p>
      <w:pPr>
        <w:spacing w:after="0" w:line="201" w:lineRule="exact"/>
        <w:rPr>
          <w:sz w:val="20"/>
          <w:szCs w:val="20"/>
          <w:color w:val="auto"/>
        </w:rPr>
      </w:pPr>
    </w:p>
    <w:p>
      <w:pPr>
        <w:jc w:val="both"/>
        <w:ind w:firstLine="285"/>
        <w:spacing w:after="0" w:line="261" w:lineRule="auto"/>
        <w:tabs>
          <w:tab w:leader="none" w:pos="456" w:val="left"/>
        </w:tabs>
        <w:numPr>
          <w:ilvl w:val="0"/>
          <w:numId w:val="2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special account for working capital loan is not opened, the Borrower shall submit a withdrawal application (see Appendix 1 of this Contract for the format) to the Lender three (3) banking days before the intended withdrawal date, and at the same time propose whether to adopt the Lender’s entrusted payment method or the Borrower’s independent payment method. The Borrower confirms that the Lender has the right to review whether the Borrower’s relevant information meets the payment conditions stipulated in this Contract and has the right to decide on the payment method of the corresponding loan.</w:t>
      </w:r>
    </w:p>
    <w:p>
      <w:pPr>
        <w:spacing w:after="0" w:line="162"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In case of opening a special account for working capital loan and adopting the method of entrusted payment by the Lender, the Borrower shall submit to the Lender a payment application (format as shown in Appendix 3 of this Contract) with the reserved seal of the Borrower for the special account for working capital loan three (3) banking business days before the payment date. The Lender shall have the right to review whether the relevant information of the Borrower meets the payment conditions stipulated in this Contract. If the Lender approves the review, the payment voucher shall be stamped with the special seal for loan fund payment supervision and then the payment shall be made. In case of adopting the method of independent payment by the Borrower, the Borrower shall submit to the Lender a payment application (format as shown in Appendix 3 of this contract) and relevant information three (3) banking business days in advance. The Lender shall have the right to review whether the relevant information submitted by the Borrower meets the conditions stipulated in this contract. If the Lender approves the application, the Borrower shall fill in the payment voucher (the amount of each summary payment voucher shall not exceed the amount entrusted by the Lender stipulated in this Contract). After review, the Lender shall stamp the special seal for loan fund payment supervision on the summary payment voucher and transfer the corresponding funds to the general settlement account of the Borrower.</w:t>
      </w:r>
    </w:p>
    <w:p>
      <w:pPr>
        <w:spacing w:after="0" w:line="321"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13</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09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1">
                      <a:extLst>
                        <a:ext uri="{28A0092B-C50C-407E-A947-70E740481C1C}"/>
                      </a:extLst>
                    </a:blip>
                    <a:srcRect/>
                    <a:stretch>
                      <a:fillRect/>
                    </a:stretch>
                  </pic:blipFill>
                  <pic:spPr bwMode="auto">
                    <a:xfrm>
                      <a:off x="0" y="0"/>
                      <a:ext cx="7147560" cy="220980"/>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85"/>
        <w:spacing w:after="0" w:line="267" w:lineRule="auto"/>
        <w:tabs>
          <w:tab w:leader="none" w:pos="449"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adopts the self-payment method, the Borrower shall regularly report to the Lender on the self-payment of the loan funds on a monthly basis. The Lender has the right to verify whether the Borrower’s loan payment complies with the agreed purpose and payment method through account analysis, voucher inspection, on-site investigation, etc.</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56"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confirms that he shall pay the Lender the remittance fee incurred in the payment of loan funds. When the remittance fee is incurred, the Lender has the right to directly deduct the actual amount.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458"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process of loan issuance and payment, if the Borrower encounters any of the following circumstances, the Lender has the right to require the Borrower to supplement the withdrawal conditions and payment conditions, or change the loan payment method, or stop the issuance and payment of loan funds:</w:t>
      </w:r>
    </w:p>
    <w:p>
      <w:pPr>
        <w:spacing w:after="0" w:line="143" w:lineRule="exact"/>
        <w:rPr>
          <w:sz w:val="20"/>
          <w:szCs w:val="20"/>
          <w:color w:val="auto"/>
        </w:rPr>
      </w:pPr>
    </w:p>
    <w:p>
      <w:pPr>
        <w:ind w:left="520" w:hanging="235"/>
        <w:spacing w:after="0"/>
        <w:tabs>
          <w:tab w:leader="none" w:pos="52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status declines;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profitability of the main business is not strong;</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abnormalities in the use of loan funds.</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14</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6 Repayment</w:t>
      </w:r>
    </w:p>
    <w:p>
      <w:pPr>
        <w:spacing w:after="0" w:line="203" w:lineRule="exact"/>
        <w:rPr>
          <w:sz w:val="20"/>
          <w:szCs w:val="20"/>
          <w:color w:val="auto"/>
        </w:rPr>
      </w:pPr>
    </w:p>
    <w:p>
      <w:pPr>
        <w:jc w:val="both"/>
        <w:ind w:firstLine="285"/>
        <w:spacing w:after="0" w:line="267" w:lineRule="auto"/>
        <w:tabs>
          <w:tab w:leader="none" w:pos="453"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the principal, interest and related expenses of the loan in a timely and full manner in accordance with the repayment plan agreed upon in this Contract. The Borrower hereby irrevocably authorizes the Lender to deduct the aforementioned amount from the Borrower’s account opened with the Lender on the due date of the loan or when the conditions agreed upon in this Contract are met to repay the Lender’s debt.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If the Borrower repays the loan in advance, he shall submit a written application to the Lender and obtain the Lender’s written consent before the tenth (10th) banking day before the expected repayment date. If the Lender’s prior written consent is not obtained, the Borrower shall still repay the principal and interest in accordance with the term and interest rate agreed in the Contract.</w:t>
      </w:r>
    </w:p>
    <w:p>
      <w:pPr>
        <w:spacing w:after="0" w:line="154"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Early repayment agreed by the Lender shall be deemed as the early maturity of the loan. </w:t>
      </w:r>
      <w:r>
        <w:rPr>
          <w:rFonts w:ascii="Times New Roman" w:cs="Times New Roman" w:eastAsia="Times New Roman" w:hAnsi="Times New Roman"/>
          <w:sz w:val="16"/>
          <w:szCs w:val="16"/>
          <w:color w:val="auto"/>
        </w:rPr>
        <w:t>In this case, the Lender also has the right to require the Borrower to pay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amount of liquidated damages as agreed in this Contract (see Part I of this Contract).</w:t>
      </w:r>
    </w:p>
    <w:p>
      <w:pPr>
        <w:spacing w:after="0" w:line="14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interest on early repayment shall be calculated based on the actual number of days the Borrower has used the funds, and shall be repaid together with the principal; the amount of the principal repaid in advance shall not be less than the limit agreed in Part I of this Contract; the repaid principal shall be deducted from the principal of the loan in the reverse order of the repayment plan agreed in this Contract.</w:t>
      </w:r>
    </w:p>
    <w:p>
      <w:pPr>
        <w:spacing w:after="0" w:line="156" w:lineRule="exact"/>
        <w:rPr>
          <w:sz w:val="20"/>
          <w:szCs w:val="20"/>
          <w:color w:val="auto"/>
        </w:rPr>
      </w:pPr>
    </w:p>
    <w:p>
      <w:pPr>
        <w:jc w:val="both"/>
        <w:ind w:firstLine="285"/>
        <w:spacing w:after="0" w:line="259" w:lineRule="auto"/>
        <w:tabs>
          <w:tab w:leader="none" w:pos="45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is unable to repay the loan on time due to legitimate reasons, he shall apply to the Lender for loan extension before the 30th banking business day of the repayment period agreed in this Contract, and prepare necessary materials to go through the relevant extension procedures. If the loan under this Contract is guaranteed by guarantee, mortgage or pledge, the guarantor, mortgagor and pledgor shall also provide a written consent certificate. Whether to agree to the extension is decided by the Lender. If the Borrower does not apply for an extension or the application for extension is not approved by the Lender, the loan will be transferred to the overdue loan from the day after the due date.</w:t>
      </w:r>
    </w:p>
    <w:p>
      <w:pPr>
        <w:spacing w:after="0" w:line="161"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not re-draw any loan funds that have been repaid.</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15</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7 Representations and Warranties</w:t>
      </w:r>
    </w:p>
    <w:p>
      <w:pPr>
        <w:spacing w:after="0" w:line="20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 makes the following representations and warranties to the Lender, which are made upon the signing of this Contract and shall remain valid during the validity period of this Contract.</w:t>
      </w:r>
    </w:p>
    <w:p>
      <w:pPr>
        <w:spacing w:after="0" w:line="143" w:lineRule="exact"/>
        <w:rPr>
          <w:sz w:val="20"/>
          <w:szCs w:val="20"/>
          <w:color w:val="auto"/>
        </w:rPr>
      </w:pPr>
    </w:p>
    <w:p>
      <w:pPr>
        <w:ind w:firstLine="285"/>
        <w:spacing w:after="0" w:line="283" w:lineRule="auto"/>
        <w:tabs>
          <w:tab w:leader="none" w:pos="468"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an enterprise (institution) legal person or other economic organization established in accordance with the applicable laws, with independent legal personality, complete financial system and repayment capacity, and has the right to enter into and perform this Contract in accordance with the law.</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73"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the right to sign this Contract and has completed all authorizations and approvals from the shareholders’ meeting, board of directors or other authorized institutions required to sign this Contract and perform its obligations under this Contract. All clauses of this Contract are the Borrower’s true intention and are legally binding on the Borrower.</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452"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signing and performance of this Contract shall not violate the laws that the Borrower shall comply with (the laws under this Contract include the laws, regulations, rules, local regulations, judicial interpretations, etc. that the Borrower shall comply with, the same below), the relevant documents, judgments and rulings of the competent authorities, nor conflict with the Borrower’s Articles of Association or any contract, agreement signed or any other obligations undertaken by the Borrower.</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5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all financial statements (if any) issued by him comply with the provisions of applicable laws and that the statements truly, completely and fairly reflect the financial status of the Borrower.</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56"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abide by the principle of honesty and trustworthiness in the process of signing and performing this Contract, and all the materials, documents and information (including but not limited to business license, project approval documents, feasibility study report, proof of self-raised funds, financial statements, etc.) provided by the Borrower to the Lender, including itself and the guarantor, shall be true, valid, accurate and complete without any concealment or omission.</w:t>
      </w:r>
    </w:p>
    <w:p>
      <w:pPr>
        <w:spacing w:after="0" w:line="155"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the filing, registration or other formalities required for the validity and legal performance of this Contract have been completed.</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16</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9">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471"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have been no significant adverse changes in the operating and financial conditions of the Borrower since the issuance of the most recent audited financial statements.</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56"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Strictly abide by the law in business activities, carry out various businesses in strict accordance with the provisions of the Borrower’s business license or the business scope approved by law, complete the registration and annual inspection procedures on time, produce and operate legally and in compliance with regulations, have the ability to continue to operate, and have a legal source of repayment.</w:t>
      </w:r>
    </w:p>
    <w:p>
      <w:pPr>
        <w:spacing w:after="0" w:line="155"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not give up any matured claims, and do not dispose of existing major assets without compensation or in other inappropriate ways.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9"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disclosed to the Lender the facts and conditions that he knows or should know and which are important for the Lender to decide whether to grant the loan under this Contract (including but not limited to operating conditions, financial conditions, external guarantees, etc.).</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his credit status is good and has no major bad records.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warrants that there are no other circumstances or events that have or may have a significant adverse impact on the Borrower’s ability to perform.</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8 Agreement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and the Lender agree as follows:</w:t>
      </w:r>
    </w:p>
    <w:p>
      <w:pPr>
        <w:spacing w:after="0" w:line="201" w:lineRule="exact"/>
        <w:rPr>
          <w:sz w:val="20"/>
          <w:szCs w:val="20"/>
          <w:color w:val="auto"/>
        </w:rPr>
      </w:pPr>
    </w:p>
    <w:p>
      <w:pPr>
        <w:jc w:val="both"/>
        <w:ind w:right="20" w:firstLine="285"/>
        <w:spacing w:after="0" w:line="267" w:lineRule="auto"/>
        <w:tabs>
          <w:tab w:leader="none" w:pos="467"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to operate in accordance with the law and use the loan for the purpose agreed in this Contract and not to use it for other purposes. The Borrower shall provide various financial and accounting materials including monthly and annual reports regularly according to the requirements of the Lender, and actively cooperate with the Lender to supervise the use of the loan and the Borrower’s business. The Lender may check and supervise the use of the loan at any time in various ways.</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64"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the principal and interest of the loan under this Contract in accordance with the time, amount, currency and interest rate specified in this Contract, the Application Form and the Debit (Loan) Certificate.</w:t>
      </w:r>
    </w:p>
    <w:p>
      <w:pPr>
        <w:spacing w:after="0" w:line="300"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17</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85"/>
        <w:spacing w:after="0" w:line="283" w:lineRule="auto"/>
        <w:tabs>
          <w:tab w:leader="none" w:pos="458"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if any event occurs or is about to occur that is likely to have a significant adverse impact on the financial status of the Guarantor or its ability to perform its guarantee obligations, the Borrower will promptly provide new guarantees approved by the Lender.</w:t>
      </w:r>
    </w:p>
    <w:p>
      <w:pPr>
        <w:spacing w:after="0" w:line="143"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promises that he will not take the following actions without the written consent of the Lender:</w:t>
      </w:r>
    </w:p>
    <w:p>
      <w:pPr>
        <w:spacing w:after="0" w:line="201" w:lineRule="exact"/>
        <w:rPr>
          <w:sz w:val="20"/>
          <w:szCs w:val="20"/>
          <w:color w:val="auto"/>
        </w:rPr>
      </w:pPr>
    </w:p>
    <w:p>
      <w:pPr>
        <w:ind w:left="520" w:hanging="235"/>
        <w:spacing w:after="0"/>
        <w:tabs>
          <w:tab w:leader="none" w:pos="52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(including by sale, donation, debt repayment, exchange, etc.), mortgage, pledge or other disposal of all or most of its major assets;</w:t>
      </w:r>
    </w:p>
    <w:p>
      <w:pPr>
        <w:spacing w:after="0" w:line="200"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Contracting, joint venture, major foreign investment, change in actual controller or major shareholder, shareholding system reform, merger (acquisition), joint venture (cooperation), division, equity transfer, substantial increase in debt financing, establishment of subsidiaries, property transfer, capital reduction, suspension of business, dissolution, application for bankruptcy, reorganization or cancellation, and other actions that may affect the Borrower’s repayment ability;</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528"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 guarantee to a third party that is sufficient to have a significant adverse effect on its financial condition or its ability to perform its obligations under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Prepayment of other long-term debts in advance may have a significant adverse impact on the Borrower’s ability to perform its obligations under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Signing any contract/agreement that has a significant adverse effect on the Borrower’s ability to perform its obligations under this Contract or assuming any relevant obligation that has such an effect.</w:t>
      </w:r>
    </w:p>
    <w:p>
      <w:pPr>
        <w:spacing w:after="0" w:line="143" w:lineRule="exact"/>
        <w:rPr>
          <w:sz w:val="20"/>
          <w:szCs w:val="20"/>
          <w:color w:val="auto"/>
        </w:rPr>
      </w:pPr>
    </w:p>
    <w:p>
      <w:pPr>
        <w:ind w:right="20" w:firstLine="285"/>
        <w:spacing w:after="0" w:line="283" w:lineRule="auto"/>
        <w:tabs>
          <w:tab w:leader="none" w:pos="453"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undertakes that, if the following events occur, the Borrower will immediately notify the Lender on the date of the event and deliver the original relevant notice to the Lender (with official seal) within five (5) banking days from the date of the event:</w:t>
      </w:r>
    </w:p>
    <w:p>
      <w:pPr>
        <w:spacing w:after="0" w:line="143" w:lineRule="exact"/>
        <w:rPr>
          <w:sz w:val="20"/>
          <w:szCs w:val="20"/>
          <w:color w:val="auto"/>
        </w:rPr>
      </w:pPr>
    </w:p>
    <w:p>
      <w:pPr>
        <w:ind w:left="520" w:hanging="235"/>
        <w:spacing w:after="0"/>
        <w:tabs>
          <w:tab w:leader="none" w:pos="52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 event causes the representations and warranties made by the Borrower in this Contract to become untrue, inaccurate or invalid.</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0"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controlling shareholder, actual controller or its affiliates are involved in litigation or arbitration, or their assets are seized, sealed, frozen, enforced or other measures with similar effect are taken against them, or their legal representative/person in charge is involved in litigation, arbitration or other compulsory measures;</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36"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representative or his authorized agent, person in charge, principal financial officer, correspondence address, company name, office location, etc. of the Borrower are changed;</w:t>
      </w:r>
    </w:p>
    <w:p>
      <w:pPr>
        <w:spacing w:after="0" w:line="300"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18</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5">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235"/>
        <w:spacing w:after="0"/>
        <w:tabs>
          <w:tab w:leader="none" w:pos="52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applied for reorganization or bankruptcy by other creditors or is revoked by the superior authority;</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significant adverse event that may affect the Borrower’s ability to repay its debts occurs.</w:t>
      </w:r>
    </w:p>
    <w:p>
      <w:pPr>
        <w:spacing w:after="0" w:line="201" w:lineRule="exact"/>
        <w:rPr>
          <w:sz w:val="20"/>
          <w:szCs w:val="20"/>
          <w:color w:val="auto"/>
        </w:rPr>
      </w:pPr>
    </w:p>
    <w:p>
      <w:pPr>
        <w:ind w:firstLine="285"/>
        <w:spacing w:after="0" w:line="283" w:lineRule="auto"/>
        <w:tabs>
          <w:tab w:leader="none" w:pos="454"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guarantees that he will not repay other loans in priority in violation of the normal repayment order, and will not sign any contract or agreement that will make the loans under this Contract subordinate now or in the future.</w:t>
      </w:r>
    </w:p>
    <w:p>
      <w:pPr>
        <w:spacing w:after="0" w:line="143" w:lineRule="exact"/>
        <w:rPr>
          <w:rFonts w:ascii="Times New Roman" w:cs="Times New Roman" w:eastAsia="Times New Roman" w:hAnsi="Times New Roman"/>
          <w:sz w:val="16"/>
          <w:szCs w:val="16"/>
          <w:color w:val="auto"/>
        </w:rPr>
      </w:pPr>
    </w:p>
    <w:p>
      <w:pPr>
        <w:jc w:val="both"/>
        <w:ind w:firstLine="285"/>
        <w:spacing w:after="0" w:line="259" w:lineRule="auto"/>
        <w:tabs>
          <w:tab w:leader="none" w:pos="457"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repay and pay the principal and interest of the loan under this Contract in the same currency as far as possible. If the Borrower repays the debt in different currencies, the Borrower shall, by himself or by authorizing the Lender, convert the different currencies into the loan currency under this Contract in accordance with the “Deduction Agreement” of this Contract to repay the principal and interest owed, and the expenses incurred shall be borne by the Borrower. When the Guarantor repays the debt on behalf of the Borrower in different currencies, the “Deduction Agreement” of the Guarantee Contract shall be followed, and the expenses incurred shall be borne by the Borrower.</w:t>
      </w:r>
    </w:p>
    <w:p>
      <w:pPr>
        <w:spacing w:after="0" w:line="161" w:lineRule="exact"/>
        <w:rPr>
          <w:rFonts w:ascii="Times New Roman" w:cs="Times New Roman" w:eastAsia="Times New Roman" w:hAnsi="Times New Roman"/>
          <w:sz w:val="16"/>
          <w:szCs w:val="16"/>
          <w:color w:val="auto"/>
        </w:rPr>
      </w:pPr>
    </w:p>
    <w:p>
      <w:pPr>
        <w:jc w:val="both"/>
        <w:ind w:right="20" w:firstLine="285"/>
        <w:spacing w:after="0" w:line="257" w:lineRule="auto"/>
        <w:tabs>
          <w:tab w:leader="none" w:pos="45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guarantee under this Contract encounters specific circumstances or specific changes, the Borrower shall provide other guarantees approved by the Lender in a timely manner in accordance with the Lender’s requirements. Such specific circumstances or specific changes include but are not limited to the guarantor’s suspension of production, suspension of business, dissolution, suspension of business for rectification, revocation or cancellation of business license, application for or application for reorganization, bankruptcy, major changes in business or financial status, involvement in major litigation or arbitration cases, involvement of legal representatives, directors, supervisors, and major operating and management personnel, reduction or possible reduction in the value of the collateral, or property preservation measures such as seizure, breach of contract under the guarantee contract, and request for termination of the guarantee contract.</w:t>
      </w:r>
    </w:p>
    <w:p>
      <w:pPr>
        <w:spacing w:after="0" w:line="164" w:lineRule="exact"/>
        <w:rPr>
          <w:rFonts w:ascii="Times New Roman" w:cs="Times New Roman" w:eastAsia="Times New Roman" w:hAnsi="Times New Roman"/>
          <w:sz w:val="16"/>
          <w:szCs w:val="16"/>
          <w:color w:val="auto"/>
        </w:rPr>
      </w:pPr>
    </w:p>
    <w:p>
      <w:pPr>
        <w:jc w:val="both"/>
        <w:ind w:firstLine="285"/>
        <w:spacing w:after="0" w:line="267" w:lineRule="auto"/>
        <w:tabs>
          <w:tab w:leader="none" w:pos="472"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conduct on-site or off-site due diligence on the Borrower and conduct post-loan inspections on the Borrower’s operating conditions, financial conditions, external guarantees, use of loan funds, repayment conditions, etc. The Borrower has the obligation to actively cooperate with the Lender in loan payment management, post-loan management and related inspections.</w:t>
      </w:r>
    </w:p>
    <w:p>
      <w:pPr>
        <w:spacing w:after="0" w:line="312"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19</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8">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hanging="235"/>
        <w:spacing w:after="0"/>
        <w:tabs>
          <w:tab w:leader="none" w:pos="52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recover the loan funds under this Contract in advance according to the Borrower’s fund withdrawn situation.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regarding group customers (applicable to group customers).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Borrower of this Contract is a group customer, the Borrower hereby promises:</w:t>
      </w:r>
    </w:p>
    <w:p>
      <w:pPr>
        <w:spacing w:after="0" w:line="165" w:lineRule="exact"/>
        <w:rPr>
          <w:sz w:val="20"/>
          <w:szCs w:val="20"/>
          <w:color w:val="auto"/>
        </w:rPr>
      </w:pPr>
    </w:p>
    <w:p>
      <w:pPr>
        <w:jc w:val="both"/>
        <w:ind w:right="20" w:firstLine="285"/>
        <w:spacing w:after="0" w:line="210" w:lineRule="exact"/>
        <w:tabs>
          <w:tab w:leader="none" w:pos="536"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shall promptly report any related-party transactions involving more than 10% of the net assets of the actual trustee, including: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the relationship between the parties to the transaction;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transaction items and nature of the transaction;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the transaction amount or the corresponding proportion;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the pricing policy (including transactions with no amount or only a symbolic amount).</w:t>
      </w:r>
    </w:p>
    <w:p>
      <w:pPr>
        <w:spacing w:after="0" w:line="177" w:lineRule="exact"/>
        <w:rPr>
          <w:rFonts w:ascii="Times New Roman" w:cs="Times New Roman" w:eastAsia="Times New Roman" w:hAnsi="Times New Roman"/>
          <w:sz w:val="16"/>
          <w:szCs w:val="16"/>
          <w:color w:val="auto"/>
        </w:rPr>
      </w:pPr>
    </w:p>
    <w:p>
      <w:pPr>
        <w:jc w:val="both"/>
        <w:ind w:firstLine="285"/>
        <w:spacing w:after="0" w:line="198" w:lineRule="exact"/>
        <w:tabs>
          <w:tab w:leader="none" w:pos="521"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actual creditee has any of the following circumstances, it shall be deemed that the Borrower has breached the contract under this Contract, and the Lender shall have the right to unilaterally decide to cancel the credit that the customer has not used, and to recover part or all of the credit that has been used or require the customer to add a margin to 100%: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Providing false materials or concealing important operating and financial facts;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Changing the original purpose of the credit without the consent of the Lender, misappropriating the credit or using the bank credit for illegal or irregular transactions;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Using false contracts with related parties to discount or pledge bills receivable, accounts receivable and other debts without actual trade background to the bank to obtain bank funds or credit;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Refusing to accept the Lender’s supervision and inspection of its use of credit funds and related operating and financial activities;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There are significant mergers, acquisitions, reorganizations, etc., which the Lender believes may affect the safety of the credit; </w:t>
      </w:r>
      <w:r>
        <w:rPr>
          <w:rFonts w:ascii="MS PGothic" w:cs="MS PGothic" w:eastAsia="MS PGothic" w:hAnsi="MS PGothic"/>
          <w:sz w:val="16"/>
          <w:szCs w:val="16"/>
          <w:color w:val="auto"/>
        </w:rPr>
        <w:t>⑥</w:t>
      </w:r>
      <w:r>
        <w:rPr>
          <w:rFonts w:ascii="Times New Roman" w:cs="Times New Roman" w:eastAsia="Times New Roman" w:hAnsi="Times New Roman"/>
          <w:sz w:val="16"/>
          <w:szCs w:val="16"/>
          <w:color w:val="auto"/>
        </w:rPr>
        <w:t xml:space="preserve"> Intentionally evading bank debts through related transactions.</w:t>
      </w:r>
    </w:p>
    <w:p>
      <w:pPr>
        <w:spacing w:after="0" w:line="155" w:lineRule="exact"/>
        <w:rPr>
          <w:sz w:val="20"/>
          <w:szCs w:val="20"/>
          <w:color w:val="auto"/>
        </w:rPr>
      </w:pPr>
    </w:p>
    <w:p>
      <w:pPr>
        <w:jc w:val="both"/>
        <w:ind w:right="20" w:firstLine="285"/>
        <w:spacing w:after="0" w:line="259" w:lineRule="auto"/>
        <w:tabs>
          <w:tab w:leader="none" w:pos="535"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guarantees, commitments and agreements on Green Credit (applicable to borrowers whose construction, production and operation activities of nuclear power plants, large hydropower plants, water conservancy projects, resource mining projects, etc. are likely to seriously change the original state of the environment and the adverse environmental and social consequences are difficult to eliminate, and borrowers whose construction, production and operation activities of petroleum processing, coking and nuclear fuel processing, chemical raw materials and chemical product manufacturing, etc. will produce adverse environmental and social consequences but are easier to eliminate through mitigation measures):</w:t>
      </w:r>
    </w:p>
    <w:p>
      <w:pPr>
        <w:spacing w:after="0" w:line="162" w:lineRule="exact"/>
        <w:rPr>
          <w:sz w:val="20"/>
          <w:szCs w:val="20"/>
          <w:color w:val="auto"/>
        </w:rPr>
      </w:pPr>
    </w:p>
    <w:p>
      <w:pPr>
        <w:jc w:val="both"/>
        <w:ind w:firstLine="285"/>
        <w:spacing w:after="0" w:line="207" w:lineRule="exact"/>
        <w:tabs>
          <w:tab w:leader="none" w:pos="518" w:val="left"/>
        </w:tabs>
        <w:numPr>
          <w:ilvl w:val="0"/>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undertakes to submit an environmental, social and governance risk report to the Lender and declares and guarantees to strengthen environmental, social and governance risk management, including: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The internal management documents related to environmental, social and governance risks comply with the requirements of laws and regulations and are effectively implemented;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There are no major litigation cases involving environmental, social and governance risks;</w:t>
      </w:r>
    </w:p>
    <w:p>
      <w:pPr>
        <w:spacing w:after="0" w:line="30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20</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0">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398" w:lineRule="exact"/>
        <w:rPr>
          <w:sz w:val="20"/>
          <w:szCs w:val="20"/>
          <w:color w:val="auto"/>
        </w:rPr>
      </w:pPr>
    </w:p>
    <w:p>
      <w:pPr>
        <w:jc w:val="both"/>
        <w:ind w:firstLine="285"/>
        <w:spacing w:after="0" w:line="198" w:lineRule="exact"/>
        <w:tabs>
          <w:tab w:leader="none" w:pos="516"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commits to accept the Lender’s supervision and strengthen the management of environmental, social and governance risks, including: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Committing to comply with the regulations in all its behaviors and performances related to environmental, social and governance risks;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Committing to establish and improve the internal management system for environmental, social and governance risks, and specify in detail the responsibilities, obligations and penalties of the Borrower’s relevant responsible persons;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Committing to establish and improve the emergency response mechanism and measures for environmental, social and governance risk emergencies;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Committing to set up a special department and/or designate special personnel to be responsible for environmental, social and governance risk matters;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Committing to cooperate with the Lender or a third party recognized by him in assessing and inspecting the Borrower’s environmental, social and governance risks; </w:t>
      </w:r>
      <w:r>
        <w:rPr>
          <w:rFonts w:ascii="MS PGothic" w:cs="MS PGothic" w:eastAsia="MS PGothic" w:hAnsi="MS PGothic"/>
          <w:sz w:val="16"/>
          <w:szCs w:val="16"/>
          <w:color w:val="auto"/>
        </w:rPr>
        <w:t>⑥</w:t>
      </w:r>
      <w:r>
        <w:rPr>
          <w:rFonts w:ascii="Times New Roman" w:cs="Times New Roman" w:eastAsia="Times New Roman" w:hAnsi="Times New Roman"/>
          <w:sz w:val="16"/>
          <w:szCs w:val="16"/>
          <w:color w:val="auto"/>
        </w:rPr>
        <w:t xml:space="preserve"> Committing to give appropriate responses or take other necessary actions in the face of strong doubts from the public or other stakeholders on the Borrower’s performance in controlling environmental, social and governance risks; </w:t>
      </w:r>
      <w:r>
        <w:rPr>
          <w:rFonts w:ascii="MS PGothic" w:cs="MS PGothic" w:eastAsia="MS PGothic" w:hAnsi="MS PGothic"/>
          <w:sz w:val="16"/>
          <w:szCs w:val="16"/>
          <w:color w:val="auto"/>
        </w:rPr>
        <w:t>⑦</w:t>
      </w:r>
      <w:r>
        <w:rPr>
          <w:rFonts w:ascii="Times New Roman" w:cs="Times New Roman" w:eastAsia="Times New Roman" w:hAnsi="Times New Roman"/>
          <w:sz w:val="16"/>
          <w:szCs w:val="16"/>
          <w:color w:val="auto"/>
        </w:rPr>
        <w:t xml:space="preserve"> Committing to urge the Borrower’s key related parties to strengthen management to prevent the transmission of environmental, social and governance risks of related parties to the Borrower; </w:t>
      </w:r>
      <w:r>
        <w:rPr>
          <w:rFonts w:ascii="MS PGothic" w:cs="MS PGothic" w:eastAsia="MS PGothic" w:hAnsi="MS PGothic"/>
          <w:sz w:val="16"/>
          <w:szCs w:val="16"/>
          <w:color w:val="auto"/>
        </w:rPr>
        <w:t>⑧</w:t>
      </w:r>
      <w:r>
        <w:rPr>
          <w:rFonts w:ascii="Times New Roman" w:cs="Times New Roman" w:eastAsia="Times New Roman" w:hAnsi="Times New Roman"/>
          <w:sz w:val="16"/>
          <w:szCs w:val="16"/>
          <w:color w:val="auto"/>
        </w:rPr>
        <w:t xml:space="preserve"> Committing to perform other matters that the Lender considers relevant to the control of environmental, social and governance risks;</w:t>
      </w:r>
    </w:p>
    <w:p>
      <w:pPr>
        <w:spacing w:after="0" w:line="146" w:lineRule="exact"/>
        <w:rPr>
          <w:rFonts w:ascii="Times New Roman" w:cs="Times New Roman" w:eastAsia="Times New Roman" w:hAnsi="Times New Roman"/>
          <w:sz w:val="16"/>
          <w:szCs w:val="16"/>
          <w:color w:val="auto"/>
        </w:rPr>
      </w:pPr>
    </w:p>
    <w:p>
      <w:pPr>
        <w:jc w:val="both"/>
        <w:ind w:firstLine="285"/>
        <w:spacing w:after="0" w:line="201" w:lineRule="exact"/>
        <w:tabs>
          <w:tab w:leader="none" w:pos="544"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undertakes to inform the Lender in a timely and adequate manner when the following situations occur: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All kinds of permits, approvals and ratifications related to environmental, social and governance risks during the commencement, construction, operation and closure of the project;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assessment and inspection of the environmental, social and governance risks of the Borrower by the environmental, social and governance risk regulatory agency or its recognized agency;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The supporting construction and operation of environmental facilities;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The emission and compliance of pollutants;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The safety and health of employees; </w:t>
      </w:r>
      <w:r>
        <w:rPr>
          <w:rFonts w:ascii="MS PGothic" w:cs="MS PGothic" w:eastAsia="MS PGothic" w:hAnsi="MS PGothic"/>
          <w:sz w:val="16"/>
          <w:szCs w:val="16"/>
          <w:color w:val="auto"/>
        </w:rPr>
        <w:t>⑥</w:t>
      </w:r>
      <w:r>
        <w:rPr>
          <w:rFonts w:ascii="Times New Roman" w:cs="Times New Roman" w:eastAsia="Times New Roman" w:hAnsi="Times New Roman"/>
          <w:sz w:val="16"/>
          <w:szCs w:val="16"/>
          <w:color w:val="auto"/>
        </w:rPr>
        <w:t xml:space="preserve"> Major complaints and protests against the Borrower by neighboring communities; </w:t>
      </w:r>
      <w:r>
        <w:rPr>
          <w:rFonts w:ascii="MS PGothic" w:cs="MS PGothic" w:eastAsia="MS PGothic" w:hAnsi="MS PGothic"/>
          <w:sz w:val="16"/>
          <w:szCs w:val="16"/>
          <w:color w:val="auto"/>
        </w:rPr>
        <w:t>⑦</w:t>
      </w:r>
      <w:r>
        <w:rPr>
          <w:rFonts w:ascii="Times New Roman" w:cs="Times New Roman" w:eastAsia="Times New Roman" w:hAnsi="Times New Roman"/>
          <w:sz w:val="16"/>
          <w:szCs w:val="16"/>
          <w:color w:val="auto"/>
        </w:rPr>
        <w:t xml:space="preserve"> Major environmental and social claims; </w:t>
      </w:r>
      <w:r>
        <w:rPr>
          <w:rFonts w:ascii="MS PGothic" w:cs="MS PGothic" w:eastAsia="MS PGothic" w:hAnsi="MS PGothic"/>
          <w:sz w:val="16"/>
          <w:szCs w:val="16"/>
          <w:color w:val="auto"/>
        </w:rPr>
        <w:t>⑧</w:t>
      </w:r>
      <w:r>
        <w:rPr>
          <w:rFonts w:ascii="Times New Roman" w:cs="Times New Roman" w:eastAsia="Times New Roman" w:hAnsi="Times New Roman"/>
          <w:sz w:val="16"/>
          <w:szCs w:val="16"/>
          <w:color w:val="auto"/>
        </w:rPr>
        <w:t xml:space="preserve"> Other major situations that the Lender considers to be related to environmental, social and governance risks;</w:t>
      </w:r>
    </w:p>
    <w:p>
      <w:pPr>
        <w:spacing w:after="0" w:line="141" w:lineRule="exact"/>
        <w:rPr>
          <w:rFonts w:ascii="Times New Roman" w:cs="Times New Roman" w:eastAsia="Times New Roman" w:hAnsi="Times New Roman"/>
          <w:sz w:val="16"/>
          <w:szCs w:val="16"/>
          <w:color w:val="auto"/>
        </w:rPr>
      </w:pPr>
    </w:p>
    <w:p>
      <w:pPr>
        <w:jc w:val="both"/>
        <w:ind w:firstLine="285"/>
        <w:spacing w:after="0" w:line="203" w:lineRule="exact"/>
        <w:tabs>
          <w:tab w:leader="none" w:pos="535"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Borrower and the Actual Trustee have any of the following circumstances, it shall be deemed that the Borrower has defaulted under this Contract: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The Borrower’s statements, warranties and commitments on environmental, social and governance risk management have not been conscientiously performed;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Borrower is punished by relevant government departments for poor environmental, social and governance risk management;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The Borrower is strongly questioned by the public and/or the media for poor environmental, social and governance risk management;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Other defaults on environmental, social and governance risk management agreed upon by the Lender and the Borrower, including cross-default events;</w:t>
      </w:r>
    </w:p>
    <w:p>
      <w:pPr>
        <w:spacing w:after="0" w:line="335"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21</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5" w:name="page336"/>
    <w:bookmarkEnd w:id="335"/>
    <w:p>
      <w:pPr>
        <w:ind w:left="924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2">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firstLine="289"/>
        <w:spacing w:after="0" w:line="219" w:lineRule="exact"/>
        <w:rPr>
          <w:sz w:val="20"/>
          <w:szCs w:val="20"/>
          <w:color w:val="auto"/>
        </w:rPr>
      </w:pPr>
      <w:r>
        <w:rPr>
          <w:rFonts w:ascii="Times New Roman" w:cs="Times New Roman" w:eastAsia="Times New Roman" w:hAnsi="Times New Roman"/>
          <w:sz w:val="16"/>
          <w:szCs w:val="16"/>
          <w:color w:val="auto"/>
        </w:rPr>
        <w:t xml:space="preserve">If the Borrower defaults as mentioned above, the Lender has the right to unilaterally decide: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to cancel the credit commitment that has been made;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to suspend the disbursement of the loan until the Borrower has taken rescue measures that are satisfactory to the Lender; </w:t>
      </w:r>
      <w:r>
        <w:rPr>
          <w:rFonts w:ascii="MS PGothic" w:cs="MS PGothic" w:eastAsia="MS PGothic" w:hAnsi="MS PGothic"/>
          <w:sz w:val="16"/>
          <w:szCs w:val="16"/>
          <w:color w:val="auto"/>
        </w:rPr>
        <w:t>③</w:t>
      </w:r>
      <w:r>
        <w:rPr>
          <w:rFonts w:ascii="Times New Roman" w:cs="Times New Roman" w:eastAsia="Times New Roman" w:hAnsi="Times New Roman"/>
          <w:sz w:val="16"/>
          <w:szCs w:val="16"/>
          <w:color w:val="auto"/>
        </w:rPr>
        <w:t xml:space="preserve"> to recover the disbursed loan in advance; </w:t>
      </w:r>
      <w:r>
        <w:rPr>
          <w:rFonts w:ascii="MS PGothic" w:cs="MS PGothic" w:eastAsia="MS PGothic" w:hAnsi="MS PGothic"/>
          <w:sz w:val="16"/>
          <w:szCs w:val="16"/>
          <w:color w:val="auto"/>
        </w:rPr>
        <w:t>④</w:t>
      </w:r>
      <w:r>
        <w:rPr>
          <w:rFonts w:ascii="Times New Roman" w:cs="Times New Roman" w:eastAsia="Times New Roman" w:hAnsi="Times New Roman"/>
          <w:sz w:val="16"/>
          <w:szCs w:val="16"/>
          <w:color w:val="auto"/>
        </w:rPr>
        <w:t xml:space="preserve"> to exercise the relevant mortgage rights and other penalty measures in advance when the loan cannot be repaid; </w:t>
      </w:r>
      <w:r>
        <w:rPr>
          <w:rFonts w:ascii="MS PGothic" w:cs="MS PGothic" w:eastAsia="MS PGothic" w:hAnsi="MS PGothic"/>
          <w:sz w:val="16"/>
          <w:szCs w:val="16"/>
          <w:color w:val="auto"/>
        </w:rPr>
        <w:t>⑤</w:t>
      </w:r>
      <w:r>
        <w:rPr>
          <w:rFonts w:ascii="Times New Roman" w:cs="Times New Roman" w:eastAsia="Times New Roman" w:hAnsi="Times New Roman"/>
          <w:sz w:val="16"/>
          <w:szCs w:val="16"/>
          <w:color w:val="auto"/>
        </w:rPr>
        <w:t xml:space="preserve"> other penalty measures agreed upon by the Lender and the Borrower.</w:t>
      </w:r>
    </w:p>
    <w:p>
      <w:pPr>
        <w:spacing w:after="0" w:line="150" w:lineRule="exact"/>
        <w:rPr>
          <w:sz w:val="20"/>
          <w:szCs w:val="20"/>
          <w:color w:val="auto"/>
        </w:rPr>
      </w:pPr>
    </w:p>
    <w:p>
      <w:pPr>
        <w:jc w:val="both"/>
        <w:ind w:firstLine="285"/>
        <w:spacing w:after="0" w:line="267" w:lineRule="auto"/>
        <w:tabs>
          <w:tab w:leader="none" w:pos="568"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promises not to increase the local government’s implicit debt in violation of regulations, otherwise the Lender has the right to immediately suspend/terminate the Borrower’s withdrawal and declare that part or all of the issued loans are due in advance. At the same time, the Lender has the right to report the relevant situation to the relevant regulatory authorities.</w:t>
      </w:r>
    </w:p>
    <w:p>
      <w:pPr>
        <w:spacing w:after="0" w:line="156"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14. Anti-Money Laundering Agreement The Borrower confirms and agrees that the Lender has the right to conduct money laundering risk assessment on the transactions involved in this Contract in accordance with the applicable anti-money laundering laws and regulations and internal management requirements. If the Borrower violates the Lender’s anti-money laundering management regulations, or the Lender has reasonable grounds to suspect that the Borrower and/or the transactions under this Contract are suspected of participating in money laundering, sanctions, terrorist financing or financing activities for the proliferation of weapons of mass destruction, export control, or tax evasion and other illegal and irregular activities recognized by the United Nations Security Council, the Financial Action Task Force on Money Laundering, China, the United States, the European Union, the United Kingdom, Singapore and other international organizations or countries, the Lender has the right to take necessary control measures in accordance with the anti-money laundering supervision regulations and internal management regulations of the People’s Bank of China. At the same time, the Lender has the right to directly restrict or suspend all or part of the business under this Contract without notifying the Borrower, declare the loan to be due in advance, terminate this Contract, and shall not bear any responsibility, and shall have the right to require the Borrower to bear all losses caused to the Lender.</w:t>
      </w:r>
    </w:p>
    <w:p>
      <w:pPr>
        <w:spacing w:after="0" w:line="163" w:lineRule="exact"/>
        <w:rPr>
          <w:sz w:val="20"/>
          <w:szCs w:val="20"/>
          <w:color w:val="auto"/>
        </w:rPr>
      </w:pPr>
    </w:p>
    <w:p>
      <w:pPr>
        <w:jc w:val="both"/>
        <w:ind w:firstLine="285"/>
        <w:spacing w:after="0" w:line="255" w:lineRule="auto"/>
        <w:tabs>
          <w:tab w:leader="none" w:pos="552" w:val="left"/>
        </w:tabs>
        <w:numPr>
          <w:ilvl w:val="0"/>
          <w:numId w:val="3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agrees and irrevocably authorizes: The Lender has the right to provide the information of all contracts/agreements/commitments signed between the Borrower and the Lender, including relevant information on the performance of all the above contracts/agreements/commitments, and the basic information of the enterprise and other information provided by the Borrower, to the Financial Credit Information Basic Database established by the State, in accordance with the provisions of the Credit Reporting Industry Management Regulations and other credit-related laws and regulations and the requirements of regulatory provisions, as well as the collection requirements of the Financial Credit Information Basic Database established by the State, for the inquiry and use by qualified units; at the same time, the Lender also has the right to inquire and use the credit information of the Borrower that has been entered into the Financial Credit Information Basic Database established by the State. This authorization covers all aspects of the Lender’s necessary business management of the business under this Contract before and after the signing of this Contract, and its validity period shall expire with the actual termination of this Contract.</w:t>
      </w:r>
    </w:p>
    <w:p>
      <w:pPr>
        <w:spacing w:after="0" w:line="169" w:lineRule="exact"/>
        <w:rPr>
          <w:rFonts w:ascii="Times New Roman" w:cs="Times New Roman" w:eastAsia="Times New Roman" w:hAnsi="Times New Roman"/>
          <w:sz w:val="16"/>
          <w:szCs w:val="16"/>
          <w:b w:val="1"/>
          <w:bCs w:val="1"/>
          <w:color w:val="auto"/>
        </w:rPr>
      </w:pPr>
    </w:p>
    <w:p>
      <w:pPr>
        <w:jc w:val="both"/>
        <w:ind w:firstLine="285"/>
        <w:spacing w:after="0" w:line="261" w:lineRule="auto"/>
        <w:tabs>
          <w:tab w:leader="none" w:pos="533"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hereby confirms that he has fully understood and is aware of the Lender’s position that he opposes his employees taking advantage of their positions to seek any form of benefits, and promises to avoid such situations in accordance with the principles of integrity and fairness, and not to privately provide any form of kickbacks, gifts, securities, valuables, various rewards, personal expense compensation, private travel, high-consumption entertainment and other improper benefits to the Lender’s employees.</w:t>
      </w:r>
    </w:p>
    <w:p>
      <w:pPr>
        <w:spacing w:after="0" w:line="318"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22</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4">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9 Deduction Agreement</w:t>
      </w:r>
    </w:p>
    <w:p>
      <w:pPr>
        <w:spacing w:after="0" w:line="201" w:lineRule="exact"/>
        <w:rPr>
          <w:sz w:val="20"/>
          <w:szCs w:val="20"/>
          <w:color w:val="auto"/>
        </w:rPr>
      </w:pPr>
    </w:p>
    <w:p>
      <w:pPr>
        <w:jc w:val="both"/>
        <w:ind w:firstLine="285"/>
        <w:spacing w:after="0" w:line="262" w:lineRule="auto"/>
        <w:tabs>
          <w:tab w:leader="none" w:pos="461" w:val="left"/>
        </w:tabs>
        <w:numPr>
          <w:ilvl w:val="0"/>
          <w:numId w:val="3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agrees that when any debt related to the loan under this Contract becomes due and payable, the Lender has the right to directly deduct the funds in the repayment reserve account opened by the Borrower with Shanghai Pudong Development Bank Co., Ltd. to repay the due and payable debt. If the funds in the repayment reserve account are insufficient to repay the debt, the Lender has the right to deduct the funds from any other account opened by the Borrower with any branch of Shanghai Pudong Development Bank Co., Ltd.</w:t>
      </w:r>
    </w:p>
    <w:p>
      <w:pPr>
        <w:spacing w:after="0" w:line="158" w:lineRule="exact"/>
        <w:rPr>
          <w:rFonts w:ascii="Times New Roman" w:cs="Times New Roman" w:eastAsia="Times New Roman" w:hAnsi="Times New Roman"/>
          <w:sz w:val="16"/>
          <w:szCs w:val="16"/>
          <w:b w:val="1"/>
          <w:bCs w:val="1"/>
          <w:color w:val="auto"/>
        </w:rPr>
      </w:pPr>
    </w:p>
    <w:p>
      <w:pPr>
        <w:ind w:right="20" w:firstLine="285"/>
        <w:spacing w:after="0" w:line="285" w:lineRule="auto"/>
        <w:tabs>
          <w:tab w:leader="none" w:pos="460" w:val="left"/>
        </w:tabs>
        <w:numPr>
          <w:ilvl w:val="0"/>
          <w:numId w:val="3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Lender has the right to choose to use the proceeds to repay the loan principal, interest or other expenses. If there are multiple claims that are due and unpaid at the same time, the Lender shall decide the order of repayment of the claims.</w:t>
      </w:r>
    </w:p>
    <w:p>
      <w:pPr>
        <w:spacing w:after="0" w:line="142" w:lineRule="exact"/>
        <w:rPr>
          <w:rFonts w:ascii="Times New Roman" w:cs="Times New Roman" w:eastAsia="Times New Roman" w:hAnsi="Times New Roman"/>
          <w:sz w:val="16"/>
          <w:szCs w:val="16"/>
          <w:b w:val="1"/>
          <w:bCs w:val="1"/>
          <w:color w:val="auto"/>
        </w:rPr>
      </w:pPr>
    </w:p>
    <w:p>
      <w:pPr>
        <w:ind w:left="440" w:hanging="155"/>
        <w:spacing w:after="0"/>
        <w:tabs>
          <w:tab w:leader="none" w:pos="440"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currency of the deducted funds is inconsistent with the currency to be repaid, the following procedures shall me applied:</w:t>
      </w:r>
    </w:p>
    <w:p>
      <w:pPr>
        <w:spacing w:after="0" w:line="201" w:lineRule="exact"/>
        <w:rPr>
          <w:sz w:val="20"/>
          <w:szCs w:val="20"/>
          <w:color w:val="auto"/>
        </w:rPr>
      </w:pPr>
    </w:p>
    <w:p>
      <w:pPr>
        <w:ind w:right="20" w:firstLine="285"/>
        <w:spacing w:after="0" w:line="283" w:lineRule="auto"/>
        <w:tabs>
          <w:tab w:leader="none" w:pos="537"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currency is RMB, the principal and interest of the loan shall be repaid after the amount is converted into RMB at the applicable buying rate for the deduction currency published by the Lender at the time of deduction.</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2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currency is not RMB and the deduction currency is RMB, the principal and interest of the loan shall be repaid directly by deducting the applicable selling price of the loan currency and RMB published by the Lender at that time and converting it into the loan currency.</w:t>
      </w:r>
    </w:p>
    <w:p>
      <w:pPr>
        <w:spacing w:after="0" w:line="143" w:lineRule="exact"/>
        <w:rPr>
          <w:rFonts w:ascii="Times New Roman" w:cs="Times New Roman" w:eastAsia="Times New Roman" w:hAnsi="Times New Roman"/>
          <w:sz w:val="16"/>
          <w:szCs w:val="16"/>
          <w:color w:val="auto"/>
        </w:rPr>
      </w:pPr>
    </w:p>
    <w:p>
      <w:pPr>
        <w:jc w:val="both"/>
        <w:ind w:firstLine="285"/>
        <w:spacing w:after="0" w:line="261" w:lineRule="auto"/>
        <w:tabs>
          <w:tab w:leader="none" w:pos="523"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both the loan currency and the deduction currency are not RMB and they’re not the same, the loan principal and interest shall be repaid after the foreign exchange settlement is completed at the buying rate of the currency of the deduction and RMB announced by the Lender at the time of deduction and then the foreign exchange settlement is completed at the selling rate of the currency of the loan and RMB announced by the Lender on the same day and then the loan principal and interest shall be repaid.</w:t>
      </w:r>
    </w:p>
    <w:p>
      <w:pPr>
        <w:spacing w:after="0" w:line="318"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23</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09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6">
                      <a:extLst>
                        <a:ext uri="{28A0092B-C50C-407E-A947-70E740481C1C}"/>
                      </a:extLst>
                    </a:blip>
                    <a:srcRect/>
                    <a:stretch>
                      <a:fillRect/>
                    </a:stretch>
                  </pic:blipFill>
                  <pic:spPr bwMode="auto">
                    <a:xfrm>
                      <a:off x="0" y="0"/>
                      <a:ext cx="7147560" cy="220980"/>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10 Proof of Debt</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Lender shall, in accordance with his usual business practices, maintain accounting records related to the business activities involved in this Contract in its accounting books to prove the Lender’s loan amount. The Borrower’s valid evidence of the loan claim under this Contract shall be the accounting vouchers or other valid supporting materials issued and recorded by the Lender in accordance with its own business regulations.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11 Agreed Delivery Address</w:t>
      </w:r>
    </w:p>
    <w:p>
      <w:pPr>
        <w:spacing w:after="0" w:line="203" w:lineRule="exact"/>
        <w:rPr>
          <w:sz w:val="20"/>
          <w:szCs w:val="20"/>
          <w:color w:val="auto"/>
        </w:rPr>
      </w:pPr>
    </w:p>
    <w:p>
      <w:pPr>
        <w:jc w:val="both"/>
        <w:ind w:firstLine="285"/>
        <w:spacing w:after="0" w:line="267" w:lineRule="auto"/>
        <w:tabs>
          <w:tab w:leader="none" w:pos="45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confirms that the address listed on the first page of this Contract is his valid delivery address. Any notice delivered directly or by mail to the Lender by the Borrower under this Contract shall be sent to the address listed on the first page of this Contract until the Lender announces a change in the address. The Borrower agrees that all notices sent by him to the Lender shall be deemed delivered when the Lender actually receives them.</w:t>
      </w:r>
    </w:p>
    <w:p>
      <w:pPr>
        <w:spacing w:after="0" w:line="153" w:lineRule="exact"/>
        <w:rPr>
          <w:rFonts w:ascii="Times New Roman" w:cs="Times New Roman" w:eastAsia="Times New Roman" w:hAnsi="Times New Roman"/>
          <w:sz w:val="16"/>
          <w:szCs w:val="16"/>
          <w:color w:val="auto"/>
        </w:rPr>
      </w:pPr>
    </w:p>
    <w:p>
      <w:pPr>
        <w:jc w:val="both"/>
        <w:ind w:firstLine="285"/>
        <w:spacing w:after="0" w:line="256" w:lineRule="auto"/>
        <w:tabs>
          <w:tab w:leader="none" w:pos="470" w:val="left"/>
        </w:tabs>
        <w:numPr>
          <w:ilvl w:val="0"/>
          <w:numId w:val="3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Borrower confirms that the address and fax, e-mail and other delivery information listed on the first page of this Contract are his valid mailing or electronic delivery addresses. All kinds of notices and other documents under this Contract during non-litigation, as well as letters, summonses, notices and other legal documents issued to him during any litigation (including any litigation procedures and enforcement procedures such as first instance, second instance and retrial) arising from this Contract, shall be deemed to have been delivered as long as they are sent to the mailing or electronic delivery address listed on the first page of this Contract by mail or by electronic delivery such as fax, e-mail, etc. The specific delivery date shall be subject to the provisions on delivery date in the Civil Procedure Law. The change of the above-mentioned mailing or electronic delivery address shall not be legally effective unless the Lender is notified in advance, and the delivery address confirmed in this Contract shall still be deemed to be the valid delivery address</w:t>
      </w:r>
      <w:r>
        <w:rPr>
          <w:rFonts w:ascii="Times New Roman" w:cs="Times New Roman" w:eastAsia="Times New Roman" w:hAnsi="Times New Roman"/>
          <w:sz w:val="16"/>
          <w:szCs w:val="16"/>
          <w:color w:val="auto"/>
        </w:rPr>
        <w:t>.</w:t>
      </w:r>
    </w:p>
    <w:p>
      <w:pPr>
        <w:spacing w:after="0" w:line="324"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24</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8">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12 Breach of Contract and Its Handling</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Breach of Contract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of the following circumstances shall constitute the breach of contract by the Borrower against the Lender:</w:t>
      </w:r>
    </w:p>
    <w:p>
      <w:pPr>
        <w:spacing w:after="0" w:line="201" w:lineRule="exact"/>
        <w:rPr>
          <w:sz w:val="20"/>
          <w:szCs w:val="20"/>
          <w:color w:val="auto"/>
        </w:rPr>
      </w:pPr>
    </w:p>
    <w:p>
      <w:pPr>
        <w:jc w:val="both"/>
        <w:ind w:firstLine="285"/>
        <w:spacing w:after="0" w:line="267" w:lineRule="auto"/>
        <w:tabs>
          <w:tab w:leader="none" w:pos="521"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representation or warranty made by the Borrower in this Contract or in any notice, authorization, approval, consent, certificate or other document made pursuant to or in connection with this Contract is incorrect or misleading at the time of making, or has been proved to be incorrect or misleading, or has been proved to be invalid or revoked or has no legal effect.</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breached any of the provisions of “Other Matters Agreed by the Parties” (if any) in Part I of this Contract or any of the matters agreed in Article 8 of</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 II.</w:t>
      </w:r>
    </w:p>
    <w:p>
      <w:pPr>
        <w:spacing w:after="0" w:line="184" w:lineRule="exact"/>
        <w:rPr>
          <w:rFonts w:ascii="Times New Roman" w:cs="Times New Roman" w:eastAsia="Times New Roman" w:hAnsi="Times New Roman"/>
          <w:sz w:val="16"/>
          <w:szCs w:val="16"/>
          <w:color w:val="auto"/>
        </w:rPr>
      </w:pPr>
    </w:p>
    <w:p>
      <w:pPr>
        <w:ind w:right="20" w:firstLine="285"/>
        <w:spacing w:after="0" w:line="283" w:lineRule="auto"/>
        <w:tabs>
          <w:tab w:leader="none" w:pos="535"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 major cross-default event, including but not limited to the Borrower’s breach of any other loan contract or agreement signed by him; or the Borrower’s failure to pay debts under other loan contracts or agreements signed by him when due.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investors withdraw funds, transfer assets, or transfer equity without authorization.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no longer has or will no longer have the ability to provide a guarantee corresponding to the loan, or violates the guarantee document signed by him.</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5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ceases operations, stops production, closes down, suspends business for rectification, reorganization, liquidates, is taken over or placed under trusteeship, is dissolved, has his business license revoked or cancelled, or goes bankrupt.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31"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condition of the Borrower or Guarantor deteriorates, the operation encounters serious difficulties, or an event or situation occurs that has an adverse impact on his normal operation, financial condition or debt repayment ability.</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16"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his controlling shareholder, actual controller or his affiliates are involved in major litigation or arbitration or their major assets are seized, confiscated, frozen, enforced or other measures with similar effect are taken against them, or their legal representatives/persons in charge, directors, supervisors or senior management are involved in litigation, arbitration or other compulsory measures, which have an adverse impact on the Borrower’s debt repayment ability.</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repay the principal and interest on time or failure to use the loan for the agreed purpose.</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25</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1">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hanging="315"/>
        <w:spacing w:after="0"/>
        <w:tabs>
          <w:tab w:leader="none" w:pos="60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pay the loan funds in accordance with the agreed method.</w:t>
      </w:r>
    </w:p>
    <w:p>
      <w:pPr>
        <w:spacing w:after="0" w:line="200" w:lineRule="exact"/>
        <w:rPr>
          <w:rFonts w:ascii="Times New Roman" w:cs="Times New Roman" w:eastAsia="Times New Roman" w:hAnsi="Times New Roman"/>
          <w:sz w:val="16"/>
          <w:szCs w:val="16"/>
          <w:color w:val="auto"/>
        </w:rPr>
      </w:pPr>
    </w:p>
    <w:p>
      <w:pPr>
        <w:ind w:left="580" w:hanging="295"/>
        <w:spacing w:after="0"/>
        <w:tabs>
          <w:tab w:leader="none" w:pos="58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documents and information submitted for loan application are false or incorrect.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or exceeding the relevant financial indicator constraints agreed upon in this Contract.</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604"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three (3) days before any principal and interest payment date under this Contract, the balance of funds in the Repayment Reserve Account is lower than the principal and interest payment due by the Borrower for that period.</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abnormalities in the flow of funds within the general settlement account/fund withdrawal account.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98"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suspected of participating in illegal activities such as money laundering, sanctions, terrorist financing or financing of the proliferation of weapons of mass destruction, export controls, tax evasion, etc.</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illegally increases the hidden debt of the local government.</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62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commits any other act in violation of this Contract that is sufficient to hinder the normal performance of this Contract, or any other act that is prejudicial to the legitimate interests of the Lender.</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Breach Handling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If one or more of the default circumstances listed in the preceding paragraph occur, the Lender may, at its discretion, take one or more of the following measures:</w:t>
      </w:r>
    </w:p>
    <w:p>
      <w:pPr>
        <w:spacing w:after="0" w:line="201" w:lineRule="exact"/>
        <w:rPr>
          <w:sz w:val="20"/>
          <w:szCs w:val="20"/>
          <w:color w:val="auto"/>
        </w:rPr>
      </w:pPr>
    </w:p>
    <w:p>
      <w:pPr>
        <w:ind w:left="760" w:hanging="187"/>
        <w:spacing w:after="0"/>
        <w:tabs>
          <w:tab w:leader="none" w:pos="760" w:val="left"/>
        </w:tabs>
        <w:numPr>
          <w:ilvl w:val="0"/>
          <w:numId w:val="3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Require the Borrower to make corrections within a specified period of time.</w:t>
      </w:r>
    </w:p>
    <w:p>
      <w:pPr>
        <w:spacing w:after="0" w:line="201" w:lineRule="exact"/>
        <w:rPr>
          <w:sz w:val="20"/>
          <w:szCs w:val="20"/>
          <w:color w:val="auto"/>
        </w:rPr>
      </w:pPr>
    </w:p>
    <w:p>
      <w:pPr>
        <w:ind w:left="760" w:hanging="187"/>
        <w:spacing w:after="0"/>
        <w:tabs>
          <w:tab w:leader="none" w:pos="760" w:val="left"/>
        </w:tabs>
        <w:numPr>
          <w:ilvl w:val="0"/>
          <w:numId w:val="3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Cancel the Borrower’s unused loans and stop issuing and paying the Borrower’s unused loans.</w:t>
      </w:r>
    </w:p>
    <w:p>
      <w:pPr>
        <w:spacing w:after="0" w:line="201" w:lineRule="exact"/>
        <w:rPr>
          <w:sz w:val="20"/>
          <w:szCs w:val="20"/>
          <w:color w:val="auto"/>
        </w:rPr>
      </w:pPr>
    </w:p>
    <w:p>
      <w:pPr>
        <w:ind w:left="280" w:right="20" w:firstLine="293"/>
        <w:spacing w:after="0" w:line="283" w:lineRule="auto"/>
        <w:tabs>
          <w:tab w:leader="none" w:pos="775" w:val="left"/>
        </w:tabs>
        <w:numPr>
          <w:ilvl w:val="0"/>
          <w:numId w:val="3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Declare that all or part of the principal of the loan under this Contract is due in advance immediately, and require the immediate repayment of part or all of the loan, settlement of the outstanding interest, and immediate pursuit of the Guarantor or Borrower through various forms.</w:t>
      </w:r>
    </w:p>
    <w:p>
      <w:pPr>
        <w:spacing w:after="0" w:line="143" w:lineRule="exact"/>
        <w:rPr>
          <w:sz w:val="20"/>
          <w:szCs w:val="20"/>
          <w:color w:val="auto"/>
        </w:rPr>
      </w:pPr>
    </w:p>
    <w:p>
      <w:pPr>
        <w:ind w:left="760" w:hanging="187"/>
        <w:spacing w:after="0"/>
        <w:tabs>
          <w:tab w:leader="none" w:pos="760" w:val="left"/>
        </w:tabs>
        <w:numPr>
          <w:ilvl w:val="0"/>
          <w:numId w:val="32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Penalty interest and compound interest will be charged on overdue loans and misappropriated loans.</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26</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4">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187"/>
        <w:spacing w:after="0"/>
        <w:tabs>
          <w:tab w:leader="none" w:pos="760" w:val="left"/>
        </w:tabs>
        <w:numPr>
          <w:ilvl w:val="0"/>
          <w:numId w:val="32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Deduct the funds from any account opened by the Borrower in any branch of Shanghai Pudong Development Bank Co., Ltd.</w:t>
      </w:r>
    </w:p>
    <w:p>
      <w:pPr>
        <w:spacing w:after="0" w:line="201" w:lineRule="exact"/>
        <w:rPr>
          <w:sz w:val="20"/>
          <w:szCs w:val="20"/>
          <w:color w:val="auto"/>
        </w:rPr>
      </w:pPr>
    </w:p>
    <w:p>
      <w:pPr>
        <w:ind w:left="760" w:hanging="187"/>
        <w:spacing w:after="0"/>
        <w:tabs>
          <w:tab w:leader="none" w:pos="760" w:val="left"/>
        </w:tabs>
        <w:numPr>
          <w:ilvl w:val="0"/>
          <w:numId w:val="3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Require the Borrower to supplement the loan issuance and payment conditions, or change the loan payment method.</w:t>
      </w:r>
    </w:p>
    <w:p>
      <w:pPr>
        <w:spacing w:after="0" w:line="201" w:lineRule="exact"/>
        <w:rPr>
          <w:sz w:val="20"/>
          <w:szCs w:val="20"/>
          <w:color w:val="auto"/>
        </w:rPr>
      </w:pPr>
    </w:p>
    <w:p>
      <w:pPr>
        <w:ind w:left="760" w:hanging="187"/>
        <w:spacing w:after="0"/>
        <w:tabs>
          <w:tab w:leader="none" w:pos="760" w:val="left"/>
        </w:tabs>
        <w:numPr>
          <w:ilvl w:val="0"/>
          <w:numId w:val="33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Require the Borrower to provide other guarantees approved by the Lender.</w:t>
      </w:r>
    </w:p>
    <w:p>
      <w:pPr>
        <w:spacing w:after="0" w:line="201" w:lineRule="exact"/>
        <w:rPr>
          <w:sz w:val="20"/>
          <w:szCs w:val="20"/>
          <w:color w:val="auto"/>
        </w:rPr>
      </w:pPr>
    </w:p>
    <w:p>
      <w:pPr>
        <w:ind w:left="760" w:hanging="187"/>
        <w:spacing w:after="0"/>
        <w:tabs>
          <w:tab w:leader="none" w:pos="760" w:val="left"/>
        </w:tabs>
        <w:numPr>
          <w:ilvl w:val="1"/>
          <w:numId w:val="33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necessary measures prescribed by law.</w:t>
      </w:r>
    </w:p>
    <w:p>
      <w:pPr>
        <w:spacing w:after="0" w:line="200" w:lineRule="exact"/>
        <w:rPr>
          <w:rFonts w:ascii="MS PGothic" w:cs="MS PGothic" w:eastAsia="MS PGothic" w:hAnsi="MS PGothic"/>
          <w:sz w:val="16"/>
          <w:szCs w:val="16"/>
          <w:color w:val="auto"/>
        </w:rPr>
      </w:pPr>
    </w:p>
    <w:p>
      <w:pPr>
        <w:jc w:val="both"/>
        <w:ind w:right="20" w:firstLine="285"/>
        <w:spacing w:after="0" w:line="267" w:lineRule="auto"/>
        <w:tabs>
          <w:tab w:leader="none" w:pos="528"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above measures, the Lender may also require the Borrower to bear the liability for breach of contract and require the Borrower to pay liquidated damages (the calculation method of liquidated damages is shown in Part I of this Contract). If the liquidated damages are not sufficient to compensate the losses suffered by the Lender, the Borrower shall compensate the Lender for all losses suffered thereby.</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531"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repay the principal and interest in full and on time, it shall also bear all expenses paid by the Lender in realizing the creditor’s rights and security rights, including but not limited to collection expenses, litigation costs, attorney fees, travel expenses and various other payable expenses.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13 Effectiveness, Change and Termination</w:t>
      </w:r>
    </w:p>
    <w:p>
      <w:pPr>
        <w:spacing w:after="0" w:line="203" w:lineRule="exact"/>
        <w:rPr>
          <w:sz w:val="20"/>
          <w:szCs w:val="20"/>
          <w:color w:val="auto"/>
        </w:rPr>
      </w:pPr>
    </w:p>
    <w:p>
      <w:pPr>
        <w:jc w:val="both"/>
        <w:ind w:firstLine="285"/>
        <w:spacing w:after="0" w:line="267" w:lineRule="auto"/>
        <w:tabs>
          <w:tab w:leader="none" w:pos="459"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shall come into force after being signed (or sealed) by the legal representative of the Borrower or his/her authorized agent and affixed with the official seal, and after being signed (or sealed) by the legal representative (person in charge) of the Lender or his/her authorized agent and affixed with the official seal (or special seal for the Contract), and shall terminate after all the debts under this Contract are paid off.</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454"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this contract comes into effect, neither party shall unilaterally change or terminate this Contract in advance. If this Contract needs to be changed or terminated, it shall be negotiated and agreed upon in writing by both parties.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14 Other Terms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Definition</w:t>
      </w:r>
    </w:p>
    <w:p>
      <w:pPr>
        <w:spacing w:after="0" w:line="201" w:lineRule="exact"/>
        <w:rPr>
          <w:sz w:val="20"/>
          <w:szCs w:val="20"/>
          <w:color w:val="auto"/>
        </w:rPr>
      </w:pPr>
    </w:p>
    <w:p>
      <w:pPr>
        <w:ind w:left="520" w:hanging="235"/>
        <w:spacing w:after="0"/>
        <w:tabs>
          <w:tab w:leader="none" w:pos="52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“all the debts” under this Contract refers to the principal, interest, liquidated damages and all other expenses incurred in realizing the debts.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“interest” under this Contract includes interest, penalty interest and compound interest.</w:t>
      </w:r>
    </w:p>
    <w:p>
      <w:pPr>
        <w:spacing w:after="0" w:line="357"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27</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7">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85"/>
        <w:spacing w:after="0" w:line="283" w:lineRule="auto"/>
        <w:tabs>
          <w:tab w:leader="none" w:pos="54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“banking day” under this Contract refers to the day on which the Lender is normally open for business for public business at the Lender’s domicile, excluding Saturdays, Sundays (except those closed due to holiday adjustments) or other statutory holidays.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Applicable Law</w:t>
      </w:r>
    </w:p>
    <w:p>
      <w:pPr>
        <w:spacing w:after="0" w:line="201"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This Contract shall be governed by and interpreted in accordance with the laws of the People’s Republic of China (excluding the laws of the Hong Kong Special Administrative Region, the Macao Special Administrative Region and Taiwan for the purpose of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 Dispute Resolution</w:t>
      </w:r>
    </w:p>
    <w:p>
      <w:pPr>
        <w:spacing w:after="0" w:line="201"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All disputes concerning this Contract shall be settled through friendly negotiation. If no agreement is reached through negotiation, the parties shall file a lawsuit with the People’s Court at the place of residence of the Lender. During the dispute period, the parties shall continue to perform the clauses not involved in the dispute.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 Miscellaneous</w:t>
      </w:r>
    </w:p>
    <w:p>
      <w:pPr>
        <w:spacing w:after="0" w:line="201" w:lineRule="exact"/>
        <w:rPr>
          <w:sz w:val="20"/>
          <w:szCs w:val="20"/>
          <w:color w:val="auto"/>
        </w:rPr>
      </w:pPr>
    </w:p>
    <w:p>
      <w:pPr>
        <w:jc w:val="both"/>
        <w:ind w:firstLine="285"/>
        <w:spacing w:after="0" w:line="267" w:lineRule="auto"/>
        <w:tabs>
          <w:tab w:leader="none" w:pos="525"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any matters not covered in this Contract that need to be supplemented, the parties may agree on them and record them in Part I of this Contract, or they may reach a separate written agreement as an annex to this Contract. The annex to this Contract (see Part I of this Contract) is an integral part of this Contract and has the same legal effect as the main body of this Contract.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1" w:lineRule="auto"/>
        <w:tabs>
          <w:tab w:leader="none" w:pos="523"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validity period of this Contract, any forbearance or delay in taking action against any breach of contract or other behavior of the Borrower by the Lender shall not prejudice, affect or restrict any rights or interests that the Lender shall enjoy as a creditor under the law or this Contract, nor shall it be regarded as the Lender’s approval of the Borrower’s breach of this Contract, nor shall it be regarded as the Lender’s waiver of the right to take action against the Borrower’s existing or future breach of contract.</w:t>
      </w:r>
    </w:p>
    <w:p>
      <w:pPr>
        <w:spacing w:after="0" w:line="318"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28</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32790" cy="20637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0">
                      <a:clrChange>
                        <a:clrFrom>
                          <a:srgbClr val="FFFFFF"/>
                        </a:clrFrom>
                        <a:clrTo>
                          <a:srgbClr val="FFFFFF">
                            <a:alpha val="0"/>
                          </a:srgbClr>
                        </a:clrTo>
                      </a:clrChange>
                      <a:extLst>
                        <a:ext uri="{28A0092B-C50C-407E-A947-70E740481C1C}"/>
                      </a:extLst>
                    </a:blip>
                    <a:srcRect/>
                    <a:stretch>
                      <a:fillRect/>
                    </a:stretch>
                  </pic:blipFill>
                  <pic:spPr bwMode="auto">
                    <a:xfrm>
                      <a:off x="0" y="0"/>
                      <a:ext cx="732790" cy="206375"/>
                    </a:xfrm>
                    <a:prstGeom prst="rect">
                      <a:avLst/>
                    </a:prstGeom>
                    <a:noFill/>
                  </pic:spPr>
                </pic:pic>
              </a:graphicData>
            </a:graphic>
          </wp:anchor>
        </w:drawing>
        <w:t>Working Capital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85"/>
        <w:spacing w:after="0" w:line="267" w:lineRule="auto"/>
        <w:tabs>
          <w:tab w:leader="none" w:pos="532"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invalidity of any clause of this Contract shall not affect the validity of the other clauses of this Contract. If this Contract becomes invalid for any reason, the Borrower shall still be responsible for repaying all debts owed to the Lender under this Contract. If the above situation occurs, the Lender shall have the right to terminate the execution of this Contract immediately and may immediately recover all debts owed by the Borrower under this Contract from the Borrower.</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1"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may transfer all or part of his rights and/or obligations under this Contract, and in such case, the transferee shall enjoy and/or bear the same rights and/or obligations to the Borrower as he would have if he were a party to this Contract. The Borrower shall bear the liabilities to the transferee in accordance with the provisions of this Contract after receiving the Lender’s notice of the transfer of the debts.</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in this Contract, the relevant terms and expressions in the Annex to this Contract shall have the same meaning as in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headings under this Contract are for reference only and shall not be construed as the basis for the contents under such headings.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(REMINDER OF PAGE INTENTIONALLY LEFT BLANK)</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(SIGNATURE PAGE TO FOLLOW)</w:t>
      </w:r>
    </w:p>
    <w:p>
      <w:pPr>
        <w:spacing w:after="0" w:line="359"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29</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7560" cy="2216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3">
                      <a:extLst>
                        <a:ext uri="{28A0092B-C50C-407E-A947-70E740481C1C}"/>
                      </a:extLst>
                    </a:blip>
                    <a:srcRect/>
                    <a:stretch>
                      <a:fillRect/>
                    </a:stretch>
                  </pic:blipFill>
                  <pic:spPr bwMode="auto">
                    <a:xfrm>
                      <a:off x="0" y="0"/>
                      <a:ext cx="7147560" cy="221615"/>
                    </a:xfrm>
                    <a:prstGeom prst="rect">
                      <a:avLst/>
                    </a:prstGeom>
                    <a:noFill/>
                  </pic:spPr>
                </pic:pic>
              </a:graphicData>
            </a:graphic>
          </wp:anchor>
        </w:drawing>
        <w:t>Working Capital Loan Contract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 w:firstLine="236"/>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This Contract has been signed between the Borrower and the Lender on </w:t>
      </w:r>
      <w:r>
        <w:rPr>
          <w:rFonts w:ascii="Times New Roman" w:cs="Times New Roman" w:eastAsia="Times New Roman" w:hAnsi="Times New Roman"/>
          <w:sz w:val="16"/>
          <w:szCs w:val="16"/>
          <w:b w:val="1"/>
          <w:bCs w:val="1"/>
          <w:u w:val="single" w:color="auto"/>
          <w:color w:val="auto"/>
        </w:rPr>
        <w:t>October 30, 2024</w:t>
      </w:r>
      <w:r>
        <w:rPr>
          <w:rFonts w:ascii="Times New Roman" w:cs="Times New Roman" w:eastAsia="Times New Roman" w:hAnsi="Times New Roman"/>
          <w:sz w:val="16"/>
          <w:szCs w:val="16"/>
          <w:b w:val="1"/>
          <w:bCs w:val="1"/>
          <w:color w:val="auto"/>
        </w:rPr>
        <w:t xml:space="preserve"> (date, month, year). The Borrower hereby confirms that, when signing this Contract, both parties have explained and discussed all the terms in detail, and both parties have no doubts about all the terms of the Contract and have an accurate understanding of the legal meaning of the rights and obligations of the parties and the limitation or exemption of liability.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6"/>
          <w:szCs w:val="16"/>
          <w:b w:val="1"/>
          <w:bCs w:val="1"/>
          <w:color w:val="auto"/>
        </w:rPr>
        <w:t>Borrower (official seal)</w:t>
      </w:r>
      <w:r>
        <w:rPr>
          <w:sz w:val="20"/>
          <w:szCs w:val="20"/>
          <w:color w:val="auto"/>
        </w:rPr>
        <w:tab/>
      </w:r>
      <w:r>
        <w:rPr>
          <w:rFonts w:ascii="Times New Roman" w:cs="Times New Roman" w:eastAsia="Times New Roman" w:hAnsi="Times New Roman"/>
          <w:sz w:val="16"/>
          <w:szCs w:val="16"/>
          <w:b w:val="1"/>
          <w:bCs w:val="1"/>
          <w:color w:val="auto"/>
        </w:rPr>
        <w:t>Lender (official seal or contract-specific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17145</wp:posOffset>
            </wp:positionV>
            <wp:extent cx="1297940" cy="13208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4">
                      <a:extLst>
                        <a:ext uri="{28A0092B-C50C-407E-A947-70E740481C1C}"/>
                      </a:extLst>
                    </a:blip>
                    <a:srcRect/>
                    <a:stretch>
                      <a:fillRect/>
                    </a:stretch>
                  </pic:blipFill>
                  <pic:spPr bwMode="auto">
                    <a:xfrm>
                      <a:off x="0" y="0"/>
                      <a:ext cx="1297940" cy="132080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17145</wp:posOffset>
            </wp:positionV>
            <wp:extent cx="1489075" cy="13747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5">
                      <a:extLst>
                        <a:ext uri="{28A0092B-C50C-407E-A947-70E740481C1C}"/>
                      </a:extLst>
                    </a:blip>
                    <a:srcRect/>
                    <a:stretch>
                      <a:fillRect/>
                    </a:stretch>
                  </pic:blipFill>
                  <pic:spPr bwMode="auto">
                    <a:xfrm>
                      <a:off x="0" y="0"/>
                      <a:ext cx="1489075" cy="137477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right="2000"/>
        <w:spacing w:after="0" w:line="285" w:lineRule="auto"/>
        <w:rPr>
          <w:sz w:val="20"/>
          <w:szCs w:val="20"/>
          <w:color w:val="auto"/>
        </w:rPr>
      </w:pPr>
      <w:r>
        <w:rPr>
          <w:rFonts w:ascii="Times New Roman" w:cs="Times New Roman" w:eastAsia="Times New Roman" w:hAnsi="Times New Roman"/>
          <w:sz w:val="16"/>
          <w:szCs w:val="16"/>
          <w:b w:val="1"/>
          <w:bCs w:val="1"/>
          <w:color w:val="auto"/>
        </w:rPr>
        <w:t>Legal Representative or Authorized Agent (signature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100965</wp:posOffset>
            </wp:positionV>
            <wp:extent cx="1015365" cy="7639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6">
                      <a:extLst>
                        <a:ext uri="{28A0092B-C50C-407E-A947-70E740481C1C}"/>
                      </a:extLst>
                    </a:blip>
                    <a:srcRect/>
                    <a:stretch>
                      <a:fillRect/>
                    </a:stretch>
                  </pic:blipFill>
                  <pic:spPr bwMode="auto">
                    <a:xfrm>
                      <a:off x="0" y="0"/>
                      <a:ext cx="1015365" cy="763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Representative/Person in Charge or Authorized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70585" cy="8020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7">
                      <a:extLst>
                        <a:ext uri="{28A0092B-C50C-407E-A947-70E740481C1C}"/>
                      </a:extLst>
                    </a:blip>
                    <a:srcRect/>
                    <a:stretch>
                      <a:fillRect/>
                    </a:stretch>
                  </pic:blipFill>
                  <pic:spPr bwMode="auto">
                    <a:xfrm>
                      <a:off x="0" y="0"/>
                      <a:ext cx="870585" cy="8020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920" w:space="720"/>
            <w:col w:w="5620"/>
          </w:cols>
          <w:pgMar w:left="320" w:top="35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184" w:lineRule="exact"/>
        <w:tabs>
          <w:tab w:leader="none" w:pos="5360" w:val="left"/>
          <w:tab w:leader="none" w:pos="1038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11054179</w:t>
      </w:r>
      <w:r>
        <w:rPr>
          <w:sz w:val="20"/>
          <w:szCs w:val="20"/>
          <w:color w:val="auto"/>
        </w:rPr>
        <w:tab/>
      </w:r>
      <w:r>
        <w:rPr>
          <w:rFonts w:ascii="Times New Roman" w:cs="Times New Roman" w:eastAsia="Times New Roman" w:hAnsi="Times New Roman"/>
          <w:sz w:val="16"/>
          <w:szCs w:val="16"/>
          <w:color w:val="auto"/>
        </w:rPr>
        <w:t>Page 30</w:t>
      </w:r>
      <w:r>
        <w:rPr>
          <w:sz w:val="20"/>
          <w:szCs w:val="20"/>
          <w:color w:val="auto"/>
        </w:rPr>
        <w:tab/>
      </w:r>
      <w:r>
        <w:rPr>
          <w:rFonts w:ascii="Times New Roman" w:cs="Times New Roman" w:eastAsia="Times New Roman" w:hAnsi="Times New Roman"/>
          <w:sz w:val="16"/>
          <w:szCs w:val="16"/>
          <w:color w:val="auto"/>
        </w:rPr>
        <w:t>ZEZAEBAA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47560" cy="152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type w:val="continuous"/>
        </w:sectPr>
      </w:pPr>
    </w:p>
    <w:bookmarkStart w:id="344" w:name="page345"/>
    <w:bookmarkEnd w:id="344"/>
    <w:p>
      <w:pPr>
        <w:jc w:val="right"/>
        <w:spacing w:after="0"/>
        <w:rPr>
          <w:sz w:val="20"/>
          <w:szCs w:val="20"/>
          <w:color w:val="auto"/>
        </w:rPr>
      </w:pPr>
      <w:r>
        <w:rPr>
          <w:rFonts w:ascii="Times New Roman" w:cs="Times New Roman" w:eastAsia="Times New Roman" w:hAnsi="Times New Roman"/>
          <w:sz w:val="16"/>
          <w:szCs w:val="16"/>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126365</wp:posOffset>
            </wp:positionV>
            <wp:extent cx="33020" cy="7810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9">
                      <a:extLst>
                        <a:ext uri="{28A0092B-C50C-407E-A947-70E740481C1C}"/>
                      </a:extLst>
                    </a:blip>
                    <a:srcRect/>
                    <a:stretch>
                      <a:fillRect/>
                    </a:stretch>
                  </pic:blipFill>
                  <pic:spPr bwMode="auto">
                    <a:xfrm>
                      <a:off x="0" y="0"/>
                      <a:ext cx="33020" cy="781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126365</wp:posOffset>
            </wp:positionV>
            <wp:extent cx="33020" cy="7810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0">
                      <a:extLst>
                        <a:ext uri="{28A0092B-C50C-407E-A947-70E740481C1C}"/>
                      </a:extLst>
                    </a:blip>
                    <a:srcRect/>
                    <a:stretch>
                      <a:fillRect/>
                    </a:stretch>
                  </pic:blipFill>
                  <pic:spPr bwMode="auto">
                    <a:xfrm>
                      <a:off x="0" y="0"/>
                      <a:ext cx="33020" cy="781050"/>
                    </a:xfrm>
                    <a:prstGeom prst="rect">
                      <a:avLst/>
                    </a:prstGeom>
                    <a:noFill/>
                  </pic:spPr>
                </pic:pic>
              </a:graphicData>
            </a:graphic>
          </wp:anchor>
        </w:drawing>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Important Notes.</w:t>
      </w:r>
    </w:p>
    <w:p>
      <w:pPr>
        <w:spacing w:after="0" w:line="201" w:lineRule="exact"/>
        <w:rPr>
          <w:sz w:val="20"/>
          <w:szCs w:val="20"/>
          <w:color w:val="auto"/>
        </w:rPr>
      </w:pPr>
    </w:p>
    <w:p>
      <w:pPr>
        <w:jc w:val="both"/>
        <w:ind w:left="100" w:right="1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(applicable in the case of working capital loans where no separate loan contract is required)</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NO. </w:t>
      </w:r>
      <w:r>
        <w:rPr>
          <w:rFonts w:ascii="Times New Roman" w:cs="Times New Roman" w:eastAsia="Times New Roman" w:hAnsi="Times New Roman"/>
          <w:sz w:val="16"/>
          <w:szCs w:val="16"/>
          <w:u w:val="single" w:color="auto"/>
          <w:color w:val="auto"/>
        </w:rPr>
        <w:t>120XY240606T000231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Grantor: </w:t>
      </w:r>
      <w:r>
        <w:rPr>
          <w:rFonts w:ascii="Times New Roman" w:cs="Times New Roman" w:eastAsia="Times New Roman" w:hAnsi="Times New Roman"/>
          <w:sz w:val="16"/>
          <w:szCs w:val="16"/>
          <w:color w:val="auto"/>
        </w:rPr>
        <w:t>China Merchants Bank Co. LTD Guangzhou branch (hereinafter referred to as Party 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Applicant</w:t>
      </w:r>
      <w:r>
        <w:rPr>
          <w:rFonts w:ascii="Times New Roman" w:cs="Times New Roman" w:eastAsia="Times New Roman" w:hAnsi="Times New Roman"/>
          <w:sz w:val="16"/>
          <w:szCs w:val="16"/>
          <w:color w:val="auto"/>
        </w:rPr>
        <w:t>: CLPS Guangzhou Co., Ltd. (hereinafter referred to as Party B)</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Credit limit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 xml:space="preserve">1.1 Under this Agreement, we shall provide you with a credit line (including revolving line and/or one-off line) in the amount of RMB </w:t>
      </w:r>
      <w:r>
        <w:rPr>
          <w:rFonts w:ascii="Times New Roman" w:cs="Times New Roman" w:eastAsia="Times New Roman" w:hAnsi="Times New Roman"/>
          <w:sz w:val="16"/>
          <w:szCs w:val="16"/>
          <w:u w:val="single" w:color="auto"/>
          <w:color w:val="auto"/>
        </w:rPr>
        <w:t>10 million</w:t>
      </w:r>
      <w:r>
        <w:rPr>
          <w:rFonts w:ascii="Times New Roman" w:cs="Times New Roman" w:eastAsia="Times New Roman" w:hAnsi="Times New Roman"/>
          <w:sz w:val="16"/>
          <w:szCs w:val="16"/>
          <w:color w:val="auto"/>
        </w:rPr>
        <w:t>. Party B may apply for specific business in other currencies within the credit line.</w:t>
      </w:r>
    </w:p>
    <w:p>
      <w:pPr>
        <w:spacing w:after="0" w:line="155"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Party A (or Party A’s subsidiary) and Party B originally entered into a</w:t>
      </w:r>
      <w:r>
        <w:rPr>
          <w:rFonts w:ascii="SimSun" w:cs="SimSun" w:eastAsia="SimSun" w:hAnsi="SimSun"/>
          <w:sz w:val="16"/>
          <w:szCs w:val="16"/>
          <w:color w:val="auto"/>
        </w:rPr>
        <w:t>《</w:t>
      </w:r>
      <w:r>
        <w:rPr>
          <w:rFonts w:ascii="Times New Roman" w:cs="Times New Roman" w:eastAsia="Times New Roman" w:hAnsi="Times New Roman"/>
          <w:sz w:val="16"/>
          <w:szCs w:val="16"/>
          <w:color w:val="auto"/>
        </w:rPr>
        <w:t>Credit Agreement</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with the number / (applicable to working capital loans that do not require a separate loan contract) (insert the name of the agreement here) , it will automatically be included under this agreement and will directly occupy the credit line under this agreement.</w:t>
      </w:r>
    </w:p>
    <w:p>
      <w:pPr>
        <w:spacing w:after="0" w:line="175"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 xml:space="preserve">1.2 The credit period shall be for a period of 12 months, from </w:t>
      </w:r>
      <w:r>
        <w:rPr>
          <w:rFonts w:ascii="Times New Roman" w:cs="Times New Roman" w:eastAsia="Times New Roman" w:hAnsi="Times New Roman"/>
          <w:sz w:val="16"/>
          <w:szCs w:val="16"/>
          <w:u w:val="single" w:color="auto"/>
          <w:color w:val="auto"/>
        </w:rPr>
        <w:t>2024.6.12</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2025.6.12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If Party B needs to use the credit line for specific credit business, it shall submit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spacing w:after="0" w:line="155"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45" w:name="page346"/>
    <w:bookmarkEnd w:id="345"/>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 Revolving Credit Limit means the maximum amount of the sum of the principal balance of one or more credit facilities referred to in the preceding paragraph that we may provide to you on a continuous and revolving basis during the credit period.</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2. credit line occupancy arrangements</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2.1 Specific credit operations applied for by you and approved by us during the credit period are automatically included in this Agreement and will be covered by the credit limit under this Agreement.</w:t>
      </w:r>
    </w:p>
    <w:p>
      <w:pPr>
        <w:spacing w:after="0" w:line="14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If Party A applies for factoring business in which Party B is the payer (debtor of the receivables), the credit line mentioned above shall be used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receivables claims assigned to Party B by Party A from a third party in such business; </w:t>
      </w:r>
      <w:r>
        <w:rPr>
          <w:rFonts w:ascii="Times New Roman" w:cs="Times New Roman" w:eastAsia="Times New Roman" w:hAnsi="Times New Roman"/>
          <w:sz w:val="16"/>
          <w:szCs w:val="16"/>
          <w:color w:val="auto"/>
        </w:rPr>
        <w:t>if Party B applies to Party A for factoring business in which Party B is the payee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spacing w:after="0" w:line="16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3. Approval and use of credit lines</w:t>
      </w:r>
    </w:p>
    <w:p>
      <w:pPr>
        <w:spacing w:after="0" w:line="20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6" w:name="page347"/>
    <w:bookmarkEnd w:id="346"/>
    <w:p>
      <w:pPr>
        <w:jc w:val="both"/>
        <w:ind w:right="20"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spacing w:after="0" w:line="161"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 w:cs="Times New Roman" w:eastAsia="Times New Roman" w:hAnsi="Times New Roman"/>
          <w:sz w:val="16"/>
          <w:szCs w:val="16"/>
          <w:b w:val="1"/>
          <w:bCs w:val="1"/>
          <w:color w:val="auto"/>
        </w:rPr>
        <w:t>The specific amount, interest rate, term, purpose, fees and other business elements of each loan or other credit business are determined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spacing w:after="0" w:line="141"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b w:val="1"/>
          <w:bCs w:val="1"/>
          <w:color w:val="auto"/>
        </w:rPr>
        <w:t>3.4 We shall have the right to adjust the benchmark interest rate or interest rate pricing method for loans/other credit facilities under this Agreement from time to time, taking into account changes in relevant national policies, domestic and international market conditions or our own credit policies. Such adjustment shall take effect upon notice by us to you (by way of announcement at our branches or the official website of China Merchants Bank, or by sending notice to any of the contact addresses/methods reserved by you in this Agreement); if you do not accept the adjustment, you may repay the loan early, otherwise you shall be deemed to have accepted the implementation of the notice. If the relevant financing business under this Agreement involves periodic repricing and the market benchmark interest rate is lower than 0 at the time of repricing, both parties agree to use 0 as the benchmark for calculating the interest rate pricing.</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In the event of any inconsistency between this clause and any other relevant agreement in this Agreement, the agreement in this clause shall prevail.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347" w:name="page348"/>
    <w:bookmarkEnd w:id="347"/>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spacing w:after="0" w:line="141"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3.6 During the credit period, we shall have the right to assess Party B’s operation and financial position on an annual basis and to adjust the credit limit available to Party B in the light of the assessment.</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 Interest rate terms for working capital loans</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4.2 If Party B fails to use the loan in accordance with this Agreement, a penalty interest rate </w:t>
      </w:r>
      <w:r>
        <w:rPr>
          <w:rFonts w:ascii="Times New Roman" w:cs="Times New Roman" w:eastAsia="Times New Roman" w:hAnsi="Times New Roman"/>
          <w:sz w:val="16"/>
          <w:szCs w:val="16"/>
          <w:b w:val="1"/>
          <w:bCs w:val="1"/>
          <w:u w:val="single" w:color="auto"/>
          <w:color w:val="auto"/>
        </w:rPr>
        <w:t>of 100% will be charged on the original</w:t>
      </w:r>
      <w:r>
        <w:rPr>
          <w:rFonts w:ascii="Times New Roman" w:cs="Times New Roman" w:eastAsia="Times New Roman" w:hAnsi="Times New Roman"/>
          <w:sz w:val="16"/>
          <w:szCs w:val="16"/>
          <w:b w:val="1"/>
          <w:bCs w:val="1"/>
          <w:color w:val="auto"/>
        </w:rPr>
        <w:t xml:space="preserve"> interest rate from the date of change of use for the portion of the loan not used for the agreed purpose. The original interest rate refers to the interest rate that was applicable before the change of use of the loan.</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If Party B fails to repay the loan on time, late interest (penalty interest) will be charged on the outstanding portion of the loan from the overdue date at a rate of </w:t>
      </w:r>
      <w:r>
        <w:rPr>
          <w:rFonts w:ascii="Times New Roman" w:cs="Times New Roman" w:eastAsia="Times New Roman" w:hAnsi="Times New Roman"/>
          <w:sz w:val="16"/>
          <w:szCs w:val="16"/>
          <w:b w:val="1"/>
          <w:bCs w:val="1"/>
          <w:u w:val="single" w:color="auto"/>
          <w:color w:val="auto"/>
        </w:rPr>
        <w:t>50% (the</w:t>
      </w:r>
      <w:r>
        <w:rPr>
          <w:rFonts w:ascii="Times New Roman" w:cs="Times New Roman" w:eastAsia="Times New Roman" w:hAnsi="Times New Roman"/>
          <w:sz w:val="16"/>
          <w:szCs w:val="16"/>
          <w:b w:val="1"/>
          <w:bCs w:val="1"/>
          <w:color w:val="auto"/>
        </w:rPr>
        <w:t xml:space="preserve"> 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If the loan is both overdue and not used for the contracted purpose, interest will accrue on the higher of the above provisions.</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4.3 In the event that the People’s Bank of China adjusts the regulations on loan interest rates during the term of the loan, the relevant regulations of the People’s Bank of China shall apply.</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4.4 If the maturity date of the loan falls on a holiday, the loan will automatically be postponed to the first working day after the holiday and the interest will be calculated according to the actual number of days the loan funds are occupied.</w:t>
      </w:r>
    </w:p>
    <w:p>
      <w:pPr>
        <w:spacing w:after="0" w:line="14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spacing w:after="0" w:line="16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 Guarantee clause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8" w:name="page349"/>
    <w:bookmarkEnd w:id="348"/>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by Party A. other security measures that are acceptable to us.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 Party B’s rights and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 Party B shall have the following rights.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6.1.1 the right to require us to provide a loan or other credit within the credit limit on the terms set out in this Agreement.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6.1.2 the right to use the credit line as agreed in this Agreement.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6.1.3 the right to require Party A to keep confidential the production, operations, property and accounts provided by Party B, except as otherwise provided in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6.1.4 The right to assign the debt to a third party with our written consent.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 Party B undertakes the following obligations.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6.2.2 shall accept Party A’s supervision of its use of credit funds and related production, operation and financial activities.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6.2.3 Loans and/or other credits shall be used as agreed and/or committed to in this Agreement and in each specific operational text.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6.2.4 shall repay in full and on time the principal, interest and fees on loans, advances and other credit obligations as agreed in this Agreement and each specific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6.2.5 the assignment of all or part of the obligations under this Agreement to a third party shall be subject to our written consent.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49" w:name="page350"/>
    <w:bookmarkEnd w:id="349"/>
    <w:p>
      <w:pPr>
        <w:ind w:left="280"/>
        <w:spacing w:after="0"/>
        <w:rPr>
          <w:sz w:val="20"/>
          <w:szCs w:val="20"/>
          <w:color w:val="auto"/>
        </w:rPr>
      </w:pPr>
      <w:r>
        <w:rPr>
          <w:rFonts w:ascii="Times New Roman" w:cs="Times New Roman" w:eastAsia="Times New Roman" w:hAnsi="Times New Roman"/>
          <w:sz w:val="16"/>
          <w:szCs w:val="16"/>
          <w:color w:val="auto"/>
        </w:rPr>
        <w:t>6.2.6.1 the occurrence of a significant financial loss, loss of assets or other financial crisis.</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6.2.6.2 loans or guarantees for the benefit of third parties or for the protection of third parties against loss, or guarantees of credit (pledge) on own property (rights).</w:t>
      </w:r>
    </w:p>
    <w:p>
      <w:pPr>
        <w:spacing w:after="0" w:line="140"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spacing w:after="0" w:line="153"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6.2.6.4 where its controlling shareholder or other affiliated companies or the de facto controller has a major crisis in operation or finance which affects </w:t>
      </w:r>
      <w:r>
        <w:rPr>
          <w:rFonts w:ascii="Times New Roman" w:cs="Times New Roman" w:eastAsia="Times New Roman" w:hAnsi="Times New Roman"/>
          <w:sz w:val="16"/>
          <w:szCs w:val="16"/>
          <w:b w:val="1"/>
          <w:bCs w:val="1"/>
          <w:color w:val="auto"/>
        </w:rPr>
        <w:t>its normal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spacing w:after="0" w:line="15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6.2.6.6 the occurrence of any litigation, arbitration or criminal or administrative penalty that has a material adverse effect on its business or property position.</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6.2.6.8 The occurrence of other material events that may affect the solvency of Party B and or its controlling shareholders/actual controllers.</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6.2.7 Not to neglect to manage and pursue its claims as they fall due, or to dispose of existing major property without compensation and in other inappropriate ways.</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spacing w:after="0" w:line="14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 xml:space="preserve">6.2.9 In the case of pledge of accounts receivable, Party B guarantees that the credit balance at any point during the credit period is less than </w:t>
      </w:r>
      <w:r>
        <w:rPr>
          <w:rFonts w:ascii="Times New Roman" w:cs="Times New Roman" w:eastAsia="Times New Roman" w:hAnsi="Times New Roman"/>
          <w:sz w:val="16"/>
          <w:szCs w:val="16"/>
          <w:u w:val="single" w:color="auto"/>
          <w:color w:val="auto"/>
        </w:rPr>
        <w:t>70% of the pledged accounts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receivable balance</w:t>
      </w:r>
      <w:r>
        <w:rPr>
          <w:rFonts w:ascii="Times New Roman" w:cs="Times New Roman" w:eastAsia="Times New Roman" w:hAnsi="Times New Roman"/>
          <w:sz w:val="16"/>
          <w:szCs w:val="16"/>
          <w:color w:val="auto"/>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0" w:name="page351"/>
    <w:bookmarkEnd w:id="350"/>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 xml:space="preserve">6.2.10 In the event that the balance in the margin account is less than </w:t>
      </w:r>
      <w:r>
        <w:rPr>
          <w:rFonts w:ascii="Times New Roman" w:cs="Times New Roman" w:eastAsia="Times New Roman" w:hAnsi="Times New Roman"/>
          <w:sz w:val="16"/>
          <w:szCs w:val="16"/>
          <w:u w:val="single" w:color="auto"/>
          <w:color w:val="auto"/>
        </w:rPr>
        <w:t>105%</w:t>
      </w:r>
      <w:r>
        <w:rPr>
          <w:rFonts w:ascii="Times New Roman" w:cs="Times New Roman" w:eastAsia="Times New Roman" w:hAnsi="Times New Roman"/>
          <w:sz w:val="16"/>
          <w:szCs w:val="16"/>
          <w:color w:val="auto"/>
        </w:rPr>
        <w:t xml:space="preserve"> of the amount of the specific operation to which it relates due to exchange rate fluctuations, Party B shall be obliged to provide additional margin or other security in the corresponding amount as required by Party A. In the event that Party B provides a margin pledge, Party B shall be obliged to provide additional margin or other security in the corresponding amount as required by Party A.</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6.2.11 To ensure that the payment for sales under import is recovered from the account designated by Party A; and to transfer the bills and/or documents under the letter of credit to Party A under export negotiation.</w:t>
      </w:r>
    </w:p>
    <w:p>
      <w:pPr>
        <w:spacing w:after="0" w:line="14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 Party A’s rights and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 We shall have the following rights.</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7.1.1 the right to require you to repay the principal, interest and costs of loans, advances and other credit obligations under this Agreement and the specific Contract in full and on time.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7.1.2 the right to request information from you in relation to the use of its credit facilities.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7.1.3 the right to be informed of Party B’s production operations and financial activities.</w:t>
      </w:r>
    </w:p>
    <w:p>
      <w:pPr>
        <w:spacing w:after="0" w:line="20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 xml:space="preserve">7.1.4 the right to supervise the use of loans and/or other credit facilities by Party B in accordance with the purposes agreed in this Agreement and each specific business text; </w:t>
      </w:r>
      <w:r>
        <w:rPr>
          <w:rFonts w:ascii="Times New Roman" w:cs="Times New Roman" w:eastAsia="Times New Roman" w:hAnsi="Times New Roman"/>
          <w:sz w:val="16"/>
          <w:szCs w:val="16"/>
          <w:b w:val="1"/>
          <w:bCs w:val="1"/>
          <w:color w:val="auto"/>
        </w:rPr>
        <w:t>the right to unilaterally and directly suspend or restrict the corporate internet banking / corporate APP / other online functions of Party B’s account (including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7.1.5 has the right to entrust other branches of China Merchants Bank located at the beneficiary’s location to re-open letters of credit to the beneficiary after accepting Party B’s application to open a letter of credit, as required by its internal processes.</w:t>
      </w:r>
    </w:p>
    <w:p>
      <w:pPr>
        <w:spacing w:after="0" w:line="14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1" w:name="page352"/>
    <w:bookmarkEnd w:id="351"/>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7.1.7 the right to assign the claims it has against Party B and the right to </w:t>
      </w:r>
      <w:r>
        <w:rPr>
          <w:rFonts w:ascii="Times New Roman" w:cs="Times New Roman" w:eastAsia="Times New Roman" w:hAnsi="Times New Roman"/>
          <w:sz w:val="16"/>
          <w:szCs w:val="16"/>
          <w:b w:val="1"/>
          <w:bCs w:val="1"/>
          <w:color w:val="auto"/>
        </w:rPr>
        <w:t>notify Party B of the assignment by</w:t>
      </w:r>
      <w:r>
        <w:rPr>
          <w:rFonts w:ascii="Times New Roman" w:cs="Times New Roman" w:eastAsia="Times New Roman" w:hAnsi="Times New Roman"/>
          <w:sz w:val="16"/>
          <w:szCs w:val="16"/>
          <w:color w:val="auto"/>
        </w:rPr>
        <w:t xml:space="preserve"> such means as it considers appropriate, including but not limited to facsimile, post, personal service, </w:t>
      </w:r>
      <w:r>
        <w:rPr>
          <w:rFonts w:ascii="Times New Roman" w:cs="Times New Roman" w:eastAsia="Times New Roman" w:hAnsi="Times New Roman"/>
          <w:sz w:val="16"/>
          <w:szCs w:val="16"/>
          <w:b w:val="1"/>
          <w:bCs w:val="1"/>
          <w:color w:val="auto"/>
        </w:rPr>
        <w:t>announcement in the public media, etc., and to make collection calls on Party B.</w:t>
      </w:r>
    </w:p>
    <w:p>
      <w:pPr>
        <w:spacing w:after="0" w:line="14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spacing w:after="0" w:line="14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7.1.10 Other rights under this Agreement.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7.2 Party A undertakes the following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7.2.1 the granting of loans or other credit to you within the credit limit on the terms set out in this Agreement and in each specific contract.</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 In particular, Party B warrants the following</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8.2 the execution and performance of this Agreement has been fully authorised by the Board or any other authorised body.</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8.4 Strictly comply with the agreements of each specific operational text and the various types of correspondence and relevant documents issued to us.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352" w:name="page353"/>
    <w:bookmarkEnd w:id="352"/>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8.8 you shall not settle other long-term debts in advance without our permission.</w:t>
      </w:r>
    </w:p>
    <w:p>
      <w:pPr>
        <w:spacing w:after="0" w:line="20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8.9 The loan items applied for under the credit line are in compliance with the requirements of laws and regulations, and the loan will not be used for investments in fixed assets, equity, etc., or for speculative buying and selling of securities, futures and real estate; will not be used for lending to each other to make illegal income; will not be used in areas and for purposes prohibited by the State for production and operation; and will not be used for purposes other than those stipulated in this Agreement and each specific business text.</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the loan funds are disbursed by the borrower, Party B shall regularly (at least on a monthly basis) report to Party A the summary of the loan funds disbursement, and Party A has the right to verify whether the loan disbursement is in accordance with the agreed purpose through account analysis, voucher checking and on-site investigation.</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8.10 At the time of entering into and performing this Agreement, no other material event has occurred to you which affects the performance of your obligations under this Agreement.</w:t>
      </w:r>
    </w:p>
    <w:p>
      <w:pPr>
        <w:spacing w:after="0" w:line="143" w:lineRule="exact"/>
        <w:rPr>
          <w:sz w:val="20"/>
          <w:szCs w:val="20"/>
          <w:color w:val="auto"/>
        </w:rPr>
      </w:pPr>
    </w:p>
    <w:p>
      <w:pPr>
        <w:ind w:left="440" w:hanging="155"/>
        <w:spacing w:after="0"/>
        <w:tabs>
          <w:tab w:leader="none" w:pos="440" w:val="left"/>
        </w:tabs>
        <w:numPr>
          <w:ilvl w:val="0"/>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on working capital loans</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 Withdrawals and drawdowns</w:t>
      </w:r>
    </w:p>
    <w:p>
      <w:pPr>
        <w:spacing w:after="0" w:line="200" w:lineRule="exact"/>
        <w:rPr>
          <w:rFonts w:ascii="Times New Roman" w:cs="Times New Roman" w:eastAsia="Times New Roman" w:hAnsi="Times New Roman"/>
          <w:sz w:val="16"/>
          <w:szCs w:val="16"/>
          <w:color w:val="auto"/>
        </w:rPr>
      </w:pPr>
    </w:p>
    <w:p>
      <w:pPr>
        <w:ind w:left="280" w:right="4260"/>
        <w:spacing w:after="0" w:line="5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use of the Working Capital Loan under this Agreement will be made both on your own and in trust. 9.1.1 Autonomous payments</w:t>
      </w:r>
    </w:p>
    <w:p>
      <w:pPr>
        <w:spacing w:after="0" w:line="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Self-disbursement is the disbursement of loan funds by us to your account after we have released the loan funds to your account in accordance with your request for withdrawal, and then by you to your counterparty who meets the agreed purpose.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9.1.2 Fiduciary payments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53" w:name="page354"/>
    <w:bookmarkEnd w:id="353"/>
    <w:p>
      <w:pPr>
        <w:ind w:left="280"/>
        <w:spacing w:after="0"/>
        <w:rPr>
          <w:sz w:val="20"/>
          <w:szCs w:val="20"/>
          <w:color w:val="auto"/>
        </w:rPr>
      </w:pPr>
      <w:r>
        <w:rPr>
          <w:rFonts w:ascii="Times New Roman" w:cs="Times New Roman" w:eastAsia="Times New Roman" w:hAnsi="Times New Roman"/>
          <w:sz w:val="16"/>
          <w:szCs w:val="16"/>
          <w:color w:val="auto"/>
        </w:rPr>
        <w:t>9.1.3 you shall use the fiduciary payment method unconditionally and in full if</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9.1.3.1 Where a single withdrawal by Party B exceeds </w:t>
      </w:r>
      <w:r>
        <w:rPr>
          <w:rFonts w:ascii="Times New Roman" w:cs="Times New Roman" w:eastAsia="Times New Roman" w:hAnsi="Times New Roman"/>
          <w:sz w:val="16"/>
          <w:szCs w:val="16"/>
          <w:u w:val="single" w:color="auto"/>
          <w:color w:val="auto"/>
        </w:rPr>
        <w:t>RMB 10</w:t>
      </w:r>
      <w:r>
        <w:rPr>
          <w:rFonts w:ascii="Times New Roman" w:cs="Times New Roman" w:eastAsia="Times New Roman" w:hAnsi="Times New Roman"/>
          <w:sz w:val="16"/>
          <w:szCs w:val="16"/>
          <w:color w:val="auto"/>
        </w:rPr>
        <w:t xml:space="preserve"> million (inclusive, or its equivalent in foreign currency).</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9.1.3.2 Where Party A requires Party B to adopt a fiduciary payment method in accordance with regulatory requirements or for risk management purposes.</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9.1.4 If payment is made on trust, external payment after loan disbursement must be approved by Party A. Party B shall not circumvent Party A’s supervision by means of online banking, reverse cheque withdrawal or conversion of the whole amount into zero.</w:t>
      </w:r>
    </w:p>
    <w:p>
      <w:pPr>
        <w:spacing w:after="0" w:line="143"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 w:cs="Times New Roman" w:eastAsia="Times New Roman" w:hAnsi="Times New Roman"/>
          <w:sz w:val="16"/>
          <w:szCs w:val="16"/>
          <w:b w:val="1"/>
          <w:bCs w:val="1"/>
          <w:color w:val="auto"/>
        </w:rPr>
        <w:t>not be liable for any</w:t>
      </w:r>
      <w:r>
        <w:rPr>
          <w:rFonts w:ascii="Times New Roman" w:cs="Times New Roman" w:eastAsia="Times New Roman" w:hAnsi="Times New Roman"/>
          <w:sz w:val="16"/>
          <w:szCs w:val="16"/>
          <w:color w:val="auto"/>
        </w:rPr>
        <w:t xml:space="preserve"> delay or failure in the payment of funds due to inaccurate or incomplete payment information provided by Party B, resulting in </w:t>
      </w:r>
      <w:r>
        <w:rPr>
          <w:rFonts w:ascii="Times New Roman" w:cs="Times New Roman" w:eastAsia="Times New Roman" w:hAnsi="Times New Roman"/>
          <w:sz w:val="16"/>
          <w:szCs w:val="16"/>
          <w:b w:val="1"/>
          <w:bCs w:val="1"/>
          <w:color w:val="auto"/>
        </w:rPr>
        <w:t>Party B’s default or formation of other losses to its counterparty.</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9.3 Loan extensions</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 Events of default and handling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10.1 An event of default shall be deemed to have occurred if Party B.</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10.1.1 Failure to perform or breach of each of its obligations under this Agreement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10.1.2 if there is any untruthfulness or incompleteness in the Special Warranties by Party B under this Agreement, or if Party B breaches the Special Warranties and fails to rectify the same as required by Party A.</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10.1.4 a material breach by Party B under a legally valid contract with another creditor which is not satisfactorily resolved within three months from the date of the breach.</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The foregoing material breach means that Party B’s breach of contract results in its creditors being entitled to claim from it for an amount </w:t>
      </w:r>
      <w:r>
        <w:rPr>
          <w:rFonts w:ascii="Times New Roman" w:cs="Times New Roman" w:eastAsia="Times New Roman" w:hAnsi="Times New Roman"/>
          <w:sz w:val="16"/>
          <w:szCs w:val="16"/>
          <w:b w:val="1"/>
          <w:bCs w:val="1"/>
          <w:u w:val="single" w:color="auto"/>
          <w:color w:val="auto"/>
        </w:rPr>
        <w:t>of RMB1</w:t>
      </w:r>
      <w:r>
        <w:rPr>
          <w:rFonts w:ascii="Times New Roman" w:cs="Times New Roman" w:eastAsia="Times New Roman" w:hAnsi="Times New Roman"/>
          <w:sz w:val="16"/>
          <w:szCs w:val="16"/>
          <w:b w:val="1"/>
          <w:bCs w:val="1"/>
          <w:color w:val="auto"/>
        </w:rPr>
        <w:t xml:space="preserve"> million or more.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54" w:name="page355"/>
    <w:bookmarkEnd w:id="354"/>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10.1.8 where Party B draws down the loan in a “fractional” manner in order to circumvent the requirement under this Agreement that Party B should entrust Party A with the external disbursement of the loan funds.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10.1.9 Your business activities may pose anti-money laundering or sanctions compliance risks to us.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10.1.10 occurrence of other circumstances which we consider to be detrimental to our legitimate rights and interests.</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10.2.1 the occurrence of one of the circumstances similar to those described in clause 6.2.6 of this Agreement, or the occurrence of a circumstance described in clause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6.2.8 without our consent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10.2.2 the issuance of an irrevocable guarantee conceals its actual capacity to assume liability or is not authorized by a competent authority.</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10.2.3 Failure to comply with registration, annual business report procedures and/or extension/extension of business term procedures, etc. on time.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10.2.4 neglects to manage and pursue its claims as they become due or disposes of existing major property without compensation or in any other improper manner.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10.2.5 breach of any obligation, undertaking or statement in an irrevocable undertaking signed by it.</w:t>
      </w:r>
    </w:p>
    <w:p>
      <w:pPr>
        <w:spacing w:after="0" w:line="19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5" w:name="page356"/>
    <w:bookmarkEnd w:id="355"/>
    <w:p>
      <w:pPr>
        <w:ind w:left="280"/>
        <w:spacing w:after="0"/>
        <w:rPr>
          <w:sz w:val="20"/>
          <w:szCs w:val="20"/>
          <w:color w:val="auto"/>
        </w:rPr>
      </w:pPr>
      <w:r>
        <w:rPr>
          <w:rFonts w:ascii="Times New Roman" w:cs="Times New Roman" w:eastAsia="Times New Roman" w:hAnsi="Times New Roman"/>
          <w:sz w:val="16"/>
          <w:szCs w:val="16"/>
          <w:color w:val="auto"/>
        </w:rPr>
        <w:t>10.3.1 there is no right of ownership or disposition of the collateral (or pledge), or the ownership is disputed.</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10.3.5 where the mortgaged property has been or may be included in the scope of government demolition or expropriation and the mortgagor fails to immediately inform us and perform the relevant obligations as agreed in the mortgage contract.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10.3.7 where the pledgee pledges financial products, the source of funding for the subscription of the financial products is not legal/compliant.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10.3.8 other matters occurring or likely to occur in relation to the mortgage (pledge) affecting the value of the mortgage (pledge) or affecting our mortgage (pledge) rights,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etc.</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10.3.9 the mortgagor (or pledgee) breaches any obligation, promise or representation in the mortgage contract/pledge contract signed by him.</w:t>
      </w:r>
    </w:p>
    <w:p>
      <w:pPr>
        <w:spacing w:after="0" w:line="199"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10.4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6" w:name="page357"/>
    <w:bookmarkEnd w:id="356"/>
    <w:p>
      <w:pPr>
        <w:ind w:left="280"/>
        <w:spacing w:after="0"/>
        <w:rPr>
          <w:sz w:val="20"/>
          <w:szCs w:val="20"/>
          <w:color w:val="auto"/>
        </w:rPr>
      </w:pPr>
      <w:r>
        <w:rPr>
          <w:rFonts w:ascii="Times New Roman" w:cs="Times New Roman" w:eastAsia="Times New Roman" w:hAnsi="Times New Roman"/>
          <w:sz w:val="16"/>
          <w:szCs w:val="16"/>
          <w:color w:val="auto"/>
        </w:rPr>
        <w:t>10.5 In the event of any of the above events of default, we shall be entitled to take the following measures separately or concurrently.</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10.5.1 reduce the amount of credit granted under this Agreement or discontinue the use of the remaining credit line.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10.5.2 early recovery of principal, interest and related fees on loans granted within the credit limit.</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10.5.3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10.5.4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spacing w:after="0" w:line="154"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10.5.5 Party A may also directly request Party B to provide other property acceptable to Party A as new security as appropriate. </w:t>
      </w:r>
      <w:r>
        <w:rPr>
          <w:rFonts w:ascii="Times New Roman" w:cs="Times New Roman" w:eastAsia="Times New Roman" w:hAnsi="Times New Roman"/>
          <w:sz w:val="16"/>
          <w:szCs w:val="16"/>
          <w:b w:val="1"/>
          <w:bCs w:val="1"/>
          <w:color w:val="auto"/>
        </w:rPr>
        <w:t>If Party B fails to provide new security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as requested, Party B shall be liable for liquidated damages equivalent to </w:t>
      </w:r>
      <w:r>
        <w:rPr>
          <w:rFonts w:ascii="Times New Roman" w:cs="Times New Roman" w:eastAsia="Times New Roman" w:hAnsi="Times New Roman"/>
          <w:sz w:val="16"/>
          <w:szCs w:val="16"/>
          <w:b w:val="1"/>
          <w:bCs w:val="1"/>
          <w:u w:val="single" w:color="auto"/>
          <w:color w:val="auto"/>
        </w:rPr>
        <w:t>30% of the</w:t>
      </w:r>
      <w:r>
        <w:rPr>
          <w:rFonts w:ascii="Times New Roman" w:cs="Times New Roman" w:eastAsia="Times New Roman" w:hAnsi="Times New Roman"/>
          <w:sz w:val="16"/>
          <w:szCs w:val="16"/>
          <w:b w:val="1"/>
          <w:bCs w:val="1"/>
          <w:color w:val="auto"/>
        </w:rPr>
        <w:t xml:space="preserve"> amount of the credit facility under this Agreement.</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10.5.6 to directly freeze/withhold the deposits in any settlement account and/or other accounts opened by Party B with China Merchants Bank, to stop opening new settlement accounts for Party B and to stop issuing new credit cards to Party B’s legal representatives.</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10.5.7 to report to credit reference agencies and banking associations information on Party B’s default and breach of trust, and have the right to share such information among banking institutions and even publicize it to the community through appropriate means.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10.5.8 dispose of the pledge and/or recover it from the guarantor in accordance with the provisions of the security text.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10.5.9 for working capital loans under the credit facility, change the terms of the loan funds entrusted to you and remove the use of the loan by you on a “self-pay” basis.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10.5.10 Recourse in accordance with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7" w:name="page358"/>
    <w:bookmarkEnd w:id="357"/>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10.6 The amounts recovered by us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Party A has the right to unilaterally adjust the above repayment order, unless otherwise required by law or regulation.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 Changes and additions to the agreement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This agreement may be varied by mutual agreement and written agreement between A and B. Until such time as a written agreement is reached, this Agreement shall remain in force. Neither party may make unilateral changes to this agreement.</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written supplemental agreements reached by consensus between A and B in respect of matters not covered by this Agreement and changes thereto, as well as each specific business text under this Agreement, shall form an integral part of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 Other matters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If, as a result of changes in applicable laws and policy requirements, Party A incurs additional costs in performing its obligations under the Agreement, Party B shall reimburse Party A for the additional costs incurred at Party A’s request.</w:t>
      </w:r>
    </w:p>
    <w:p>
      <w:pPr>
        <w:spacing w:after="0" w:line="14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12.3.1 Party B acknowledges and agrees to use Party B’s China Merchants Bank Corporate Internet Banking / Corporate App and Party B’s contact address, email, fax number, mobile phone number or micro-signal set out in this Agreement as Party B’s address for service of all commercial and legal documents under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58" w:name="page359"/>
    <w:bookmarkEnd w:id="358"/>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The commercial documents referred to in this Article refer to all kinds of commercial documents such as business notices, confirmations, default notices, early maturity notices, overdue reminders, etc. formed in the course of business transactions under this Agreement; the legal documents referred to in this Article include notarized documents and judicial documents (including but not limited to indictment/application for arbitration, appeal, reply, evidence, summons, notice of appeal, notice of proof, notice of court hearing, notice of hearing, judgment/judgment, ruling, mediation, notice of deadline for performance, etc.). (including, but not limited to, documents for trial and enforcement, such as indictment/arbitration application, appeal, defence, evidence, summons, notice of appeal, notice of proof, notice of hearing, judgment/award, ruling, conciliation, notice of deadline for performance).</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Service by Party A, the Court of Appeal and the Notary Public by the means of service agreed in this Agreement to the address for service agreed in the preceding paragraph shall be deemed to be valid service.</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 xml:space="preserve">12.3.2 Party B acknowledges and agrees that: if delivered by hand (including but not limited to delivery by lawyers/notaries, courier delivery, etc.), delivery shall be deemed to have been effected upon signature by the recipient (if the </w:t>
      </w:r>
      <w:r>
        <w:rPr>
          <w:rFonts w:ascii="Times New Roman" w:cs="Times New Roman" w:eastAsia="Times New Roman" w:hAnsi="Times New Roman"/>
          <w:sz w:val="16"/>
          <w:szCs w:val="16"/>
          <w:b w:val="1"/>
          <w:bCs w:val="1"/>
          <w:color w:val="auto"/>
        </w:rPr>
        <w:t>recipient refuses to accept, delivery shall be deemed to have been effected upon the expiry of seven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days from the date of refusal/return or the date of posting, whichever is earlier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if delivered by postal letter, delivery shall be deemed to have been effected upon the expiry of seven days from the date of posting; if delivered </w:t>
      </w:r>
      <w:r>
        <w:rPr>
          <w:rFonts w:ascii="Times New Roman" w:cs="Times New Roman" w:eastAsia="Times New Roman" w:hAnsi="Times New Roman"/>
          <w:sz w:val="16"/>
          <w:szCs w:val="16"/>
          <w:color w:val="auto"/>
        </w:rPr>
        <w:t>by fax, email, China Merchants Bank Corporate Internet Banking/Enterprise App (i.e. delivery to Party B’s China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Merchants Bank Corporate Internet Banking/Enterprise App via China Merchants Bank Corporate Internet Banking/Enterprise App), mobile phone SMS or WeChat, etc. (i.e. delivered to Party B’s China Merchants Bank Corporate Internet Banking/Enterprise App via China Merchants Bank Corporate Internet Banking/Enterprise App), mobile phone SMS or WeChat, etc., the date of delivery shall be deemed to be the date of delivery when the corresponding system/electronic device of Party A shows successful delivery. </w:t>
      </w:r>
      <w:r>
        <w:rPr>
          <w:rFonts w:ascii="Times New Roman" w:cs="Times New Roman" w:eastAsia="Times New Roman" w:hAnsi="Times New Roman"/>
          <w:sz w:val="16"/>
          <w:szCs w:val="16"/>
          <w:b w:val="1"/>
          <w:bCs w:val="1"/>
          <w:color w:val="auto"/>
        </w:rPr>
        <w:t>If Party A notifies Party B of the transfer of debts or makes a collection call on Party B by way of announcement in the public media, the date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announcement shall be deemed to be the date of service.</w:t>
      </w:r>
    </w:p>
    <w:p>
      <w:pPr>
        <w:spacing w:after="0" w:line="165"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spacing w:after="0" w:line="162"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9" w:name="page360"/>
    <w:bookmarkEnd w:id="359"/>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12.3.5 The address and mode of service agreed in this article apply to all stages of the contract performance, dispute resolution, arbitration, court hearing (first trial, second trial, retrial) and enforcement.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12.4 The Parties agree that for each application for business under the Trade Finance Business, it is sufficient for Party B to affix its reserved seal on Party A and both Parties acknowledge the validity of such signature.</w:t>
      </w:r>
    </w:p>
    <w:p>
      <w:pPr>
        <w:spacing w:after="0" w:line="14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spacing w:after="0" w:line="162"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spacing w:after="0" w:line="16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12.7 The annexes under this Agreement form an integral part of this Agreement and shall automatically apply to the corresponding specific operations actually occurring between the Parties.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12.8 Covering costs</w:t>
      </w:r>
    </w:p>
    <w:p>
      <w:pPr>
        <w:spacing w:after="0" w:line="201" w:lineRule="exact"/>
        <w:rPr>
          <w:sz w:val="20"/>
          <w:szCs w:val="20"/>
          <w:color w:val="auto"/>
        </w:rPr>
      </w:pPr>
    </w:p>
    <w:p>
      <w:pPr>
        <w:ind w:right="20" w:firstLine="285"/>
        <w:spacing w:after="0" w:line="214" w:lineRule="exact"/>
        <w:tabs>
          <w:tab w:leader="none" w:pos="486" w:val="left"/>
        </w:tabs>
        <w:numPr>
          <w:ilvl w:val="0"/>
          <w:numId w:val="33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12.8.1 Where this Agreement involves Party B taking out accident insurance with Party A as the first beneficiary, the relevant insurance costs shall be borne in the following form (a tick in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indicates that the provisions of this clause apply).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Please tick one of the following.</w:t>
      </w:r>
    </w:p>
    <w:p>
      <w:pPr>
        <w:spacing w:after="0" w:line="201" w:lineRule="exact"/>
        <w:rPr>
          <w:sz w:val="20"/>
          <w:szCs w:val="20"/>
          <w:color w:val="auto"/>
        </w:rPr>
      </w:pPr>
    </w:p>
    <w:p>
      <w:pPr>
        <w:ind w:left="460" w:hanging="175"/>
        <w:spacing w:after="0"/>
        <w:tabs>
          <w:tab w:leader="none" w:pos="460" w:val="left"/>
        </w:tabs>
        <w:numPr>
          <w:ilvl w:val="0"/>
          <w:numId w:val="34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Party A is responsible for.</w:t>
      </w:r>
    </w:p>
    <w:p>
      <w:pPr>
        <w:spacing w:after="0" w:line="198" w:lineRule="exact"/>
        <w:rPr>
          <w:rFonts w:ascii="MS PGothic" w:cs="MS PGothic" w:eastAsia="MS PGothic" w:hAnsi="MS PGothic"/>
          <w:sz w:val="16"/>
          <w:szCs w:val="16"/>
          <w:color w:val="auto"/>
        </w:rPr>
      </w:pPr>
    </w:p>
    <w:p>
      <w:pPr>
        <w:ind w:left="460" w:hanging="175"/>
        <w:spacing w:after="0"/>
        <w:tabs>
          <w:tab w:leader="none" w:pos="460" w:val="left"/>
        </w:tabs>
        <w:numPr>
          <w:ilvl w:val="0"/>
          <w:numId w:val="340"/>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 and B share in the following proportions: Party A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 Party B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w:t>
      </w:r>
    </w:p>
    <w:p>
      <w:pPr>
        <w:spacing w:after="0" w:line="202" w:lineRule="exact"/>
        <w:rPr>
          <w:rFonts w:ascii="MS PGothic" w:cs="MS PGothic" w:eastAsia="MS PGothic" w:hAnsi="MS PGothic"/>
          <w:sz w:val="16"/>
          <w:szCs w:val="16"/>
          <w:color w:val="auto"/>
        </w:rPr>
      </w:pPr>
    </w:p>
    <w:p>
      <w:pPr>
        <w:ind w:right="20" w:firstLine="285"/>
        <w:spacing w:after="0" w:line="214" w:lineRule="exact"/>
        <w:tabs>
          <w:tab w:leader="none" w:pos="477" w:val="left"/>
        </w:tabs>
        <w:numPr>
          <w:ilvl w:val="0"/>
          <w:numId w:val="34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12.8.2 Where this Agreement relates to enforcement notary fees (other than the fee for the application for the issue of a certificate of enforcement), the following form of fee payment shall apply (a tick in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indicates that the provisions of this clause apply).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Please tick one of the following.</w:t>
      </w:r>
    </w:p>
    <w:p>
      <w:pPr>
        <w:spacing w:after="0" w:line="201" w:lineRule="exact"/>
        <w:rPr>
          <w:sz w:val="20"/>
          <w:szCs w:val="20"/>
          <w:color w:val="auto"/>
        </w:rPr>
      </w:pPr>
    </w:p>
    <w:p>
      <w:pPr>
        <w:ind w:left="460" w:hanging="175"/>
        <w:spacing w:after="0"/>
        <w:tabs>
          <w:tab w:leader="none" w:pos="460" w:val="left"/>
        </w:tabs>
        <w:numPr>
          <w:ilvl w:val="0"/>
          <w:numId w:val="3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bears</w:t>
      </w:r>
    </w:p>
    <w:p>
      <w:pPr>
        <w:spacing w:after="0" w:line="198" w:lineRule="exact"/>
        <w:rPr>
          <w:rFonts w:ascii="MS PGothic" w:cs="MS PGothic" w:eastAsia="MS PGothic" w:hAnsi="MS PGothic"/>
          <w:sz w:val="16"/>
          <w:szCs w:val="16"/>
          <w:color w:val="auto"/>
        </w:rPr>
      </w:pPr>
    </w:p>
    <w:p>
      <w:pPr>
        <w:ind w:left="460" w:hanging="175"/>
        <w:spacing w:after="0"/>
        <w:tabs>
          <w:tab w:leader="none" w:pos="460" w:val="left"/>
        </w:tabs>
        <w:numPr>
          <w:ilvl w:val="0"/>
          <w:numId w:val="34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 and B share in the following proportions: Party A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 Party B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0" w:name="page361"/>
    <w:bookmarkEnd w:id="360"/>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12.8.3 In other matters where services are entrusted to a third party, the relevant costs shall be borne by the principal. If both parties are jointly acting as principal, each shall bear 50%.</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 w:cs="Times New Roman" w:eastAsia="Times New Roman" w:hAnsi="Times New Roman"/>
          <w:sz w:val="16"/>
          <w:szCs w:val="16"/>
          <w:b w:val="1"/>
          <w:bCs w:val="1"/>
          <w:color w:val="auto"/>
        </w:rPr>
        <w:t>authorises Party A to deduct them directly from Party B’s bank account with Party A. If there is any shortfall, Party B guarantees to reimburse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the full amount upon receipt of notice from Party A without any proof from Party A.</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12.9 Party B shall, at Party A’s request (tick one of the following options at£).</w:t>
      </w:r>
    </w:p>
    <w:p>
      <w:pPr>
        <w:spacing w:after="0" w:line="201" w:lineRule="exact"/>
        <w:rPr>
          <w:sz w:val="20"/>
          <w:szCs w:val="20"/>
          <w:color w:val="auto"/>
        </w:rPr>
      </w:pPr>
    </w:p>
    <w:p>
      <w:pPr>
        <w:ind w:left="460" w:hanging="175"/>
        <w:spacing w:after="0"/>
        <w:tabs>
          <w:tab w:leader="none" w:pos="460" w:val="left"/>
        </w:tabs>
        <w:numPr>
          <w:ilvl w:val="0"/>
          <w:numId w:val="34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insure its core assets and designate us as the first-ranking beneficiary.</w:t>
      </w:r>
    </w:p>
    <w:p>
      <w:pPr>
        <w:spacing w:after="0" w:line="200" w:lineRule="exact"/>
        <w:rPr>
          <w:rFonts w:ascii="MS PGothic" w:cs="MS PGothic" w:eastAsia="MS PGothic" w:hAnsi="MS PGothic"/>
          <w:sz w:val="16"/>
          <w:szCs w:val="16"/>
          <w:color w:val="auto"/>
          <w:highlight w:val="black"/>
        </w:rPr>
      </w:pPr>
    </w:p>
    <w:p>
      <w:pPr>
        <w:ind w:left="460" w:hanging="175"/>
        <w:spacing w:after="0"/>
        <w:tabs>
          <w:tab w:leader="none" w:pos="460" w:val="left"/>
        </w:tabs>
        <w:numPr>
          <w:ilvl w:val="0"/>
          <w:numId w:val="34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No sale or encumbrance of assets designated by us until the credit debt has been settled.</w:t>
      </w:r>
    </w:p>
    <w:p>
      <w:pPr>
        <w:spacing w:after="0" w:line="200" w:lineRule="exact"/>
        <w:rPr>
          <w:rFonts w:ascii="MS PGothic" w:cs="MS PGothic" w:eastAsia="MS PGothic" w:hAnsi="MS PGothic"/>
          <w:sz w:val="16"/>
          <w:szCs w:val="16"/>
          <w:color w:val="auto"/>
          <w:highlight w:val="black"/>
        </w:rPr>
      </w:pPr>
    </w:p>
    <w:p>
      <w:pPr>
        <w:ind w:left="460" w:hanging="175"/>
        <w:spacing w:after="0"/>
        <w:tabs>
          <w:tab w:leader="none" w:pos="460" w:val="left"/>
        </w:tabs>
        <w:numPr>
          <w:ilvl w:val="0"/>
          <w:numId w:val="34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The dividends to its shareholders prior to the settlement of the credit debt are restricted in accordance with our requirements as follows.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-6350</wp:posOffset>
            </wp:positionV>
            <wp:extent cx="448056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7">
                      <a:extLst>
                        <a:ext uri="{28A0092B-C50C-407E-A947-70E740481C1C}"/>
                      </a:extLst>
                    </a:blip>
                    <a:srcRect/>
                    <a:stretch>
                      <a:fillRect/>
                    </a:stretch>
                  </pic:blipFill>
                  <pic:spPr bwMode="auto">
                    <a:xfrm>
                      <a:off x="0" y="0"/>
                      <a:ext cx="4480560" cy="7620"/>
                    </a:xfrm>
                    <a:prstGeom prst="rect">
                      <a:avLst/>
                    </a:prstGeom>
                    <a:noFill/>
                  </pic:spPr>
                </pic:pic>
              </a:graphicData>
            </a:graphic>
          </wp:anchor>
        </w:drawing>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12.10 You shall ensure that the financial indicators of Party B during the credit period do not fall below the following requirements.</w:t>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-5080</wp:posOffset>
            </wp:positionV>
            <wp:extent cx="442976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8">
                      <a:extLst>
                        <a:ext uri="{28A0092B-C50C-407E-A947-70E740481C1C}"/>
                      </a:extLst>
                    </a:blip>
                    <a:srcRect/>
                    <a:stretch>
                      <a:fillRect/>
                    </a:stretch>
                  </pic:blipFill>
                  <pic:spPr bwMode="auto">
                    <a:xfrm>
                      <a:off x="0" y="0"/>
                      <a:ext cx="4429760" cy="7620"/>
                    </a:xfrm>
                    <a:prstGeom prst="rect">
                      <a:avLst/>
                    </a:prstGeom>
                    <a:noFill/>
                  </pic:spPr>
                </pic:pic>
              </a:graphicData>
            </a:graphic>
          </wp:anchor>
        </w:drawing>
      </w:r>
    </w:p>
    <w:p>
      <w:pPr>
        <w:spacing w:after="0" w:line="18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12.11 You also acknowledge that China Merchants Bank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spacing w:after="0" w:line="162"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12.12 In corporate finance and operational decision-making, if one party has the ability to directly or indirectly control, jointly control, or exert significant influence over another party, such parties are deemed related parties under this agreement. If two or more parties are subject to the control of a single entity, they are also considered related parties, as determined by Party A.</w:t>
      </w:r>
    </w:p>
    <w:p>
      <w:pPr>
        <w:spacing w:after="0" w:line="153"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The “significant controlling party” referred to in this agreement refers to the legal representative or unit head, authorized signatory, actual controller, beneficial owner, significant investor, significant investee, significant creditor, controlled entity, etc. of Party B, and shall be determined by Party A.</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12.13 Other agreed matters.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________/_______.</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1" w:name="page362"/>
    <w:bookmarkEnd w:id="361"/>
    <w:p>
      <w:pPr>
        <w:ind w:left="280"/>
        <w:spacing w:after="0"/>
        <w:rPr>
          <w:sz w:val="20"/>
          <w:szCs w:val="20"/>
          <w:color w:val="auto"/>
        </w:rPr>
      </w:pPr>
      <w:r>
        <w:rPr>
          <w:rFonts w:ascii="Times New Roman" w:cs="Times New Roman" w:eastAsia="Times New Roman" w:hAnsi="Times New Roman"/>
          <w:sz w:val="16"/>
          <w:szCs w:val="16"/>
          <w:color w:val="auto"/>
        </w:rPr>
        <w:t>13. Account information</w:t>
      </w:r>
    </w:p>
    <w:p>
      <w:pPr>
        <w:spacing w:after="0" w:line="201" w:lineRule="exact"/>
        <w:rPr>
          <w:sz w:val="20"/>
          <w:szCs w:val="20"/>
          <w:color w:val="auto"/>
        </w:rPr>
      </w:pPr>
    </w:p>
    <w:p>
      <w:pPr>
        <w:ind w:left="460" w:hanging="175"/>
        <w:spacing w:after="0"/>
        <w:tabs>
          <w:tab w:leader="none" w:pos="460" w:val="left"/>
        </w:tabs>
        <w:numPr>
          <w:ilvl w:val="0"/>
          <w:numId w:val="3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13.1 Special Loan Account (tick if applicable)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disbursements and payments of loan funds under this Agreement must be made through the following accounts.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w:t>
      </w:r>
      <w:r>
        <w:rPr>
          <w:rFonts w:ascii="Times New Roman" w:cs="Times New Roman" w:eastAsia="Times New Roman" w:hAnsi="Times New Roman"/>
          <w:sz w:val="16"/>
          <w:szCs w:val="16"/>
          <w:u w:val="single" w:color="auto"/>
          <w:color w:val="auto"/>
        </w:rPr>
        <w:t>. CLPS Guangzhou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w:t>
      </w:r>
      <w:r>
        <w:rPr>
          <w:rFonts w:ascii="Times New Roman" w:cs="Times New Roman" w:eastAsia="Times New Roman" w:hAnsi="Times New Roman"/>
          <w:sz w:val="16"/>
          <w:szCs w:val="16"/>
          <w:u w:val="single" w:color="auto"/>
          <w:color w:val="auto"/>
        </w:rPr>
        <w:t>. 120912930410401</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Account</w:t>
      </w:r>
      <w:r>
        <w:rPr>
          <w:rFonts w:ascii="Times New Roman" w:cs="Times New Roman" w:eastAsia="Times New Roman" w:hAnsi="Times New Roman"/>
          <w:sz w:val="16"/>
          <w:szCs w:val="16"/>
          <w:u w:val="single" w:color="auto"/>
          <w:color w:val="auto"/>
        </w:rPr>
        <w:t>. China Merchants Bank Co., LTD Guangdong Fengxing Branch</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 Funds back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13.2.1 We both agree to designate the following account as Party B’s funds recovery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w:t>
      </w:r>
      <w:r>
        <w:rPr>
          <w:rFonts w:ascii="Times New Roman" w:cs="Times New Roman" w:eastAsia="Times New Roman" w:hAnsi="Times New Roman"/>
          <w:sz w:val="16"/>
          <w:szCs w:val="16"/>
          <w:u w:val="single" w:color="auto"/>
          <w:color w:val="auto"/>
        </w:rPr>
        <w:t>. CLPS Guangzhou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w:t>
      </w:r>
      <w:r>
        <w:rPr>
          <w:rFonts w:ascii="Times New Roman" w:cs="Times New Roman" w:eastAsia="Times New Roman" w:hAnsi="Times New Roman"/>
          <w:sz w:val="16"/>
          <w:szCs w:val="16"/>
          <w:u w:val="single" w:color="auto"/>
          <w:color w:val="auto"/>
        </w:rPr>
        <w:t>. 120912930410401</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Account</w:t>
      </w:r>
      <w:r>
        <w:rPr>
          <w:rFonts w:ascii="Times New Roman" w:cs="Times New Roman" w:eastAsia="Times New Roman" w:hAnsi="Times New Roman"/>
          <w:sz w:val="16"/>
          <w:szCs w:val="16"/>
          <w:u w:val="single" w:color="auto"/>
          <w:color w:val="auto"/>
        </w:rPr>
        <w:t>. China Merchants Bank Co., LTD Guangdong Fengxing Branch</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13.2.2 The account monitoring requirements are as follows. /</w:t>
      </w:r>
    </w:p>
    <w:p>
      <w:pPr>
        <w:spacing w:after="0" w:line="19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spacing w:after="0" w:line="15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13.3 Party B shall provide quarterly information on the movement of funds in and out of the above accounts and cooperate with Party A in the monitoring of the relevant accounts and the return of funds.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14. Applicable law and dispute resolution</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14.2 Disputes arising in the course of the performance of this Agreement between A and B shall be settled by mutual agreement. If consultation fails, either party shall (choose one of the three, tick one of the following).</w:t>
      </w:r>
    </w:p>
    <w:p>
      <w:pPr>
        <w:spacing w:after="0" w:line="140" w:lineRule="exact"/>
        <w:rPr>
          <w:sz w:val="20"/>
          <w:szCs w:val="20"/>
          <w:color w:val="auto"/>
        </w:rPr>
      </w:pPr>
    </w:p>
    <w:p>
      <w:pPr>
        <w:ind w:left="460" w:hanging="175"/>
        <w:spacing w:after="0"/>
        <w:tabs>
          <w:tab w:leader="none" w:pos="460" w:val="left"/>
        </w:tabs>
        <w:numPr>
          <w:ilvl w:val="0"/>
          <w:numId w:val="3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14.2.1 to the People’s Court of competent jurisdiction in the location of Party A.</w:t>
      </w:r>
    </w:p>
    <w:p>
      <w:pPr>
        <w:spacing w:after="0" w:line="200" w:lineRule="exact"/>
        <w:rPr>
          <w:rFonts w:ascii="MS PGothic" w:cs="MS PGothic" w:eastAsia="MS PGothic" w:hAnsi="MS PGothic"/>
          <w:sz w:val="16"/>
          <w:szCs w:val="16"/>
          <w:color w:val="auto"/>
        </w:rPr>
      </w:pPr>
    </w:p>
    <w:p>
      <w:pPr>
        <w:ind w:left="460" w:hanging="175"/>
        <w:spacing w:after="0"/>
        <w:tabs>
          <w:tab w:leader="none" w:pos="460" w:val="left"/>
        </w:tabs>
        <w:numPr>
          <w:ilvl w:val="0"/>
          <w:numId w:val="34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14.2.2 to the people’s court with jurisdiction in the place where the agreement was signed, which is /;</w:t>
      </w:r>
    </w:p>
    <w:p>
      <w:pPr>
        <w:spacing w:after="0" w:line="201" w:lineRule="exact"/>
        <w:rPr>
          <w:sz w:val="20"/>
          <w:szCs w:val="20"/>
          <w:color w:val="auto"/>
        </w:rPr>
      </w:pPr>
    </w:p>
    <w:p>
      <w:pPr>
        <w:ind w:right="20" w:firstLine="285"/>
        <w:spacing w:after="0" w:line="285" w:lineRule="auto"/>
        <w:tabs>
          <w:tab w:leader="none" w:pos="511" w:val="left"/>
        </w:tabs>
        <w:numPr>
          <w:ilvl w:val="0"/>
          <w:numId w:val="345"/>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14.2.3 Application for arbitration to </w:t>
      </w:r>
      <w:r>
        <w:rPr>
          <w:rFonts w:ascii="Times New Roman" w:cs="Times New Roman" w:eastAsia="Times New Roman" w:hAnsi="Times New Roman"/>
          <w:sz w:val="16"/>
          <w:szCs w:val="16"/>
          <w:b w:val="1"/>
          <w:bCs w:val="1"/>
          <w:u w:val="single" w:color="auto"/>
          <w:color w:val="auto"/>
        </w:rPr>
        <w:t>Guangzhou Arbitration Commission</w:t>
      </w:r>
      <w:r>
        <w:rPr>
          <w:rFonts w:ascii="Times New Roman" w:cs="Times New Roman" w:eastAsia="Times New Roman" w:hAnsi="Times New Roman"/>
          <w:sz w:val="16"/>
          <w:szCs w:val="16"/>
          <w:b w:val="1"/>
          <w:bCs w:val="1"/>
          <w:color w:val="auto"/>
        </w:rPr>
        <w:t xml:space="preserve"> (insert name of specific arbitration institution), the place of arbitration is Guangzhou.</w:t>
      </w:r>
    </w:p>
    <w:p>
      <w:pPr>
        <w:spacing w:after="0" w:line="142"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2" w:name="page363"/>
    <w:bookmarkEnd w:id="362"/>
    <w:p>
      <w:pPr>
        <w:ind w:left="280"/>
        <w:spacing w:after="0"/>
        <w:rPr>
          <w:sz w:val="20"/>
          <w:szCs w:val="20"/>
          <w:color w:val="auto"/>
        </w:rPr>
      </w:pPr>
      <w:r>
        <w:rPr>
          <w:rFonts w:ascii="Times New Roman" w:cs="Times New Roman" w:eastAsia="Times New Roman" w:hAnsi="Times New Roman"/>
          <w:sz w:val="16"/>
          <w:szCs w:val="16"/>
          <w:color w:val="auto"/>
        </w:rPr>
        <w:t>15. Entry into force of the agreement</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16. By-laws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This agreement is made in three </w:t>
      </w:r>
      <w:r>
        <w:rPr>
          <w:rFonts w:ascii="Times New Roman" w:cs="Times New Roman" w:eastAsia="Times New Roman" w:hAnsi="Times New Roman"/>
          <w:sz w:val="16"/>
          <w:szCs w:val="16"/>
          <w:u w:val="single" w:color="auto"/>
          <w:color w:val="auto"/>
        </w:rPr>
        <w:t>copy</w:t>
      </w:r>
      <w:r>
        <w:rPr>
          <w:rFonts w:ascii="Times New Roman" w:cs="Times New Roman" w:eastAsia="Times New Roman" w:hAnsi="Times New Roman"/>
          <w:sz w:val="16"/>
          <w:szCs w:val="16"/>
          <w:color w:val="auto"/>
        </w:rPr>
        <w:t>, one for Party A, one for Party B and one for guarantor , each with the same legal effect.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Attachment: 1. Special Terms and Conditions for Cross-border Trade Finance Business</w:t>
      </w:r>
    </w:p>
    <w:p>
      <w:pPr>
        <w:spacing w:after="0" w:line="201" w:lineRule="exact"/>
        <w:rPr>
          <w:sz w:val="20"/>
          <w:szCs w:val="20"/>
          <w:color w:val="auto"/>
        </w:rPr>
      </w:pPr>
    </w:p>
    <w:p>
      <w:pPr>
        <w:ind w:left="740" w:hanging="167"/>
        <w:spacing w:after="0"/>
        <w:tabs>
          <w:tab w:leader="none" w:pos="74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Buyer/Import Factoring</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Order Credit Business</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Commercial Acceptance Guarantee Business</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for derivative business</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Gold Leasing Business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6"/>
          <w:szCs w:val="16"/>
          <w:color w:val="auto"/>
        </w:rPr>
        <w:t>Attachment 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Cross-border Trade Finance Business</w:t>
      </w:r>
    </w:p>
    <w:p>
      <w:pPr>
        <w:spacing w:after="0" w:line="201" w:lineRule="exact"/>
        <w:rPr>
          <w:sz w:val="20"/>
          <w:szCs w:val="20"/>
          <w:color w:val="auto"/>
        </w:rPr>
      </w:pPr>
    </w:p>
    <w:p>
      <w:pPr>
        <w:jc w:val="both"/>
        <w:ind w:firstLine="285"/>
        <w:spacing w:after="0" w:line="267" w:lineRule="auto"/>
        <w:tabs>
          <w:tab w:leader="none" w:pos="477"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459"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49"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6"/>
          <w:szCs w:val="16"/>
          <w:color w:val="auto"/>
        </w:rPr>
        <w:t>Attachment 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Buyer/Import Factoring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Definition clause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 w:cs="Times New Roman" w:eastAsia="Times New Roman" w:hAnsi="Times New Roman"/>
          <w:sz w:val="16"/>
          <w:szCs w:val="16"/>
          <w:b w:val="1"/>
          <w:bCs w:val="1"/>
          <w:color w:val="auto"/>
        </w:rPr>
        <w:t>and the assertion by a third party of its rights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application for seizure of the receivables under this Agreement. A dispute shall be deemed to have arisen whenever the receivables assigned to us are not fully or partially realised as a result of any credit risk other than that of the buyer.</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 Commercial Contract: A contract for a transaction between Party B and a receivable creditor for the purpose of a commodity transaction and/or a service transaction, settled on credit.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spacing w:after="0" w:line="143" w:lineRule="exact"/>
        <w:rPr>
          <w:sz w:val="20"/>
          <w:szCs w:val="20"/>
          <w:color w:val="auto"/>
        </w:rPr>
      </w:pPr>
    </w:p>
    <w:p>
      <w:pPr>
        <w:ind w:right="20" w:firstLine="285"/>
        <w:spacing w:after="0" w:line="283" w:lineRule="auto"/>
        <w:tabs>
          <w:tab w:leader="none" w:pos="454"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Times New Roman" w:cs="Times New Roman" w:eastAsia="Times New Roman" w:hAnsi="Times New Roman"/>
          <w:sz w:val="16"/>
          <w:szCs w:val="16"/>
          <w:b w:val="1"/>
          <w:bCs w:val="1"/>
          <w:color w:val="auto"/>
        </w:rPr>
        <w:t>As long as the seller/export factor (whether or not it is Party A) assigns the receivables within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credit period, Party A shall have the right of recourse against Party B in accordance with the Credit Agreement and the Commercial Contract, even if Party A fulfils its approved payment obligations beyond the credit period.</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 Buyer/Import Factoring Charges</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spacing w:after="0" w:line="156" w:lineRule="exact"/>
        <w:rPr>
          <w:sz w:val="20"/>
          <w:szCs w:val="20"/>
          <w:color w:val="auto"/>
        </w:rPr>
      </w:pPr>
    </w:p>
    <w:p>
      <w:pPr>
        <w:jc w:val="both"/>
        <w:ind w:right="20" w:firstLine="285"/>
        <w:spacing w:after="0" w:line="267" w:lineRule="auto"/>
        <w:tabs>
          <w:tab w:leader="none" w:pos="452"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6"/>
          <w:szCs w:val="16"/>
          <w:color w:val="auto"/>
        </w:rPr>
        <w:t>Annex 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Order Credit Business</w:t>
      </w:r>
    </w:p>
    <w:p>
      <w:pPr>
        <w:spacing w:after="0" w:line="201" w:lineRule="exact"/>
        <w:rPr>
          <w:sz w:val="20"/>
          <w:szCs w:val="20"/>
          <w:color w:val="auto"/>
        </w:rPr>
      </w:pPr>
    </w:p>
    <w:p>
      <w:pPr>
        <w:jc w:val="both"/>
        <w:ind w:right="20" w:firstLine="285"/>
        <w:spacing w:after="0" w:line="267" w:lineRule="auto"/>
        <w:tabs>
          <w:tab w:leader="none" w:pos="455"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1" w:lineRule="auto"/>
        <w:tabs>
          <w:tab w:leader="none" w:pos="453"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spacing w:after="0" w:line="161" w:lineRule="exact"/>
        <w:rPr>
          <w:rFonts w:ascii="Times New Roman" w:cs="Times New Roman" w:eastAsia="Times New Roman" w:hAnsi="Times New Roman"/>
          <w:sz w:val="16"/>
          <w:szCs w:val="16"/>
          <w:color w:val="auto"/>
        </w:rPr>
      </w:pPr>
    </w:p>
    <w:p>
      <w:pPr>
        <w:ind w:right="20" w:firstLine="285"/>
        <w:spacing w:after="0" w:line="283" w:lineRule="auto"/>
        <w:tabs>
          <w:tab w:leader="none" w:pos="453"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may immediately stop the use of Party B’s credit line under the Credit Agreement and take default handling measures as agreed in the Credit Agreement when the following circumstances occur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3.1 circumstances that are not conducive to the protection of our claims, such as three consecutive late payments by Party B’s downstream customers or, in our reasonable judgement, a deterioration in their financial position.</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6"/>
          <w:szCs w:val="16"/>
          <w:color w:val="auto"/>
        </w:rPr>
        <w:t>Annex 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and Conditions for Commercial Acceptance Guarantee Business</w:t>
      </w:r>
    </w:p>
    <w:p>
      <w:pPr>
        <w:spacing w:after="0" w:line="201" w:lineRule="exact"/>
        <w:rPr>
          <w:sz w:val="20"/>
          <w:szCs w:val="20"/>
          <w:color w:val="auto"/>
        </w:rPr>
      </w:pPr>
    </w:p>
    <w:p>
      <w:pPr>
        <w:jc w:val="both"/>
        <w:ind w:right="20" w:firstLine="285"/>
        <w:spacing w:after="0" w:line="267" w:lineRule="auto"/>
        <w:tabs>
          <w:tab w:leader="none" w:pos="455"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spacing w:after="0" w:line="168" w:lineRule="exact"/>
        <w:rPr>
          <w:sz w:val="20"/>
          <w:szCs w:val="20"/>
          <w:color w:val="auto"/>
        </w:rPr>
      </w:pPr>
    </w:p>
    <w:p>
      <w:pPr>
        <w:jc w:val="both"/>
        <w:ind w:right="20" w:firstLine="337"/>
        <w:spacing w:after="0" w:line="275" w:lineRule="auto"/>
        <w:rPr>
          <w:sz w:val="20"/>
          <w:szCs w:val="20"/>
          <w:color w:val="auto"/>
        </w:rPr>
      </w:pPr>
      <w:r>
        <w:rPr>
          <w:rFonts w:ascii="Times New Roman" w:cs="Times New Roman" w:eastAsia="Times New Roman" w:hAnsi="Times New Roman"/>
          <w:sz w:val="16"/>
          <w:szCs w:val="16"/>
          <w:color w:val="auto"/>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spacing w:after="0" w:line="149" w:lineRule="exact"/>
        <w:rPr>
          <w:sz w:val="20"/>
          <w:szCs w:val="20"/>
          <w:color w:val="auto"/>
        </w:rPr>
      </w:pPr>
    </w:p>
    <w:p>
      <w:pPr>
        <w:jc w:val="both"/>
        <w:ind w:right="20" w:firstLine="285"/>
        <w:spacing w:after="0" w:line="267" w:lineRule="auto"/>
        <w:tabs>
          <w:tab w:leader="none" w:pos="452" w:val="left"/>
        </w:tabs>
        <w:numPr>
          <w:ilvl w:val="0"/>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spacing w:after="0" w:line="155" w:lineRule="exact"/>
        <w:rPr>
          <w:rFonts w:ascii="Times New Roman" w:cs="Times New Roman" w:eastAsia="Times New Roman" w:hAnsi="Times New Roman"/>
          <w:sz w:val="16"/>
          <w:szCs w:val="16"/>
          <w:color w:val="auto"/>
        </w:rPr>
      </w:pPr>
    </w:p>
    <w:p>
      <w:pPr>
        <w:jc w:val="both"/>
        <w:ind w:right="20" w:firstLine="326"/>
        <w:spacing w:after="0" w:line="267" w:lineRule="auto"/>
        <w:tabs>
          <w:tab w:leader="none" w:pos="495" w:val="left"/>
        </w:tabs>
        <w:numPr>
          <w:ilvl w:val="1"/>
          <w:numId w:val="3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spacing w:after="0" w:line="156"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If Party B is the acceptor of a commercial acceptances, Party B shall deposit the full amount of each commercial acceptances payable in its margin account opened with Party A before the maturity of the bill.</w:t>
      </w:r>
    </w:p>
    <w:p>
      <w:pPr>
        <w:spacing w:after="0" w:line="143" w:lineRule="exact"/>
        <w:rPr>
          <w:sz w:val="20"/>
          <w:szCs w:val="20"/>
          <w:color w:val="auto"/>
        </w:rPr>
      </w:pPr>
    </w:p>
    <w:p>
      <w:pPr>
        <w:jc w:val="both"/>
        <w:ind w:right="20" w:firstLine="285"/>
        <w:spacing w:after="0" w:line="267" w:lineRule="auto"/>
        <w:tabs>
          <w:tab w:leader="none" w:pos="452"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spacing w:after="0" w:line="156" w:lineRule="exact"/>
        <w:rPr>
          <w:sz w:val="20"/>
          <w:szCs w:val="20"/>
          <w:color w:val="auto"/>
        </w:rPr>
      </w:pPr>
    </w:p>
    <w:p>
      <w:pPr>
        <w:jc w:val="both"/>
        <w:ind w:firstLine="285"/>
        <w:spacing w:after="0" w:line="261" w:lineRule="auto"/>
        <w:tabs>
          <w:tab w:leader="none" w:pos="476"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spacing w:after="0" w:line="161" w:lineRule="exact"/>
        <w:rPr>
          <w:rFonts w:ascii="Times New Roman" w:cs="Times New Roman" w:eastAsia="Times New Roman" w:hAnsi="Times New Roman"/>
          <w:sz w:val="16"/>
          <w:szCs w:val="16"/>
          <w:color w:val="auto"/>
        </w:rPr>
      </w:pPr>
    </w:p>
    <w:p>
      <w:pPr>
        <w:ind w:right="20" w:firstLine="285"/>
        <w:spacing w:after="0" w:line="283" w:lineRule="auto"/>
        <w:tabs>
          <w:tab w:leader="none" w:pos="46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59" w:lineRule="auto"/>
        <w:tabs>
          <w:tab w:leader="none" w:pos="456"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 w:cs="Times New Roman" w:eastAsia="Times New Roman" w:hAnsi="Times New Roman"/>
          <w:sz w:val="16"/>
          <w:szCs w:val="16"/>
          <w:b w:val="1"/>
          <w:bCs w:val="1"/>
          <w:color w:val="auto"/>
        </w:rPr>
        <w:t>penalty interest charge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Party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to Party B </w:t>
      </w:r>
      <w:r>
        <w:rPr>
          <w:rFonts w:ascii="Times New Roman" w:cs="Times New Roman" w:eastAsia="Times New Roman" w:hAnsi="Times New Roman"/>
          <w:sz w:val="16"/>
          <w:szCs w:val="16"/>
          <w:color w:val="auto"/>
        </w:rPr>
        <w:t>at the rate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5% per</w:t>
      </w:r>
      <w:r>
        <w:rPr>
          <w:rFonts w:ascii="Times New Roman" w:cs="Times New Roman" w:eastAsia="Times New Roman" w:hAnsi="Times New Roman"/>
          <w:sz w:val="16"/>
          <w:szCs w:val="16"/>
          <w:b w:val="1"/>
          <w:bCs w:val="1"/>
          <w:color w:val="auto"/>
        </w:rPr>
        <w:t xml:space="preserve"> day of </w:t>
      </w:r>
      <w:r>
        <w:rPr>
          <w:rFonts w:ascii="Times New Roman" w:cs="Times New Roman" w:eastAsia="Times New Roman" w:hAnsi="Times New Roman"/>
          <w:sz w:val="16"/>
          <w:szCs w:val="16"/>
          <w:color w:val="auto"/>
        </w:rPr>
        <w:t>the amount advanced in accordance with the relevant provisions of the Payment and Settlement Measures.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6"/>
          <w:szCs w:val="16"/>
          <w:color w:val="auto"/>
        </w:rPr>
        <w:t>Annex 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Derivative Trading Business</w:t>
      </w:r>
    </w:p>
    <w:p>
      <w:pPr>
        <w:spacing w:after="0" w:line="201" w:lineRule="exact"/>
        <w:rPr>
          <w:sz w:val="20"/>
          <w:szCs w:val="20"/>
          <w:color w:val="auto"/>
        </w:rPr>
      </w:pPr>
    </w:p>
    <w:p>
      <w:pPr>
        <w:jc w:val="both"/>
        <w:ind w:firstLine="285"/>
        <w:spacing w:after="0" w:line="257" w:lineRule="auto"/>
        <w:tabs>
          <w:tab w:leader="none" w:pos="469"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 w:cs="Times New Roman" w:eastAsia="Times New Roman" w:hAnsi="Times New Roman"/>
          <w:sz w:val="16"/>
          <w:szCs w:val="16"/>
          <w:b w:val="1"/>
          <w:bCs w:val="1"/>
          <w:color w:val="auto"/>
        </w:rPr>
        <w:t>time of each transaction, Party A shall determine the specific amount of credit line to be taken up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accordance with the variety, maturity and risk level of the transaction, the business to which the credit line is deducted, etc.). The </w:t>
      </w:r>
      <w:r>
        <w:rPr>
          <w:rFonts w:ascii="Times New Roman" w:cs="Times New Roman" w:eastAsia="Times New Roman" w:hAnsi="Times New Roman"/>
          <w:sz w:val="16"/>
          <w:szCs w:val="16"/>
          <w:color w:val="auto"/>
        </w:rPr>
        <w:t>actual amount of credit line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up shall be determined by the transaction documents such as the notification of credit line taking up and/or the confirmation/certification of the transaction issued by Party A.</w:t>
      </w:r>
    </w:p>
    <w:p>
      <w:pPr>
        <w:spacing w:after="0" w:line="162" w:lineRule="exact"/>
        <w:rPr>
          <w:rFonts w:ascii="Times New Roman" w:cs="Times New Roman" w:eastAsia="Times New Roman" w:hAnsi="Times New Roman"/>
          <w:sz w:val="16"/>
          <w:szCs w:val="16"/>
          <w:color w:val="auto"/>
        </w:rPr>
      </w:pPr>
    </w:p>
    <w:p>
      <w:pPr>
        <w:ind w:firstLine="285"/>
        <w:spacing w:after="0" w:line="285" w:lineRule="auto"/>
        <w:tabs>
          <w:tab w:leader="none" w:pos="454" w:val="left"/>
        </w:tabs>
        <w:numPr>
          <w:ilvl w:val="0"/>
          <w:numId w:val="3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Any derivative transaction that has a balance or loss during the credit period, whether or not the transaction occurs within the credit period, will be charged to the credit line in accordance with the previous article.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6"/>
          <w:szCs w:val="16"/>
          <w:color w:val="auto"/>
        </w:rPr>
        <w:t>Annex 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Gold Leasing Business</w:t>
      </w:r>
    </w:p>
    <w:p>
      <w:pPr>
        <w:spacing w:after="0" w:line="201" w:lineRule="exact"/>
        <w:rPr>
          <w:sz w:val="20"/>
          <w:szCs w:val="20"/>
          <w:color w:val="auto"/>
        </w:rPr>
      </w:pPr>
    </w:p>
    <w:p>
      <w:pPr>
        <w:ind w:firstLine="285"/>
        <w:spacing w:after="0" w:line="283" w:lineRule="auto"/>
        <w:tabs>
          <w:tab w:leader="none" w:pos="467"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“Gold Leasing” is a business in which we lease out physical gold to Party B. Upon expiry, Party B returns an equivalent amount of gold of the same quality and property and pays the leasing fee to Party A in RMB on a regular basis.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45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Party B declares that</w:t>
      </w:r>
    </w:p>
    <w:p>
      <w:pPr>
        <w:spacing w:after="0" w:line="201"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6"/>
          <w:szCs w:val="16"/>
          <w:color w:val="auto"/>
        </w:rPr>
        <w:t>(The following is the signature line of the Credit Agreement (for liquidity loans without a separate loan contract) numbered:120XY240606T000231)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w:t>
      </w:r>
      <w:r>
        <w:rPr>
          <w:rFonts w:ascii="Times New Roman" w:cs="Times New Roman" w:eastAsia="Times New Roman" w:hAnsi="Times New Roman"/>
          <w:sz w:val="16"/>
          <w:szCs w:val="16"/>
          <w:color w:val="auto"/>
        </w:rPr>
        <w:t>: China Merchants Bank Co. LTD. Guangzhou Branch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or authorised agent (signature/name seal).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 address: No.5 Huasui Road, Tianhe District, Guangzhou</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e-mail address.</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fax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mobile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micro signal. </w:t>
      </w:r>
      <w:r>
        <w:rPr>
          <w:rFonts w:ascii="Times New Roman" w:cs="Times New Roman" w:eastAsia="Times New Roman" w:hAnsi="Times New Roman"/>
          <w:sz w:val="16"/>
          <w:szCs w:val="16"/>
          <w:u w:val="single" w:color="auto"/>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w:t>
      </w:r>
      <w:r>
        <w:rPr>
          <w:rFonts w:ascii="Times New Roman" w:cs="Times New Roman" w:eastAsia="Times New Roman" w:hAnsi="Times New Roman"/>
          <w:sz w:val="16"/>
          <w:szCs w:val="16"/>
          <w:color w:val="auto"/>
        </w:rPr>
        <w:t>: (seal) CLPS Guangzhou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representative/principal person in charge or authorised agent (signature/name seal).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address: </w:t>
      </w:r>
      <w:r>
        <w:rPr>
          <w:rFonts w:ascii="Times New Roman" w:cs="Times New Roman" w:eastAsia="Times New Roman" w:hAnsi="Times New Roman"/>
          <w:sz w:val="16"/>
          <w:szCs w:val="16"/>
          <w:u w:val="single" w:color="auto"/>
          <w:color w:val="auto"/>
        </w:rPr>
        <w:t>Room 409, 410, 411, 4th Floor, No. 9 Linhe West Road, Tianhe District, Guangzhou City, Guangdong Province (for office use only)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e-mail address.</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fax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 mobile number. /</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micro signal.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Date: 2024.6.25</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6"/>
          <w:szCs w:val="16"/>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126365</wp:posOffset>
            </wp:positionV>
            <wp:extent cx="33020" cy="7810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9">
                      <a:extLst>
                        <a:ext uri="{28A0092B-C50C-407E-A947-70E740481C1C}"/>
                      </a:extLst>
                    </a:blip>
                    <a:srcRect/>
                    <a:stretch>
                      <a:fillRect/>
                    </a:stretch>
                  </pic:blipFill>
                  <pic:spPr bwMode="auto">
                    <a:xfrm>
                      <a:off x="0" y="0"/>
                      <a:ext cx="33020" cy="781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126365</wp:posOffset>
            </wp:positionV>
            <wp:extent cx="33020" cy="7810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0">
                      <a:extLst>
                        <a:ext uri="{28A0092B-C50C-407E-A947-70E740481C1C}"/>
                      </a:extLst>
                    </a:blip>
                    <a:srcRect/>
                    <a:stretch>
                      <a:fillRect/>
                    </a:stretch>
                  </pic:blipFill>
                  <pic:spPr bwMode="auto">
                    <a:xfrm>
                      <a:off x="0" y="0"/>
                      <a:ext cx="33020" cy="781050"/>
                    </a:xfrm>
                    <a:prstGeom prst="rect">
                      <a:avLst/>
                    </a:prstGeom>
                    <a:noFill/>
                  </pic:spPr>
                </pic:pic>
              </a:graphicData>
            </a:graphic>
          </wp:anchor>
        </w:drawing>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Important Notes.</w:t>
      </w:r>
    </w:p>
    <w:p>
      <w:pPr>
        <w:spacing w:after="0" w:line="201" w:lineRule="exact"/>
        <w:rPr>
          <w:sz w:val="20"/>
          <w:szCs w:val="20"/>
          <w:color w:val="auto"/>
        </w:rPr>
      </w:pPr>
    </w:p>
    <w:p>
      <w:pPr>
        <w:jc w:val="both"/>
        <w:ind w:left="100" w:right="1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(applicable in the case of working capital loans where no separate loan contract is required)</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NO. </w:t>
      </w:r>
      <w:r>
        <w:rPr>
          <w:rFonts w:ascii="Times New Roman" w:cs="Times New Roman" w:eastAsia="Times New Roman" w:hAnsi="Times New Roman"/>
          <w:sz w:val="16"/>
          <w:szCs w:val="16"/>
          <w:u w:val="single" w:color="auto"/>
          <w:color w:val="auto"/>
        </w:rPr>
        <w:t>121XY240709T000157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Grantor: </w:t>
      </w:r>
      <w:r>
        <w:rPr>
          <w:rFonts w:ascii="Times New Roman" w:cs="Times New Roman" w:eastAsia="Times New Roman" w:hAnsi="Times New Roman"/>
          <w:sz w:val="16"/>
          <w:szCs w:val="16"/>
          <w:color w:val="auto"/>
        </w:rPr>
        <w:t>China Merchants Bank Co. LTD Shanghai branch (hereinafter referred to as Party 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Applicant</w:t>
      </w:r>
      <w:r>
        <w:rPr>
          <w:rFonts w:ascii="Times New Roman" w:cs="Times New Roman" w:eastAsia="Times New Roman" w:hAnsi="Times New Roman"/>
          <w:sz w:val="16"/>
          <w:szCs w:val="16"/>
          <w:color w:val="auto"/>
        </w:rPr>
        <w:t>: JAJI (Shanghai) Co., Ltd. (hereinafter referred to as Party B)</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Credit limit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1.1 Under this Agreement, we shall provide you with a credit line (including revolving line and/or one-off line) in the amount of RMB </w:t>
      </w:r>
      <w:r>
        <w:rPr>
          <w:rFonts w:ascii="Times New Roman" w:cs="Times New Roman" w:eastAsia="Times New Roman" w:hAnsi="Times New Roman"/>
          <w:sz w:val="16"/>
          <w:szCs w:val="16"/>
          <w:u w:val="single" w:color="auto"/>
          <w:color w:val="auto"/>
        </w:rPr>
        <w:t>10 million</w:t>
      </w:r>
      <w:r>
        <w:rPr>
          <w:rFonts w:ascii="Times New Roman" w:cs="Times New Roman" w:eastAsia="Times New Roman" w:hAnsi="Times New Roman"/>
          <w:sz w:val="16"/>
          <w:szCs w:val="16"/>
          <w:color w:val="auto"/>
        </w:rPr>
        <w:t xml:space="preserve"> .Party B may apply for specific business in other currencies within the credit line.</w:t>
      </w:r>
    </w:p>
    <w:p>
      <w:pPr>
        <w:spacing w:after="0" w:line="155"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Party A (or Party A’s subsidiary) and Party B originally entered into a</w:t>
      </w:r>
      <w:r>
        <w:rPr>
          <w:rFonts w:ascii="SimSun" w:cs="SimSun" w:eastAsia="SimSun" w:hAnsi="SimSun"/>
          <w:sz w:val="16"/>
          <w:szCs w:val="16"/>
          <w:color w:val="auto"/>
        </w:rPr>
        <w:t>《</w:t>
      </w:r>
      <w:r>
        <w:rPr>
          <w:rFonts w:ascii="Times New Roman" w:cs="Times New Roman" w:eastAsia="Times New Roman" w:hAnsi="Times New Roman"/>
          <w:sz w:val="16"/>
          <w:szCs w:val="16"/>
          <w:color w:val="auto"/>
        </w:rPr>
        <w:t>Credit Agreement</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with the number 121XY2023010596 (applicable to working capital loans that do not require a separate loan contract) (insert the name of the agreement here) , it will automatically be included under this agreement and will directly occupy the credit line under this agreement.</w:t>
      </w:r>
    </w:p>
    <w:p>
      <w:pPr>
        <w:spacing w:after="0" w:line="175"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1.2 The credit period shall be for a period of 12 months, from </w:t>
      </w:r>
      <w:r>
        <w:rPr>
          <w:rFonts w:ascii="Times New Roman" w:cs="Times New Roman" w:eastAsia="Times New Roman" w:hAnsi="Times New Roman"/>
          <w:sz w:val="16"/>
          <w:szCs w:val="16"/>
          <w:u w:val="single" w:color="auto"/>
          <w:color w:val="auto"/>
        </w:rPr>
        <w:t>2024.7.11</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2025.7.10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If Party B needs to use the credit line for specific credit business, it shall submit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spacing w:after="0" w:line="155"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147560" cy="152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71" w:name="page372"/>
    <w:bookmarkEnd w:id="371"/>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 Revolving Credit Limit means the maximum amount of the sum of the principal balance of one or more credit facilities referred to in the preceding paragraph that we may provide to you on a continuous and revolving basis during the credit period.</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2. credit line occupancy arrangements</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2.1 Specific credit operations applied for by you and approved by us during the credit period are automatically included in this Agreement and will be covered by the credit limit under this Agreement.</w:t>
      </w:r>
    </w:p>
    <w:p>
      <w:pPr>
        <w:spacing w:after="0" w:line="14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If Party A applies for factoring business in which Party B is the payer (debtor of the receivables), the credit line mentioned above shall be used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receivables claims assigned to Party B by Party A from a third party in such business; </w:t>
      </w:r>
      <w:r>
        <w:rPr>
          <w:rFonts w:ascii="Times New Roman" w:cs="Times New Roman" w:eastAsia="Times New Roman" w:hAnsi="Times New Roman"/>
          <w:sz w:val="16"/>
          <w:szCs w:val="16"/>
          <w:color w:val="auto"/>
        </w:rPr>
        <w:t>if Party B applies to Party A for factoring business in which Party B is the payee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spacing w:after="0" w:line="16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3. Approval and use of credit lines</w:t>
      </w:r>
    </w:p>
    <w:p>
      <w:pPr>
        <w:spacing w:after="0" w:line="20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2" w:name="page373"/>
    <w:bookmarkEnd w:id="372"/>
    <w:p>
      <w:pPr>
        <w:jc w:val="both"/>
        <w:ind w:right="20"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spacing w:after="0" w:line="161"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 w:cs="Times New Roman" w:eastAsia="Times New Roman" w:hAnsi="Times New Roman"/>
          <w:sz w:val="16"/>
          <w:szCs w:val="16"/>
          <w:b w:val="1"/>
          <w:bCs w:val="1"/>
          <w:color w:val="auto"/>
        </w:rPr>
        <w:t>The specific amount, interest rate, term, purpose, fees and other business elements of each loan or other credit business are determined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spacing w:after="0" w:line="141"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b w:val="1"/>
          <w:bCs w:val="1"/>
          <w:color w:val="auto"/>
        </w:rPr>
        <w:t>3.4 We shall have the right to adjust the benchmark interest rate or interest rate pricing method for loans/other credit facilities under this Agreement from time to time, taking into account changes in relevant national policies, domestic and international market conditions or our own credit policies. Such adjustment shall take effect upon notice by us to you (by way of announcement at our branches or the official website of China Merchants Bank, or by sending notice to any of the contact addresses/methods reserved by you in this Agreement); if you do not accept the adjustment, you may repay the loan early, otherwise you shall be deemed to have accepted the implementation of the notice. If the relevant financing business under this Agreement involves periodic repricing and the market benchmark interest rate is lower than 0 at the time of repricing, both parties agree to use 0 as the benchmark for calculating the interest rate pricing.</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In the event of any inconsistency between this clause and any other relevant agreement in this Agreement, the agreement in this clause shall prevail.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73" w:name="page374"/>
    <w:bookmarkEnd w:id="373"/>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spacing w:after="0" w:line="141"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3.6 During the credit period, we shall have the right to assess Party B’s operation and financial position on an annual basis and to adjust the credit limit available to Party B in the light of the assessment.</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 Interest rate terms for working capital loans</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4.2 If Party B fails to use the loan in accordance with this Agreement, a penalty interest rate </w:t>
      </w:r>
      <w:r>
        <w:rPr>
          <w:rFonts w:ascii="Times New Roman" w:cs="Times New Roman" w:eastAsia="Times New Roman" w:hAnsi="Times New Roman"/>
          <w:sz w:val="16"/>
          <w:szCs w:val="16"/>
          <w:b w:val="1"/>
          <w:bCs w:val="1"/>
          <w:u w:val="single" w:color="auto"/>
          <w:color w:val="auto"/>
        </w:rPr>
        <w:t>of 100% will be charged on the original</w:t>
      </w:r>
      <w:r>
        <w:rPr>
          <w:rFonts w:ascii="Times New Roman" w:cs="Times New Roman" w:eastAsia="Times New Roman" w:hAnsi="Times New Roman"/>
          <w:sz w:val="16"/>
          <w:szCs w:val="16"/>
          <w:b w:val="1"/>
          <w:bCs w:val="1"/>
          <w:color w:val="auto"/>
        </w:rPr>
        <w:t xml:space="preserve"> interest rate from the date of change of use for the portion of the loan not used for the agreed purpose. The original interest rate refers to the interest rate that was applicable before the change of use of the loan.</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If Party B fails to repay the loan on time, late interest (penalty interest) will be charged on the outstanding portion of the loan from the overdue date at a rate of </w:t>
      </w:r>
      <w:r>
        <w:rPr>
          <w:rFonts w:ascii="Times New Roman" w:cs="Times New Roman" w:eastAsia="Times New Roman" w:hAnsi="Times New Roman"/>
          <w:sz w:val="16"/>
          <w:szCs w:val="16"/>
          <w:b w:val="1"/>
          <w:bCs w:val="1"/>
          <w:u w:val="single" w:color="auto"/>
          <w:color w:val="auto"/>
        </w:rPr>
        <w:t>50% (the</w:t>
      </w:r>
      <w:r>
        <w:rPr>
          <w:rFonts w:ascii="Times New Roman" w:cs="Times New Roman" w:eastAsia="Times New Roman" w:hAnsi="Times New Roman"/>
          <w:sz w:val="16"/>
          <w:szCs w:val="16"/>
          <w:b w:val="1"/>
          <w:bCs w:val="1"/>
          <w:color w:val="auto"/>
        </w:rPr>
        <w:t xml:space="preserve"> 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If the loan is both overdue and not used for the contracted purpose, interest will accrue on the higher of the above provisions.</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4.3 In the event that the People’s Bank of China adjusts the regulations on loan interest rates during the term of the loan, the relevant regulations of the People’s Bank of China shall apply.</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4.4 If the maturity date of the loan falls on a holiday, the loan will automatically be postponed to the first working day after the holiday and the interest will be calculated according to the actual number of days the loan funds are occupied.</w:t>
      </w:r>
    </w:p>
    <w:p>
      <w:pPr>
        <w:spacing w:after="0" w:line="14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74" w:name="page375"/>
    <w:bookmarkEnd w:id="374"/>
    <w:p>
      <w:pPr>
        <w:ind w:left="280"/>
        <w:spacing w:after="0"/>
        <w:rPr>
          <w:sz w:val="20"/>
          <w:szCs w:val="20"/>
          <w:color w:val="auto"/>
        </w:rPr>
      </w:pPr>
      <w:r>
        <w:rPr>
          <w:rFonts w:ascii="Times New Roman" w:cs="Times New Roman" w:eastAsia="Times New Roman" w:hAnsi="Times New Roman"/>
          <w:sz w:val="16"/>
          <w:szCs w:val="16"/>
          <w:color w:val="auto"/>
        </w:rPr>
        <w:t>5. Guarantee clause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by Party A. other security measures that are acceptable to us.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 Party B’s rights and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 Party B shall have the following rights.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6.1.1 the right to require us to provide a loan or other credit within the credit limit on the terms set out in this Agreement.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6.1.2 the right to use the credit line as agreed in this Agreement.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6.1.3 the right to require Party A to keep confidential the production, operations, property and accounts provided by Party B, except as otherwise provided in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6.1.4 The right to assign the debt to a third party with our written consent.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 Party B undertakes the following obligations.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6.2.2 shall accept Party A’s supervision of its use of credit funds and related production, operation and financial activities.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6.2.3 Loans and/or other credits shall be used as agreed and/or committed to in this Agreement and in each specific operational text.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6.2.4 shall repay in full and on time the principal, interest and fees on loans, advances and other credit obligations as agreed in this Agreement and each specific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6.2.5 the assignment of all or part of the obligations under this Agreement to a third party shall be subject to our written consent.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75" w:name="page376"/>
    <w:bookmarkEnd w:id="375"/>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6.2.6.1 the occurrence of a significant financial loss, loss of assets or other financial crisis.</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6.2.6.2 loans or guarantees for the benefit of third parties or for the protection of third parties against loss, or guarantees of credit (pledge) on own property (rights).</w:t>
      </w:r>
    </w:p>
    <w:p>
      <w:pPr>
        <w:spacing w:after="0" w:line="140"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spacing w:after="0" w:line="153"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6.2.6.4 where its controlling shareholder or other affiliated companies or the de facto controller has a major crisis in operation or finance which affects </w:t>
      </w:r>
      <w:r>
        <w:rPr>
          <w:rFonts w:ascii="Times New Roman" w:cs="Times New Roman" w:eastAsia="Times New Roman" w:hAnsi="Times New Roman"/>
          <w:sz w:val="16"/>
          <w:szCs w:val="16"/>
          <w:b w:val="1"/>
          <w:bCs w:val="1"/>
          <w:color w:val="auto"/>
        </w:rPr>
        <w:t>its normal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spacing w:after="0" w:line="15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6.2.6.6 the occurrence of any litigation, arbitration or criminal or administrative penalty that has a material adverse effect on its business or property position.</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6.2.6.8 The occurrence of other material events that may affect the solvency of Party B and or its controlling shareholders/actual controllers.</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6.2.7 Not to neglect to manage and pursue its claims as they fall due, or to dispose of existing major property without compensation and in other inappropriate ways.</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6" w:name="page377"/>
    <w:bookmarkEnd w:id="376"/>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 xml:space="preserve">6.2.9 In the case of pledge of accounts receivable, Party B guarantees that the credit balance at any point during the credit period is less than </w:t>
      </w:r>
      <w:r>
        <w:rPr>
          <w:rFonts w:ascii="Times New Roman" w:cs="Times New Roman" w:eastAsia="Times New Roman" w:hAnsi="Times New Roman"/>
          <w:sz w:val="16"/>
          <w:szCs w:val="16"/>
          <w:u w:val="single" w:color="auto"/>
          <w:color w:val="auto"/>
        </w:rPr>
        <w:t>70% of the pledged accounts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receivable balance</w:t>
      </w:r>
      <w:r>
        <w:rPr>
          <w:rFonts w:ascii="Times New Roman" w:cs="Times New Roman" w:eastAsia="Times New Roman" w:hAnsi="Times New Roman"/>
          <w:sz w:val="16"/>
          <w:szCs w:val="16"/>
          <w:color w:val="auto"/>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 xml:space="preserve">6.2.10 In the event that the balance in the margin account is less than </w:t>
      </w:r>
      <w:r>
        <w:rPr>
          <w:rFonts w:ascii="Times New Roman" w:cs="Times New Roman" w:eastAsia="Times New Roman" w:hAnsi="Times New Roman"/>
          <w:sz w:val="16"/>
          <w:szCs w:val="16"/>
          <w:u w:val="single" w:color="auto"/>
          <w:color w:val="auto"/>
        </w:rPr>
        <w:t>105%</w:t>
      </w:r>
      <w:r>
        <w:rPr>
          <w:rFonts w:ascii="Times New Roman" w:cs="Times New Roman" w:eastAsia="Times New Roman" w:hAnsi="Times New Roman"/>
          <w:sz w:val="16"/>
          <w:szCs w:val="16"/>
          <w:color w:val="auto"/>
        </w:rPr>
        <w:t xml:space="preserve"> of the amount of the specific operation to which it relates due to exchange rate fluctuations, Party B shall be obliged to provide additional margin or other security in the corresponding amount as required by Party A. In the event that Party B provides a margin pledge, Party B shall be obliged to provide additional margin or other security in the corresponding amount as required by Party A.</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6.2.11 To ensure that the payment for sales under import is recovered from the account designated by Party A; and to transfer the bills and/or documents under the letter of credit to Party A under export negotiation.</w:t>
      </w:r>
    </w:p>
    <w:p>
      <w:pPr>
        <w:spacing w:after="0" w:line="14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 Party A’s rights and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 We shall have the following rights.</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7.1.1 the right to require you to repay the principal, interest and costs of loans, advances and other credit obligations under this Agreement and the specific Contract in full and on time.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7.1.2 the right to request information from you in relation to the use of its credit facilities.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7.1.3 the right to be informed of Party B’s production operations and financial activities.</w:t>
      </w:r>
    </w:p>
    <w:p>
      <w:pPr>
        <w:spacing w:after="0" w:line="20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 xml:space="preserve">7.1.4 the right to supervise the use of loans and/or other credit facilities by Party B in accordance with the purposes agreed in this Agreement and each specific business text; </w:t>
      </w:r>
      <w:r>
        <w:rPr>
          <w:rFonts w:ascii="Times New Roman" w:cs="Times New Roman" w:eastAsia="Times New Roman" w:hAnsi="Times New Roman"/>
          <w:sz w:val="16"/>
          <w:szCs w:val="16"/>
          <w:b w:val="1"/>
          <w:bCs w:val="1"/>
          <w:color w:val="auto"/>
        </w:rPr>
        <w:t>the right to unilaterally and directly suspend or restrict the corporate internet banking / corporate APP / other online functions of Party B’s account (including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7.1.5 has the right to entrust other branches of China Merchants Bank located at the beneficiary’s location to re-open letters of credit to the beneficiary after accepting Party B’s application to open a letter of credit, as required by its internal processes.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7" w:name="page378"/>
    <w:bookmarkEnd w:id="377"/>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spacing w:after="0" w:line="153"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7.1.7 the right to assign the claims it has against Party B and the right to </w:t>
      </w:r>
      <w:r>
        <w:rPr>
          <w:rFonts w:ascii="Times New Roman" w:cs="Times New Roman" w:eastAsia="Times New Roman" w:hAnsi="Times New Roman"/>
          <w:sz w:val="16"/>
          <w:szCs w:val="16"/>
          <w:b w:val="1"/>
          <w:bCs w:val="1"/>
          <w:color w:val="auto"/>
        </w:rPr>
        <w:t>notify Party B of the assignment by</w:t>
      </w:r>
      <w:r>
        <w:rPr>
          <w:rFonts w:ascii="Times New Roman" w:cs="Times New Roman" w:eastAsia="Times New Roman" w:hAnsi="Times New Roman"/>
          <w:sz w:val="16"/>
          <w:szCs w:val="16"/>
          <w:color w:val="auto"/>
        </w:rPr>
        <w:t xml:space="preserve"> such means as it considers appropriate, including but not limited to facsimile, post, personal service, </w:t>
      </w:r>
      <w:r>
        <w:rPr>
          <w:rFonts w:ascii="Times New Roman" w:cs="Times New Roman" w:eastAsia="Times New Roman" w:hAnsi="Times New Roman"/>
          <w:sz w:val="16"/>
          <w:szCs w:val="16"/>
          <w:b w:val="1"/>
          <w:bCs w:val="1"/>
          <w:color w:val="auto"/>
        </w:rPr>
        <w:t>announcement in the public media, etc., and to make collection calls on Party B.</w:t>
      </w:r>
    </w:p>
    <w:p>
      <w:pPr>
        <w:spacing w:after="0" w:line="14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spacing w:after="0" w:line="14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7.1.10 Other rights under this Agreement.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7.2 Party A undertakes the following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7.2.1 the granting of loans or other credit to you within the credit limit on the terms set out in this Agreement and in each specific contract.</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 In particular, Party B warrants the following</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8.2 the execution and performance of this Agreement has been fully authorised by the Board or any other authorised body.</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8.4 Strictly comply with the agreements of each specific operational text and the various types of correspondence and relevant documents issued to us.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378" w:name="page379"/>
    <w:bookmarkEnd w:id="378"/>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8.8 you shall not settle other long-term debts in advance without our permission.</w:t>
      </w:r>
    </w:p>
    <w:p>
      <w:pPr>
        <w:spacing w:after="0" w:line="20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8.9 The loan items applied for under the credit line are in compliance with the requirements of laws and regulations, and the loan will not be used for investments in fixed assets, equity, etc., or for speculative buying and selling of securities, futures and real estate; will not be used for lending to each other to make illegal income; will not be used in areas and for purposes prohibited by the State for production and operation; and will not be used for purposes other than those stipulated in this Agreement and each specific business text.</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the loan funds are disbursed by the borrower, Party B shall regularly (at least on a monthly basis) report to Party A the summary of the loan funds disbursement, and Party A has the right to verify whether the loan disbursement is in accordance with the agreed purpose through account analysis, voucher checking and on-site investigation.</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8.10 At the time of entering into and performing this Agreement, no other material event has occurred to you which affects the performance of your obligations under this Agreement.</w:t>
      </w:r>
    </w:p>
    <w:p>
      <w:pPr>
        <w:spacing w:after="0" w:line="143" w:lineRule="exact"/>
        <w:rPr>
          <w:sz w:val="20"/>
          <w:szCs w:val="20"/>
          <w:color w:val="auto"/>
        </w:rPr>
      </w:pPr>
    </w:p>
    <w:p>
      <w:pPr>
        <w:ind w:left="440" w:hanging="155"/>
        <w:spacing w:after="0"/>
        <w:tabs>
          <w:tab w:leader="none" w:pos="440"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on working capital loans</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 Withdrawals and drawdowns</w:t>
      </w:r>
    </w:p>
    <w:p>
      <w:pPr>
        <w:spacing w:after="0" w:line="200" w:lineRule="exact"/>
        <w:rPr>
          <w:rFonts w:ascii="Times New Roman" w:cs="Times New Roman" w:eastAsia="Times New Roman" w:hAnsi="Times New Roman"/>
          <w:sz w:val="16"/>
          <w:szCs w:val="16"/>
          <w:color w:val="auto"/>
        </w:rPr>
      </w:pPr>
    </w:p>
    <w:p>
      <w:pPr>
        <w:ind w:left="280" w:right="4260"/>
        <w:spacing w:after="0" w:line="5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use of the Working Capital Loan under this Agreement will be made both on your own and in trust. 9.1.1 Autonomous payments</w:t>
      </w:r>
    </w:p>
    <w:p>
      <w:pPr>
        <w:spacing w:after="0" w:line="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Self-disbursement is the disbursement of loan funds by us to your account after we have released the loan funds to your account in accordance with your request for withdrawal, and then by you to your counterparty who meets the agreed purpose.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9.1.2 Fiduciary payments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9" w:name="page380"/>
    <w:bookmarkEnd w:id="379"/>
    <w:p>
      <w:pPr>
        <w:ind w:left="280"/>
        <w:spacing w:after="0"/>
        <w:rPr>
          <w:sz w:val="20"/>
          <w:szCs w:val="20"/>
          <w:color w:val="auto"/>
        </w:rPr>
      </w:pPr>
      <w:r>
        <w:rPr>
          <w:rFonts w:ascii="Times New Roman" w:cs="Times New Roman" w:eastAsia="Times New Roman" w:hAnsi="Times New Roman"/>
          <w:sz w:val="16"/>
          <w:szCs w:val="16"/>
          <w:color w:val="auto"/>
        </w:rPr>
        <w:t>9.1.3 you shall use the fiduciary payment method unconditionally and in full if</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9.1.3.1 Where a single withdrawal by Party B exceeds </w:t>
      </w:r>
      <w:r>
        <w:rPr>
          <w:rFonts w:ascii="Times New Roman" w:cs="Times New Roman" w:eastAsia="Times New Roman" w:hAnsi="Times New Roman"/>
          <w:sz w:val="16"/>
          <w:szCs w:val="16"/>
          <w:u w:val="single" w:color="auto"/>
          <w:color w:val="auto"/>
        </w:rPr>
        <w:t>RMB 5</w:t>
      </w:r>
      <w:r>
        <w:rPr>
          <w:rFonts w:ascii="Times New Roman" w:cs="Times New Roman" w:eastAsia="Times New Roman" w:hAnsi="Times New Roman"/>
          <w:sz w:val="16"/>
          <w:szCs w:val="16"/>
          <w:color w:val="auto"/>
        </w:rPr>
        <w:t xml:space="preserve"> million (inclusive, or its equivalent in foreign currency).</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9.1.3.2 Where Party A requires Party B to adopt a fiduciary payment method in accordance with regulatory requirements or for risk management purposes.</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9.1.4 If payment is made on trust, external payment after loan disbursement must be approved by Party A. Party B shall not circumvent Party A’s supervision by means of online banking, reverse cheque withdrawal or conversion of the whole amount into zero.</w:t>
      </w:r>
    </w:p>
    <w:p>
      <w:pPr>
        <w:spacing w:after="0" w:line="143"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 w:cs="Times New Roman" w:eastAsia="Times New Roman" w:hAnsi="Times New Roman"/>
          <w:sz w:val="16"/>
          <w:szCs w:val="16"/>
          <w:b w:val="1"/>
          <w:bCs w:val="1"/>
          <w:color w:val="auto"/>
        </w:rPr>
        <w:t>not be liable for any</w:t>
      </w:r>
      <w:r>
        <w:rPr>
          <w:rFonts w:ascii="Times New Roman" w:cs="Times New Roman" w:eastAsia="Times New Roman" w:hAnsi="Times New Roman"/>
          <w:sz w:val="16"/>
          <w:szCs w:val="16"/>
          <w:color w:val="auto"/>
        </w:rPr>
        <w:t xml:space="preserve"> delay or failure in the payment of funds due to inaccurate or incomplete payment information provided by Party B, resulting in </w:t>
      </w:r>
      <w:r>
        <w:rPr>
          <w:rFonts w:ascii="Times New Roman" w:cs="Times New Roman" w:eastAsia="Times New Roman" w:hAnsi="Times New Roman"/>
          <w:sz w:val="16"/>
          <w:szCs w:val="16"/>
          <w:b w:val="1"/>
          <w:bCs w:val="1"/>
          <w:color w:val="auto"/>
        </w:rPr>
        <w:t>Party B’s default or formation of other losses to its counterparty.</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9.3 Loan extensions</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 Events of default and handling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10.1 An event of default shall be deemed to have occurred if Party B.</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10.1.1 Failure to perform or breach of each of its obligations under this Agreement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10.1.2 if there is any untruthfulness or incompleteness in the Special Warranties by Party B under this Agreement, or if Party B breaches the Special Warranties and fails to rectify the same as required by Party A.</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10.1.4 a material breach by Party B under a legally valid contract with another creditor which is not satisfactorily resolved within three months from the date of the breach.</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The foregoing material breach means that Party B’s breach of contract results in its creditors being entitled to claim from it for an amount </w:t>
      </w:r>
      <w:r>
        <w:rPr>
          <w:rFonts w:ascii="Times New Roman" w:cs="Times New Roman" w:eastAsia="Times New Roman" w:hAnsi="Times New Roman"/>
          <w:sz w:val="16"/>
          <w:szCs w:val="16"/>
          <w:b w:val="1"/>
          <w:bCs w:val="1"/>
          <w:u w:val="single" w:color="auto"/>
          <w:color w:val="auto"/>
        </w:rPr>
        <w:t>of RMB1</w:t>
      </w:r>
      <w:r>
        <w:rPr>
          <w:rFonts w:ascii="Times New Roman" w:cs="Times New Roman" w:eastAsia="Times New Roman" w:hAnsi="Times New Roman"/>
          <w:sz w:val="16"/>
          <w:szCs w:val="16"/>
          <w:b w:val="1"/>
          <w:bCs w:val="1"/>
          <w:color w:val="auto"/>
        </w:rPr>
        <w:t xml:space="preserve"> million or more.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0" w:name="page381"/>
    <w:bookmarkEnd w:id="380"/>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10.1.8 where Party B draws down the loan in a “fractional” manner in order to circumvent the requirement under this Agreement that Party B should entrust Party A with the external disbursement of the loan funds.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10.1.9 Your business activities may pose anti-money laundering or sanctions compliance risks to us.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10.1.10 occurrence of other circumstances which we consider to be detrimental to our legitimate rights and interests.</w:t>
      </w:r>
    </w:p>
    <w:p>
      <w:pPr>
        <w:spacing w:after="0" w:line="19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10.2.1 the occurrence of one of the circumstances similar to those described in clause 6.2.6 of this Agreement, or the occurrence of a circumstance described in clause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6.2.8 without our consent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10.2.2 the issuance of an irrevocable guarantee conceals its actual capacity to assume liability or is not authorized by a competent authority.</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10.2.3 Failure to comply with registration, annual business report procedures and/or extension/extension of business term procedures, etc. on time.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10.2.4 neglects to manage and pursue its claims as they become due or disposes of existing major property without compensation or in any other improper manner.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10.2.5 breach of any obligation, undertaking or statement in an irrevocable undertaking signed by 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81" w:name="page382"/>
    <w:bookmarkEnd w:id="381"/>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10.3.1 there is no right of ownership or disposition of the collateral (or pledge), or the ownership is disputed.</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10.3.5 where the mortgaged property has been or may be included in the scope of government demolition or expropriation and the mortgagor fails to immediately inform us and perform the relevant obligations as agreed in the mortgage contract.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10.3.7 where the pledgee pledges financial products, the source of funding for the subscription of the financial products is not legal/compliant.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10.3.8 other matters occurring or likely to occur in relation to the mortgage (pledge) affecting the value of the mortgage (pledge) or affecting our mortgage (pledge) rights,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etc.</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10.3.9 the mortgagor (or pledgee) breaches any obligation, promise or representation in the mortgage contract/pledge contract signed by him.</w:t>
      </w:r>
    </w:p>
    <w:p>
      <w:pPr>
        <w:spacing w:after="0" w:line="199"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10.4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382" w:name="page383"/>
    <w:bookmarkEnd w:id="382"/>
    <w:p>
      <w:pPr>
        <w:ind w:left="280"/>
        <w:spacing w:after="0"/>
        <w:rPr>
          <w:sz w:val="20"/>
          <w:szCs w:val="20"/>
          <w:color w:val="auto"/>
        </w:rPr>
      </w:pPr>
      <w:r>
        <w:rPr>
          <w:rFonts w:ascii="Times New Roman" w:cs="Times New Roman" w:eastAsia="Times New Roman" w:hAnsi="Times New Roman"/>
          <w:sz w:val="16"/>
          <w:szCs w:val="16"/>
          <w:color w:val="auto"/>
        </w:rPr>
        <w:t>10.5 In the event of any of the above events of default, we shall be entitled to take the following measures separately or concurrently.</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10.5.1 reduce the amount of credit granted under this Agreement or discontinue the use of the remaining credit line.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10.5.2 early recovery of principal, interest and related fees on loans granted within the credit limit.</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10.5.3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10.5.4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spacing w:after="0" w:line="154"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10.5.5 Party A may also directly request Party B to provide other property acceptable to Party A as new security as appropriate. </w:t>
      </w:r>
      <w:r>
        <w:rPr>
          <w:rFonts w:ascii="Times New Roman" w:cs="Times New Roman" w:eastAsia="Times New Roman" w:hAnsi="Times New Roman"/>
          <w:sz w:val="16"/>
          <w:szCs w:val="16"/>
          <w:b w:val="1"/>
          <w:bCs w:val="1"/>
          <w:color w:val="auto"/>
        </w:rPr>
        <w:t>If Party B fails to provide new security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as requested, Party B shall be liable for liquidated damages equivalent to </w:t>
      </w:r>
      <w:r>
        <w:rPr>
          <w:rFonts w:ascii="Times New Roman" w:cs="Times New Roman" w:eastAsia="Times New Roman" w:hAnsi="Times New Roman"/>
          <w:sz w:val="16"/>
          <w:szCs w:val="16"/>
          <w:b w:val="1"/>
          <w:bCs w:val="1"/>
          <w:u w:val="single" w:color="auto"/>
          <w:color w:val="auto"/>
        </w:rPr>
        <w:t>30% of the</w:t>
      </w:r>
      <w:r>
        <w:rPr>
          <w:rFonts w:ascii="Times New Roman" w:cs="Times New Roman" w:eastAsia="Times New Roman" w:hAnsi="Times New Roman"/>
          <w:sz w:val="16"/>
          <w:szCs w:val="16"/>
          <w:b w:val="1"/>
          <w:bCs w:val="1"/>
          <w:color w:val="auto"/>
        </w:rPr>
        <w:t xml:space="preserve"> amount of the credit facility under this Agreement.</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10.5.6 to directly freeze/withhold the deposits in any settlement account and/or other accounts opened by Party B with China Merchants Bank, to stop opening new settlement accounts for Party B and to stop issuing new credit cards to Party B’s legal representatives.</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10.5.7 to report to credit reference agencies and banking associations information on Party B’s default and breach of trust, and have the right to share such information among banking institutions and even publicize it to the community through appropriate means.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10.5.8 dispose of the pledge and/or recover it from the guarantor in accordance with the provisions of the security text.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10.5.9 for working capital loans under the credit facility, change the terms of the loan funds entrusted to you and remove the use of the loan by you on a “self-pay” basis.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10.5.10 Recourse in accordance with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3" w:name="page384"/>
    <w:bookmarkEnd w:id="383"/>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10.6 The amounts recovered by us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Party A has the right to unilaterally adjust the above repayment order, unless otherwise required by law or regulation.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 Changes and additions to the agreement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This agreement may be varied by mutual agreement and written agreement between A and B. Until such time as a written agreement is reached, this Agreement shall remain in force. Neither party may make unilateral changes to this agreement.</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written supplemental agreements reached by consensus between A and B in respect of matters not covered by this Agreement and changes thereto, as well as each specific business text under this Agreement, shall form an integral part of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 Other matters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If, as a result of changes in applicable laws and policy requirements, Party A incurs additional costs in performing its obligations under the Agreement, Party B shall reimburse Party A for the additional costs incurred at Party A’s request.</w:t>
      </w:r>
    </w:p>
    <w:p>
      <w:pPr>
        <w:spacing w:after="0" w:line="14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12.3.1 Party B acknowledges and agrees to use Party B’s China Merchants Bank Corporate Internet Banking / Corporate App and Party B’s contact address, email, fax number, mobile phone number or micro-signal set out in this Agreement as Party B’s address for service of all commercial and legal documents under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84" w:name="page385"/>
    <w:bookmarkEnd w:id="384"/>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The commercial documents referred to in this Article refer to all kinds of commercial documents such as business notices, confirmations, default notices, early maturity notices, overdue reminders, etc. formed in the course of business transactions under this Agreement; the legal documents referred to in this Article include notarized documents and judicial documents (including but not limited to indictment/application for arbitration, appeal, reply, evidence, summons, notice of appeal, notice of proof, notice of court hearing, notice of hearing, judgment/judgment, ruling, mediation, notice of deadline for performance, etc.). (including, but not limited to, documents for trial and enforcement, such as indictment/arbitration application, appeal, defence, evidence, summons, notice of appeal, notice of proof, notice of hearing, judgment/award, ruling, conciliation, notice of deadline for performance).</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Service by Party A, the Court of Appeal and the Notary Public by the means of service agreed in this Agreement to the address for service agreed in the preceding paragraph shall be deemed to be valid service.</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 xml:space="preserve">12.3.2 Party B acknowledges and agrees that: if delivered by hand (including but not limited to delivery by lawyers/notaries, courier delivery, etc.), delivery shall be deemed to have been effected upon signature by the recipient (if the </w:t>
      </w:r>
      <w:r>
        <w:rPr>
          <w:rFonts w:ascii="Times New Roman" w:cs="Times New Roman" w:eastAsia="Times New Roman" w:hAnsi="Times New Roman"/>
          <w:sz w:val="16"/>
          <w:szCs w:val="16"/>
          <w:b w:val="1"/>
          <w:bCs w:val="1"/>
          <w:color w:val="auto"/>
        </w:rPr>
        <w:t>recipient refuses to accept, delivery shall be deemed to have been effected upon the expiry of seven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days from the date of refusal/return or the date of posting, whichever is earlier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if delivered by postal letter, delivery shall be deemed to have been effected upon the expiry of seven days from the date of posting; if delivered </w:t>
      </w:r>
      <w:r>
        <w:rPr>
          <w:rFonts w:ascii="Times New Roman" w:cs="Times New Roman" w:eastAsia="Times New Roman" w:hAnsi="Times New Roman"/>
          <w:sz w:val="16"/>
          <w:szCs w:val="16"/>
          <w:color w:val="auto"/>
        </w:rPr>
        <w:t>by fax, email, China Merchants Bank Corporate Internet Banking/Enterprise App (i.e. delivery to Party B’s China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Merchants Bank Corporate Internet Banking/Enterprise App via China Merchants Bank Corporate Internet Banking/Enterprise App), mobile phone SMS or WeChat, etc. (i.e. delivered to Party B’s China Merchants Bank Corporate Internet Banking/Enterprise App via China Merchants Bank Corporate Internet Banking/Enterprise App), mobile phone SMS or WeChat, etc., the date of delivery shall be deemed to be the date of delivery when the corresponding system/electronic device of Party A shows successful delivery. </w:t>
      </w:r>
      <w:r>
        <w:rPr>
          <w:rFonts w:ascii="Times New Roman" w:cs="Times New Roman" w:eastAsia="Times New Roman" w:hAnsi="Times New Roman"/>
          <w:sz w:val="16"/>
          <w:szCs w:val="16"/>
          <w:b w:val="1"/>
          <w:bCs w:val="1"/>
          <w:color w:val="auto"/>
        </w:rPr>
        <w:t>If Party A notifies Party B of the transfer of debts or makes a collection call on Party B by way of announcement in the public media, the date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announcement shall be deemed to be the date of service.</w:t>
      </w:r>
    </w:p>
    <w:p>
      <w:pPr>
        <w:spacing w:after="0" w:line="165"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spacing w:after="0" w:line="162"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5" w:name="page386"/>
    <w:bookmarkEnd w:id="385"/>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12.3.5 The address and mode of service agreed in this article apply to all stages of the contract performance, dispute resolution, arbitration, court hearing (first trial, second trial, retrial) and enforcement.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12.4 The Parties agree that for each application for business under the Trade Finance Business, it is sufficient for Party B to affix its reserved seal on Party A and both Parties acknowledge the validity of such signature.</w:t>
      </w:r>
    </w:p>
    <w:p>
      <w:pPr>
        <w:spacing w:after="0" w:line="14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spacing w:after="0" w:line="162"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spacing w:after="0" w:line="16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12.7 The annexes under this Agreement form an integral part of this Agreement and shall automatically apply to the corresponding specific operations actually occurring between the Parties.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12.8 Covering costs</w:t>
      </w:r>
    </w:p>
    <w:p>
      <w:pPr>
        <w:spacing w:after="0" w:line="201" w:lineRule="exact"/>
        <w:rPr>
          <w:sz w:val="20"/>
          <w:szCs w:val="20"/>
          <w:color w:val="auto"/>
        </w:rPr>
      </w:pPr>
    </w:p>
    <w:p>
      <w:pPr>
        <w:ind w:right="20" w:firstLine="285"/>
        <w:spacing w:after="0" w:line="214" w:lineRule="exact"/>
        <w:tabs>
          <w:tab w:leader="none" w:pos="486" w:val="left"/>
        </w:tabs>
        <w:numPr>
          <w:ilvl w:val="0"/>
          <w:numId w:val="3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12.8.1 Where this Agreement involves Party B taking out accident insurance with Party A as the first beneficiary, the relevant insurance costs shall be borne in the following form (a tick in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indicates that the provisions of this clause apply).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6" w:name="page387"/>
    <w:bookmarkEnd w:id="386"/>
    <w:p>
      <w:pPr>
        <w:ind w:left="280"/>
        <w:spacing w:after="0"/>
        <w:rPr>
          <w:sz w:val="20"/>
          <w:szCs w:val="20"/>
          <w:color w:val="auto"/>
        </w:rPr>
      </w:pPr>
      <w:r>
        <w:rPr>
          <w:rFonts w:ascii="Times New Roman" w:cs="Times New Roman" w:eastAsia="Times New Roman" w:hAnsi="Times New Roman"/>
          <w:sz w:val="16"/>
          <w:szCs w:val="16"/>
          <w:color w:val="auto"/>
        </w:rPr>
        <w:t>Please tick one of the following.</w:t>
      </w:r>
    </w:p>
    <w:p>
      <w:pPr>
        <w:spacing w:after="0" w:line="201" w:lineRule="exact"/>
        <w:rPr>
          <w:sz w:val="20"/>
          <w:szCs w:val="20"/>
          <w:color w:val="auto"/>
        </w:rPr>
      </w:pPr>
    </w:p>
    <w:p>
      <w:pPr>
        <w:ind w:left="460" w:hanging="175"/>
        <w:spacing w:after="0"/>
        <w:tabs>
          <w:tab w:leader="none" w:pos="460" w:val="left"/>
        </w:tabs>
        <w:numPr>
          <w:ilvl w:val="0"/>
          <w:numId w:val="35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Party A is responsible for.</w:t>
      </w:r>
    </w:p>
    <w:p>
      <w:pPr>
        <w:spacing w:after="0" w:line="198" w:lineRule="exact"/>
        <w:rPr>
          <w:rFonts w:ascii="MS PGothic" w:cs="MS PGothic" w:eastAsia="MS PGothic" w:hAnsi="MS PGothic"/>
          <w:sz w:val="16"/>
          <w:szCs w:val="16"/>
          <w:color w:val="auto"/>
        </w:rPr>
      </w:pPr>
    </w:p>
    <w:p>
      <w:pPr>
        <w:ind w:left="460" w:hanging="175"/>
        <w:spacing w:after="0"/>
        <w:tabs>
          <w:tab w:leader="none" w:pos="460" w:val="left"/>
        </w:tabs>
        <w:numPr>
          <w:ilvl w:val="0"/>
          <w:numId w:val="359"/>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 and B share in the following proportions: Party A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 Party B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w:t>
      </w:r>
    </w:p>
    <w:p>
      <w:pPr>
        <w:spacing w:after="0" w:line="202" w:lineRule="exact"/>
        <w:rPr>
          <w:rFonts w:ascii="MS PGothic" w:cs="MS PGothic" w:eastAsia="MS PGothic" w:hAnsi="MS PGothic"/>
          <w:sz w:val="16"/>
          <w:szCs w:val="16"/>
          <w:color w:val="auto"/>
        </w:rPr>
      </w:pPr>
    </w:p>
    <w:p>
      <w:pPr>
        <w:ind w:right="20" w:firstLine="285"/>
        <w:spacing w:after="0" w:line="214" w:lineRule="exact"/>
        <w:tabs>
          <w:tab w:leader="none" w:pos="477" w:val="left"/>
        </w:tabs>
        <w:numPr>
          <w:ilvl w:val="0"/>
          <w:numId w:val="35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12.8.2 Where this Agreement relates to enforcement notary fees (other than the fee for the application for the issue of a certificate of enforcement), the following form of fee payment shall apply (a tick in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indicates that the provisions of this clause apply).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Please tick one of the following.</w:t>
      </w:r>
    </w:p>
    <w:p>
      <w:pPr>
        <w:spacing w:after="0" w:line="201" w:lineRule="exact"/>
        <w:rPr>
          <w:sz w:val="20"/>
          <w:szCs w:val="20"/>
          <w:color w:val="auto"/>
        </w:rPr>
      </w:pPr>
    </w:p>
    <w:p>
      <w:pPr>
        <w:ind w:left="460" w:hanging="175"/>
        <w:spacing w:after="0"/>
        <w:tabs>
          <w:tab w:leader="none" w:pos="460" w:val="left"/>
        </w:tabs>
        <w:numPr>
          <w:ilvl w:val="0"/>
          <w:numId w:val="36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bears</w:t>
      </w:r>
    </w:p>
    <w:p>
      <w:pPr>
        <w:spacing w:after="0" w:line="198" w:lineRule="exact"/>
        <w:rPr>
          <w:rFonts w:ascii="MS PGothic" w:cs="MS PGothic" w:eastAsia="MS PGothic" w:hAnsi="MS PGothic"/>
          <w:sz w:val="16"/>
          <w:szCs w:val="16"/>
          <w:color w:val="auto"/>
        </w:rPr>
      </w:pPr>
    </w:p>
    <w:p>
      <w:pPr>
        <w:ind w:left="460" w:hanging="175"/>
        <w:spacing w:after="0"/>
        <w:tabs>
          <w:tab w:leader="none" w:pos="460" w:val="left"/>
        </w:tabs>
        <w:numPr>
          <w:ilvl w:val="0"/>
          <w:numId w:val="360"/>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 and B share in the following proportions: Party A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 Party B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12.8.3 In other matters where services are entrusted to a third party, the relevant costs shall be borne by the principal. If both parties are jointly acting as principal, each shall bear 50%.</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 w:cs="Times New Roman" w:eastAsia="Times New Roman" w:hAnsi="Times New Roman"/>
          <w:sz w:val="16"/>
          <w:szCs w:val="16"/>
          <w:b w:val="1"/>
          <w:bCs w:val="1"/>
          <w:color w:val="auto"/>
        </w:rPr>
        <w:t>authorises Party A to deduct them directly from Party B’s bank account with Party A. If there is any shortfall, Party B guarantees to reimburse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the full amount upon receipt of notice from Party A without any proof from Party A.</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12.9 Party B shall, at Party A’s request (tick one of the following options at£ ).</w:t>
      </w:r>
    </w:p>
    <w:p>
      <w:pPr>
        <w:spacing w:after="0" w:line="201" w:lineRule="exact"/>
        <w:rPr>
          <w:sz w:val="20"/>
          <w:szCs w:val="20"/>
          <w:color w:val="auto"/>
        </w:rPr>
      </w:pPr>
    </w:p>
    <w:p>
      <w:pPr>
        <w:ind w:left="460" w:hanging="175"/>
        <w:spacing w:after="0"/>
        <w:tabs>
          <w:tab w:leader="none" w:pos="460" w:val="left"/>
        </w:tabs>
        <w:numPr>
          <w:ilvl w:val="0"/>
          <w:numId w:val="36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insure its core assets and designate us as the first-ranking beneficiary.</w:t>
      </w:r>
    </w:p>
    <w:p>
      <w:pPr>
        <w:spacing w:after="0" w:line="200" w:lineRule="exact"/>
        <w:rPr>
          <w:rFonts w:ascii="MS PGothic" w:cs="MS PGothic" w:eastAsia="MS PGothic" w:hAnsi="MS PGothic"/>
          <w:sz w:val="16"/>
          <w:szCs w:val="16"/>
          <w:color w:val="auto"/>
          <w:highlight w:val="black"/>
        </w:rPr>
      </w:pPr>
    </w:p>
    <w:p>
      <w:pPr>
        <w:ind w:left="460" w:hanging="175"/>
        <w:spacing w:after="0"/>
        <w:tabs>
          <w:tab w:leader="none" w:pos="460" w:val="left"/>
        </w:tabs>
        <w:numPr>
          <w:ilvl w:val="0"/>
          <w:numId w:val="36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No sale or encumbrance of assets designated by us until the credit debt has been settled.</w:t>
      </w:r>
    </w:p>
    <w:p>
      <w:pPr>
        <w:spacing w:after="0" w:line="200" w:lineRule="exact"/>
        <w:rPr>
          <w:rFonts w:ascii="MS PGothic" w:cs="MS PGothic" w:eastAsia="MS PGothic" w:hAnsi="MS PGothic"/>
          <w:sz w:val="16"/>
          <w:szCs w:val="16"/>
          <w:color w:val="auto"/>
          <w:highlight w:val="black"/>
        </w:rPr>
      </w:pPr>
    </w:p>
    <w:p>
      <w:pPr>
        <w:ind w:left="460" w:hanging="175"/>
        <w:spacing w:after="0"/>
        <w:tabs>
          <w:tab w:leader="none" w:pos="460" w:val="left"/>
        </w:tabs>
        <w:numPr>
          <w:ilvl w:val="0"/>
          <w:numId w:val="36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The dividends to its shareholders prior to the settlement of the credit debt are restricted in accordance with our requirements as follows.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-5080</wp:posOffset>
            </wp:positionV>
            <wp:extent cx="4684395"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7">
                      <a:extLst>
                        <a:ext uri="{28A0092B-C50C-407E-A947-70E740481C1C}"/>
                      </a:extLst>
                    </a:blip>
                    <a:srcRect/>
                    <a:stretch>
                      <a:fillRect/>
                    </a:stretch>
                  </pic:blipFill>
                  <pic:spPr bwMode="auto">
                    <a:xfrm>
                      <a:off x="0" y="0"/>
                      <a:ext cx="4684395" cy="762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12.10 You shall ensure that the financial indicators of Party B during the credit period do not fall below the following requirements.</w:t>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-5080</wp:posOffset>
            </wp:positionV>
            <wp:extent cx="4684395"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8">
                      <a:extLst>
                        <a:ext uri="{28A0092B-C50C-407E-A947-70E740481C1C}"/>
                      </a:extLst>
                    </a:blip>
                    <a:srcRect/>
                    <a:stretch>
                      <a:fillRect/>
                    </a:stretch>
                  </pic:blipFill>
                  <pic:spPr bwMode="auto">
                    <a:xfrm>
                      <a:off x="0" y="0"/>
                      <a:ext cx="4684395" cy="7620"/>
                    </a:xfrm>
                    <a:prstGeom prst="rect">
                      <a:avLst/>
                    </a:prstGeom>
                    <a:noFill/>
                  </pic:spPr>
                </pic:pic>
              </a:graphicData>
            </a:graphic>
          </wp:anchor>
        </w:drawing>
      </w:r>
    </w:p>
    <w:p>
      <w:pPr>
        <w:spacing w:after="0" w:line="18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12.11 You also acknowledge that China Merchants Bank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7" w:name="page388"/>
    <w:bookmarkEnd w:id="387"/>
    <w:p>
      <w:pPr>
        <w:ind w:left="280"/>
        <w:spacing w:after="0"/>
        <w:rPr>
          <w:sz w:val="20"/>
          <w:szCs w:val="20"/>
          <w:color w:val="auto"/>
        </w:rPr>
      </w:pPr>
      <w:r>
        <w:rPr>
          <w:rFonts w:ascii="Times New Roman" w:cs="Times New Roman" w:eastAsia="Times New Roman" w:hAnsi="Times New Roman"/>
          <w:sz w:val="16"/>
          <w:szCs w:val="16"/>
          <w:color w:val="auto"/>
        </w:rPr>
        <w:t>12.12 Other engagements.</w:t>
      </w:r>
    </w:p>
    <w:p>
      <w:pPr>
        <w:spacing w:after="0" w:line="199" w:lineRule="exact"/>
        <w:rPr>
          <w:sz w:val="20"/>
          <w:szCs w:val="20"/>
          <w:color w:val="auto"/>
        </w:rPr>
      </w:pPr>
    </w:p>
    <w:p>
      <w:pPr>
        <w:jc w:val="both"/>
        <w:ind w:firstLine="289"/>
        <w:spacing w:after="0" w:line="253" w:lineRule="auto"/>
        <w:rPr>
          <w:sz w:val="20"/>
          <w:szCs w:val="20"/>
          <w:color w:val="auto"/>
        </w:rPr>
      </w:pPr>
      <w:r>
        <w:rPr>
          <w:rFonts w:ascii="Times New Roman" w:cs="Times New Roman" w:eastAsia="Times New Roman" w:hAnsi="Times New Roman"/>
          <w:sz w:val="16"/>
          <w:szCs w:val="16"/>
          <w:b w:val="1"/>
          <w:bCs w:val="1"/>
          <w:color w:val="auto"/>
        </w:rPr>
        <w:t>12.12.1 (1) Party B shall not use false contracts with related parties or debts such as bills and receivables without trade background to conduct various businesses such as bill discounting, factoring, pledge, letter of credit and forfaiting in Party A. If Party B uses the connected transactions to damage or evade the claims of Party A or other branches of China Merchants Bank, it shall be regarded as an event of default under this Agreement and Party A shall have the right to take corresponding default handling measures in accordance with this Agreement. (2) If any related party of Party B defaults on its obligations to China Merchants Bank, it shall be deemed to be an event of default under the Group Credit Facility and Party A shall be entitled to decide whether or not to take the default handling measures as stipulated in this Agreement in accordance with the degree of impact of the event of default, irrespective of whether or not Party B has defaulted under this Agreement. (3) Related transaction means a transfer of resources or obligations between related parties, whether or not a price is received. A related party is defined as a party who has the ability to control, jointly control or exercise significant influence over another party, directly or indirectly, in the financial and operating decisions of the enterprise; two or more parties are also related if they are controlled by the same party. Both parties agree that the specific definition of related party shall be determined by Party A. (4) Group means a group of legal persons who have a direct or indirect controlling (control) or controlled (control) relationship, or other groups of legal persons who have a materially significant risk connection (such as being jointly controlled by a third party, having other related relationships and possibly not transferring assets and profits on a fair price basis). A control relationship is one in which you have effective control or exert significant influence over the operating decisions, capital operations or senior management appointments of the other party. Both parties agree that whether or not they are members of the Group is subject to Party A’s determination.</w:t>
      </w:r>
    </w:p>
    <w:p>
      <w:pPr>
        <w:spacing w:after="0" w:line="17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12.12.2 Party B guarantees that there will be no performance under the foreign insured domestic loan, and if there is such a situation, Party B shall notify Party A in a timely manner, and Party A has the right to suspend the conclusion of new foreign insured domestic loan contracts or the processing of new withdrawals; Party B guarantees that if there is performance under the guarantee, the sum of the outstanding principal balance and the stock of external liabilities will not exceed the risk-weighted balance of Party B’s cross-border financing, and the risk arising from exceeding the risk-weighted balance of Party B’s cross-border financing shall be borne by Party B The risk arising from exceeding the risk-weighted balance of your cross-border financing shall be borne by you.</w:t>
      </w:r>
    </w:p>
    <w:p>
      <w:pPr>
        <w:spacing w:after="0" w:line="162"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u w:val="single" w:color="auto"/>
          <w:color w:val="auto"/>
        </w:rPr>
        <w:t>12.12.3 Party B undertakes that if the amount under this Agreement is used for affiliated procurement, the affiliated party shall open an account with Party A, and the funds shall be entrusted to the final seller for a second time or Party A shall directly handle the agency business.</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u w:val="single" w:color="auto"/>
          <w:color w:val="auto"/>
        </w:rPr>
        <w:t>12.12.4 Party B undertakes that until all credit obligations under this Agreement are settled, the terms of the guarantee provided by Party B to Party A for obtaining credit under this Agreement will not be weaker than the terms of the guarantee provided by Party B to other banks for new applications for financing by Party B in other banks.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8" w:name="page389"/>
    <w:bookmarkEnd w:id="388"/>
    <w:p>
      <w:pPr>
        <w:ind w:left="280"/>
        <w:spacing w:after="0"/>
        <w:rPr>
          <w:sz w:val="20"/>
          <w:szCs w:val="20"/>
          <w:color w:val="auto"/>
        </w:rPr>
      </w:pPr>
      <w:r>
        <w:rPr>
          <w:rFonts w:ascii="Times New Roman" w:cs="Times New Roman" w:eastAsia="Times New Roman" w:hAnsi="Times New Roman"/>
          <w:sz w:val="16"/>
          <w:szCs w:val="16"/>
          <w:color w:val="auto"/>
        </w:rPr>
        <w:t>13. Account information</w:t>
      </w:r>
    </w:p>
    <w:p>
      <w:pPr>
        <w:spacing w:after="0" w:line="201" w:lineRule="exact"/>
        <w:rPr>
          <w:sz w:val="20"/>
          <w:szCs w:val="20"/>
          <w:color w:val="auto"/>
        </w:rPr>
      </w:pPr>
    </w:p>
    <w:p>
      <w:pPr>
        <w:ind w:left="460" w:hanging="175"/>
        <w:spacing w:after="0"/>
        <w:tabs>
          <w:tab w:leader="none" w:pos="460" w:val="left"/>
        </w:tabs>
        <w:numPr>
          <w:ilvl w:val="0"/>
          <w:numId w:val="36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13.1 Special Loan Account (tick if applicable)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disbursements and payments of loan funds under this Agreement must be made through the following accounts.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w:t>
      </w:r>
      <w:r>
        <w:rPr>
          <w:rFonts w:ascii="Times New Roman" w:cs="Times New Roman" w:eastAsia="Times New Roman" w:hAnsi="Times New Roman"/>
          <w:sz w:val="16"/>
          <w:szCs w:val="16"/>
          <w:u w:val="single" w:color="auto"/>
          <w:color w:val="auto"/>
        </w:rPr>
        <w:t>. JAJI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w:t>
      </w:r>
      <w:r>
        <w:rPr>
          <w:rFonts w:ascii="Times New Roman" w:cs="Times New Roman" w:eastAsia="Times New Roman" w:hAnsi="Times New Roman"/>
          <w:sz w:val="16"/>
          <w:szCs w:val="16"/>
          <w:u w:val="single" w:color="auto"/>
          <w:color w:val="auto"/>
        </w:rPr>
        <w:t>. 121923728310801</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Account</w:t>
      </w:r>
      <w:r>
        <w:rPr>
          <w:rFonts w:ascii="Times New Roman" w:cs="Times New Roman" w:eastAsia="Times New Roman" w:hAnsi="Times New Roman"/>
          <w:sz w:val="16"/>
          <w:szCs w:val="16"/>
          <w:u w:val="single" w:color="auto"/>
          <w:color w:val="auto"/>
        </w:rPr>
        <w:t>. Century Avenue Branch of China Merchants Bank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 Funds back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13.2.1 We both agree to designate the following account as Party B’s funds recovery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w:t>
      </w:r>
      <w:r>
        <w:rPr>
          <w:rFonts w:ascii="Times New Roman" w:cs="Times New Roman" w:eastAsia="Times New Roman" w:hAnsi="Times New Roman"/>
          <w:sz w:val="16"/>
          <w:szCs w:val="16"/>
          <w:u w:val="single" w:color="auto"/>
          <w:color w:val="auto"/>
        </w:rPr>
        <w:t>. JAJI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w:t>
      </w:r>
      <w:r>
        <w:rPr>
          <w:rFonts w:ascii="Times New Roman" w:cs="Times New Roman" w:eastAsia="Times New Roman" w:hAnsi="Times New Roman"/>
          <w:sz w:val="16"/>
          <w:szCs w:val="16"/>
          <w:u w:val="single" w:color="auto"/>
          <w:color w:val="auto"/>
        </w:rPr>
        <w:t>. 121923728310801</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Account</w:t>
      </w:r>
      <w:r>
        <w:rPr>
          <w:rFonts w:ascii="Times New Roman" w:cs="Times New Roman" w:eastAsia="Times New Roman" w:hAnsi="Times New Roman"/>
          <w:sz w:val="16"/>
          <w:szCs w:val="16"/>
          <w:u w:val="single" w:color="auto"/>
          <w:color w:val="auto"/>
        </w:rPr>
        <w:t>. Century Avenue Branch of China Merchants Bank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13.2.2 The account monitoring requirements are as follows</w:t>
      </w:r>
      <w:r>
        <w:rPr>
          <w:rFonts w:ascii="Times New Roman" w:cs="Times New Roman" w:eastAsia="Times New Roman" w:hAnsi="Times New Roman"/>
          <w:sz w:val="16"/>
          <w:szCs w:val="16"/>
          <w:u w:val="single" w:color="auto"/>
          <w:color w:val="auto"/>
        </w:rPr>
        <w:t>. /</w:t>
      </w:r>
    </w:p>
    <w:p>
      <w:pPr>
        <w:spacing w:after="0" w:line="19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spacing w:after="0" w:line="15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13.3 Party B shall provide quarterly information on the movement of funds in and out of the above accounts and cooperate with Party A in the monitoring of the relevant accounts and the return of funds.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14. Applicable law and dispute resolution</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14.2 Disputes arising in the course of the performance of this Agreement between A and B shall be settled by mutual agreement. If consultation fails, either party shall (choose one of the three, tick one of the following).</w:t>
      </w:r>
    </w:p>
    <w:p>
      <w:pPr>
        <w:spacing w:after="0" w:line="140" w:lineRule="exact"/>
        <w:rPr>
          <w:sz w:val="20"/>
          <w:szCs w:val="20"/>
          <w:color w:val="auto"/>
        </w:rPr>
      </w:pPr>
    </w:p>
    <w:p>
      <w:pPr>
        <w:ind w:left="460" w:hanging="175"/>
        <w:spacing w:after="0"/>
        <w:tabs>
          <w:tab w:leader="none" w:pos="460" w:val="left"/>
        </w:tabs>
        <w:numPr>
          <w:ilvl w:val="0"/>
          <w:numId w:val="363"/>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14.2.1 to the People’s Court of competent jurisdiction in the location of Party A.</w:t>
      </w:r>
    </w:p>
    <w:p>
      <w:pPr>
        <w:spacing w:after="0" w:line="201" w:lineRule="exact"/>
        <w:rPr>
          <w:sz w:val="20"/>
          <w:szCs w:val="20"/>
          <w:color w:val="auto"/>
        </w:rPr>
      </w:pPr>
    </w:p>
    <w:p>
      <w:pPr>
        <w:ind w:left="480" w:hanging="195"/>
        <w:spacing w:after="0"/>
        <w:tabs>
          <w:tab w:leader="none" w:pos="480" w:val="left"/>
        </w:tabs>
        <w:numPr>
          <w:ilvl w:val="0"/>
          <w:numId w:val="36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14.2.2 to the people’s court with jurisdiction in the place where the agreement was signed, which is </w:t>
      </w:r>
      <w:r>
        <w:rPr>
          <w:rFonts w:ascii="Times New Roman" w:cs="Times New Roman" w:eastAsia="Times New Roman" w:hAnsi="Times New Roman"/>
          <w:sz w:val="16"/>
          <w:szCs w:val="16"/>
          <w:b w:val="1"/>
          <w:bCs w:val="1"/>
          <w:u w:val="single" w:color="auto"/>
          <w:color w:val="auto"/>
        </w:rPr>
        <w:t>Century Avenue Branch of China Merchants Bank Co.,</w:t>
      </w:r>
    </w:p>
    <w:p>
      <w:pPr>
        <w:spacing w:after="0" w:line="2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u w:val="single" w:color="auto"/>
          <w:color w:val="auto"/>
        </w:rPr>
        <w:t>LTD</w:t>
      </w:r>
    </w:p>
    <w:p>
      <w:pPr>
        <w:spacing w:after="0" w:line="180" w:lineRule="exact"/>
        <w:rPr>
          <w:rFonts w:ascii="MS PGothic" w:cs="MS PGothic" w:eastAsia="MS PGothic" w:hAnsi="MS PGothic"/>
          <w:sz w:val="16"/>
          <w:szCs w:val="16"/>
          <w:color w:val="auto"/>
        </w:rPr>
      </w:pPr>
    </w:p>
    <w:p>
      <w:pPr>
        <w:ind w:left="460" w:hanging="175"/>
        <w:spacing w:after="0"/>
        <w:tabs>
          <w:tab w:leader="none" w:pos="460" w:val="left"/>
        </w:tabs>
        <w:numPr>
          <w:ilvl w:val="0"/>
          <w:numId w:val="364"/>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14.2.3 Application for arbitration to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(insert name of specific arbitration institution), where the arbitration will take place.</w:t>
      </w:r>
    </w:p>
    <w:p>
      <w:pPr>
        <w:spacing w:after="0" w:line="20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9" w:name="page390"/>
    <w:bookmarkEnd w:id="389"/>
    <w:p>
      <w:pPr>
        <w:ind w:left="280"/>
        <w:spacing w:after="0"/>
        <w:rPr>
          <w:sz w:val="20"/>
          <w:szCs w:val="20"/>
          <w:color w:val="auto"/>
        </w:rPr>
      </w:pPr>
      <w:r>
        <w:rPr>
          <w:rFonts w:ascii="Times New Roman" w:cs="Times New Roman" w:eastAsia="Times New Roman" w:hAnsi="Times New Roman"/>
          <w:sz w:val="16"/>
          <w:szCs w:val="16"/>
          <w:color w:val="auto"/>
        </w:rPr>
        <w:t>15. Entry into force of the agreement</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16. By-laws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This agreement is made in </w:t>
      </w:r>
      <w:r>
        <w:rPr>
          <w:rFonts w:ascii="Times New Roman" w:cs="Times New Roman" w:eastAsia="Times New Roman" w:hAnsi="Times New Roman"/>
          <w:sz w:val="16"/>
          <w:szCs w:val="16"/>
          <w:u w:val="single" w:color="auto"/>
          <w:color w:val="auto"/>
        </w:rPr>
        <w:t>four copy</w:t>
      </w:r>
      <w:r>
        <w:rPr>
          <w:rFonts w:ascii="Times New Roman" w:cs="Times New Roman" w:eastAsia="Times New Roman" w:hAnsi="Times New Roman"/>
          <w:sz w:val="16"/>
          <w:szCs w:val="16"/>
          <w:color w:val="auto"/>
        </w:rPr>
        <w:t>, one for Party A, one for Party B and one for each with the same legal effect.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Attachment: 1. Special Terms and Conditions for Cross-border Trade Finance Business</w:t>
      </w:r>
    </w:p>
    <w:p>
      <w:pPr>
        <w:spacing w:after="0" w:line="201" w:lineRule="exact"/>
        <w:rPr>
          <w:sz w:val="20"/>
          <w:szCs w:val="20"/>
          <w:color w:val="auto"/>
        </w:rPr>
      </w:pPr>
    </w:p>
    <w:p>
      <w:pPr>
        <w:ind w:left="740" w:hanging="167"/>
        <w:spacing w:after="0"/>
        <w:tabs>
          <w:tab w:leader="none" w:pos="74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Buyer/Import Factoring</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Order Credit Business</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Commercial Acceptance Guarantee Business</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for derivative business</w:t>
      </w:r>
    </w:p>
    <w:p>
      <w:pPr>
        <w:spacing w:after="0" w:line="200" w:lineRule="exact"/>
        <w:rPr>
          <w:rFonts w:ascii="Times New Roman" w:cs="Times New Roman" w:eastAsia="Times New Roman" w:hAnsi="Times New Roman"/>
          <w:sz w:val="16"/>
          <w:szCs w:val="16"/>
          <w:color w:val="auto"/>
        </w:rPr>
      </w:pPr>
    </w:p>
    <w:p>
      <w:pPr>
        <w:ind w:left="740" w:hanging="167"/>
        <w:spacing w:after="0"/>
        <w:tabs>
          <w:tab w:leader="none" w:pos="740" w:val="left"/>
        </w:tabs>
        <w:numPr>
          <w:ilvl w:val="0"/>
          <w:numId w:val="3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Gold Leasing Business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6"/>
          <w:szCs w:val="16"/>
          <w:color w:val="auto"/>
        </w:rPr>
        <w:t>Attachment 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Cross-border Trade Finance Business</w:t>
      </w:r>
    </w:p>
    <w:p>
      <w:pPr>
        <w:spacing w:after="0" w:line="201" w:lineRule="exact"/>
        <w:rPr>
          <w:sz w:val="20"/>
          <w:szCs w:val="20"/>
          <w:color w:val="auto"/>
        </w:rPr>
      </w:pPr>
    </w:p>
    <w:p>
      <w:pPr>
        <w:jc w:val="both"/>
        <w:ind w:firstLine="285"/>
        <w:spacing w:after="0" w:line="267" w:lineRule="auto"/>
        <w:tabs>
          <w:tab w:leader="none" w:pos="477"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459"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49" w:val="left"/>
        </w:tabs>
        <w:numPr>
          <w:ilvl w:val="0"/>
          <w:numId w:val="3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6"/>
          <w:szCs w:val="16"/>
          <w:color w:val="auto"/>
        </w:rPr>
        <w:t>Attachment 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Buyer/Import Factoring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Definition clause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 w:cs="Times New Roman" w:eastAsia="Times New Roman" w:hAnsi="Times New Roman"/>
          <w:sz w:val="16"/>
          <w:szCs w:val="16"/>
          <w:b w:val="1"/>
          <w:bCs w:val="1"/>
          <w:color w:val="auto"/>
        </w:rPr>
        <w:t>and the assertion by a third party of its rights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application for seizure of the receivables under this Agreement. A dispute shall be deemed to have arisen whenever the receivables assigned to us are not fully or partially realised as a result of any credit risk other than that of the buyer.</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 Commercial Contract: A contract for a transaction between Party B and a receivable creditor for the purpose of a commodity transaction and/or a service transaction, settled on credit.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spacing w:after="0" w:line="143" w:lineRule="exact"/>
        <w:rPr>
          <w:sz w:val="20"/>
          <w:szCs w:val="20"/>
          <w:color w:val="auto"/>
        </w:rPr>
      </w:pPr>
    </w:p>
    <w:p>
      <w:pPr>
        <w:ind w:right="20" w:firstLine="285"/>
        <w:spacing w:after="0" w:line="283" w:lineRule="auto"/>
        <w:tabs>
          <w:tab w:leader="none" w:pos="454"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2" w:name="page393"/>
    <w:bookmarkEnd w:id="392"/>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Times New Roman" w:cs="Times New Roman" w:eastAsia="Times New Roman" w:hAnsi="Times New Roman"/>
          <w:sz w:val="16"/>
          <w:szCs w:val="16"/>
          <w:b w:val="1"/>
          <w:bCs w:val="1"/>
          <w:color w:val="auto"/>
        </w:rPr>
        <w:t>As long as the seller/export factor (whether or not it is Party A) assigns the receivables within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credit period, Party A shall have the right of recourse against Party B in accordance with the Credit Agreement and the Commercial Contract, even if Party A fulfils its approved payment obligations beyond the credit period.</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 Buyer/Import Factoring Charges</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spacing w:after="0" w:line="156" w:lineRule="exact"/>
        <w:rPr>
          <w:sz w:val="20"/>
          <w:szCs w:val="20"/>
          <w:color w:val="auto"/>
        </w:rPr>
      </w:pPr>
    </w:p>
    <w:p>
      <w:pPr>
        <w:jc w:val="both"/>
        <w:ind w:right="20" w:firstLine="285"/>
        <w:spacing w:after="0" w:line="267" w:lineRule="auto"/>
        <w:tabs>
          <w:tab w:leader="none" w:pos="452"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6"/>
          <w:szCs w:val="16"/>
          <w:color w:val="auto"/>
        </w:rPr>
        <w:t>Annex 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Order Credit Business</w:t>
      </w:r>
    </w:p>
    <w:p>
      <w:pPr>
        <w:spacing w:after="0" w:line="201" w:lineRule="exact"/>
        <w:rPr>
          <w:sz w:val="20"/>
          <w:szCs w:val="20"/>
          <w:color w:val="auto"/>
        </w:rPr>
      </w:pPr>
    </w:p>
    <w:p>
      <w:pPr>
        <w:jc w:val="both"/>
        <w:ind w:right="20" w:firstLine="285"/>
        <w:spacing w:after="0" w:line="267" w:lineRule="auto"/>
        <w:tabs>
          <w:tab w:leader="none" w:pos="455"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1" w:lineRule="auto"/>
        <w:tabs>
          <w:tab w:leader="none" w:pos="453"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spacing w:after="0" w:line="161" w:lineRule="exact"/>
        <w:rPr>
          <w:rFonts w:ascii="Times New Roman" w:cs="Times New Roman" w:eastAsia="Times New Roman" w:hAnsi="Times New Roman"/>
          <w:sz w:val="16"/>
          <w:szCs w:val="16"/>
          <w:color w:val="auto"/>
        </w:rPr>
      </w:pPr>
    </w:p>
    <w:p>
      <w:pPr>
        <w:ind w:right="20" w:firstLine="285"/>
        <w:spacing w:after="0" w:line="283" w:lineRule="auto"/>
        <w:tabs>
          <w:tab w:leader="none" w:pos="453"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may immediately stop the use of Party B’s credit line under the Credit Agreement and take default handling measures as agreed in the Credit Agreement when the following circumstances occur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3.1 circumstances that are not conducive to the protection of our claims, such as three consecutive late payments by Party B’s downstream customers or, in our reasonable judgement, a deterioration in their financial position.</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6"/>
          <w:szCs w:val="16"/>
          <w:color w:val="auto"/>
        </w:rPr>
        <w:t>Annex 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and Conditions for Commercial Acceptance Guarantee Business</w:t>
      </w:r>
    </w:p>
    <w:p>
      <w:pPr>
        <w:spacing w:after="0" w:line="201" w:lineRule="exact"/>
        <w:rPr>
          <w:sz w:val="20"/>
          <w:szCs w:val="20"/>
          <w:color w:val="auto"/>
        </w:rPr>
      </w:pPr>
    </w:p>
    <w:p>
      <w:pPr>
        <w:jc w:val="both"/>
        <w:ind w:firstLine="285"/>
        <w:spacing w:after="0" w:line="267" w:lineRule="auto"/>
        <w:tabs>
          <w:tab w:leader="none" w:pos="455"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spacing w:after="0" w:line="168" w:lineRule="exact"/>
        <w:rPr>
          <w:sz w:val="20"/>
          <w:szCs w:val="20"/>
          <w:color w:val="auto"/>
        </w:rPr>
      </w:pPr>
    </w:p>
    <w:p>
      <w:pPr>
        <w:jc w:val="both"/>
        <w:ind w:firstLine="337"/>
        <w:spacing w:after="0" w:line="275" w:lineRule="auto"/>
        <w:rPr>
          <w:sz w:val="20"/>
          <w:szCs w:val="20"/>
          <w:color w:val="auto"/>
        </w:rPr>
      </w:pPr>
      <w:r>
        <w:rPr>
          <w:rFonts w:ascii="Times New Roman" w:cs="Times New Roman" w:eastAsia="Times New Roman" w:hAnsi="Times New Roman"/>
          <w:sz w:val="16"/>
          <w:szCs w:val="16"/>
          <w:color w:val="auto"/>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spacing w:after="0" w:line="149" w:lineRule="exact"/>
        <w:rPr>
          <w:sz w:val="20"/>
          <w:szCs w:val="20"/>
          <w:color w:val="auto"/>
        </w:rPr>
      </w:pPr>
    </w:p>
    <w:p>
      <w:pPr>
        <w:jc w:val="both"/>
        <w:ind w:firstLine="285"/>
        <w:spacing w:after="0" w:line="267" w:lineRule="auto"/>
        <w:tabs>
          <w:tab w:leader="none" w:pos="452"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spacing w:after="0" w:line="155" w:lineRule="exact"/>
        <w:rPr>
          <w:rFonts w:ascii="Times New Roman" w:cs="Times New Roman" w:eastAsia="Times New Roman" w:hAnsi="Times New Roman"/>
          <w:sz w:val="16"/>
          <w:szCs w:val="16"/>
          <w:color w:val="auto"/>
        </w:rPr>
      </w:pPr>
    </w:p>
    <w:p>
      <w:pPr>
        <w:jc w:val="both"/>
        <w:ind w:firstLine="326"/>
        <w:spacing w:after="0" w:line="267" w:lineRule="auto"/>
        <w:tabs>
          <w:tab w:leader="none" w:pos="495" w:val="left"/>
        </w:tabs>
        <w:numPr>
          <w:ilvl w:val="1"/>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spacing w:after="0" w:line="156"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If Party B is the acceptor of a commercial acceptances, Party B shall deposit the full amount of each commercial acceptances payable in its margin account opened with Party A before the maturity of the bill.</w:t>
      </w:r>
    </w:p>
    <w:p>
      <w:pPr>
        <w:spacing w:after="0" w:line="143" w:lineRule="exact"/>
        <w:rPr>
          <w:sz w:val="20"/>
          <w:szCs w:val="20"/>
          <w:color w:val="auto"/>
        </w:rPr>
      </w:pPr>
    </w:p>
    <w:p>
      <w:pPr>
        <w:jc w:val="both"/>
        <w:ind w:firstLine="285"/>
        <w:spacing w:after="0" w:line="267" w:lineRule="auto"/>
        <w:tabs>
          <w:tab w:leader="none" w:pos="452"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95" w:name="page396"/>
    <w:bookmarkEnd w:id="395"/>
    <w:p>
      <w:pPr>
        <w:jc w:val="both"/>
        <w:ind w:firstLine="285"/>
        <w:spacing w:after="0" w:line="261" w:lineRule="auto"/>
        <w:tabs>
          <w:tab w:leader="none" w:pos="476"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spacing w:after="0" w:line="161" w:lineRule="exact"/>
        <w:rPr>
          <w:rFonts w:ascii="Times New Roman" w:cs="Times New Roman" w:eastAsia="Times New Roman" w:hAnsi="Times New Roman"/>
          <w:sz w:val="16"/>
          <w:szCs w:val="16"/>
          <w:color w:val="auto"/>
        </w:rPr>
      </w:pPr>
    </w:p>
    <w:p>
      <w:pPr>
        <w:ind w:right="20" w:firstLine="285"/>
        <w:spacing w:after="0" w:line="283" w:lineRule="auto"/>
        <w:tabs>
          <w:tab w:leader="none" w:pos="460"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59" w:lineRule="auto"/>
        <w:tabs>
          <w:tab w:leader="none" w:pos="456" w:val="left"/>
        </w:tabs>
        <w:numPr>
          <w:ilvl w:val="0"/>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 w:cs="Times New Roman" w:eastAsia="Times New Roman" w:hAnsi="Times New Roman"/>
          <w:sz w:val="16"/>
          <w:szCs w:val="16"/>
          <w:b w:val="1"/>
          <w:bCs w:val="1"/>
          <w:color w:val="auto"/>
        </w:rPr>
        <w:t>penalty interest charge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Party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to Party B </w:t>
      </w:r>
      <w:r>
        <w:rPr>
          <w:rFonts w:ascii="Times New Roman" w:cs="Times New Roman" w:eastAsia="Times New Roman" w:hAnsi="Times New Roman"/>
          <w:sz w:val="16"/>
          <w:szCs w:val="16"/>
          <w:color w:val="auto"/>
        </w:rPr>
        <w:t>at the rate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5% per</w:t>
      </w:r>
      <w:r>
        <w:rPr>
          <w:rFonts w:ascii="Times New Roman" w:cs="Times New Roman" w:eastAsia="Times New Roman" w:hAnsi="Times New Roman"/>
          <w:sz w:val="16"/>
          <w:szCs w:val="16"/>
          <w:b w:val="1"/>
          <w:bCs w:val="1"/>
          <w:color w:val="auto"/>
        </w:rPr>
        <w:t xml:space="preserve"> day of </w:t>
      </w:r>
      <w:r>
        <w:rPr>
          <w:rFonts w:ascii="Times New Roman" w:cs="Times New Roman" w:eastAsia="Times New Roman" w:hAnsi="Times New Roman"/>
          <w:sz w:val="16"/>
          <w:szCs w:val="16"/>
          <w:color w:val="auto"/>
        </w:rPr>
        <w:t>the amount advanced in accordance with the relevant provisions of the Payment and Settlement Measures.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6"/>
          <w:szCs w:val="16"/>
          <w:color w:val="auto"/>
        </w:rPr>
        <w:t>Annex 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Derivative Trading Business</w:t>
      </w:r>
    </w:p>
    <w:p>
      <w:pPr>
        <w:spacing w:after="0" w:line="201" w:lineRule="exact"/>
        <w:rPr>
          <w:sz w:val="20"/>
          <w:szCs w:val="20"/>
          <w:color w:val="auto"/>
        </w:rPr>
      </w:pPr>
    </w:p>
    <w:p>
      <w:pPr>
        <w:jc w:val="both"/>
        <w:ind w:firstLine="285"/>
        <w:spacing w:after="0" w:line="257" w:lineRule="auto"/>
        <w:tabs>
          <w:tab w:leader="none" w:pos="469"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 w:cs="Times New Roman" w:eastAsia="Times New Roman" w:hAnsi="Times New Roman"/>
          <w:sz w:val="16"/>
          <w:szCs w:val="16"/>
          <w:b w:val="1"/>
          <w:bCs w:val="1"/>
          <w:color w:val="auto"/>
        </w:rPr>
        <w:t>time of each transaction, Party A shall determine the specific amount of credit line to be taken up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accordance with the variety, maturity and risk level of the transaction, the business to which the credit line is deducted, etc.). The </w:t>
      </w:r>
      <w:r>
        <w:rPr>
          <w:rFonts w:ascii="Times New Roman" w:cs="Times New Roman" w:eastAsia="Times New Roman" w:hAnsi="Times New Roman"/>
          <w:sz w:val="16"/>
          <w:szCs w:val="16"/>
          <w:color w:val="auto"/>
        </w:rPr>
        <w:t>actual amount of credit line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up shall be determined by the transaction documents such as the notification of credit line taking up and/or the confirmation/certification of the transaction issued by Party A.</w:t>
      </w:r>
    </w:p>
    <w:p>
      <w:pPr>
        <w:spacing w:after="0" w:line="162" w:lineRule="exact"/>
        <w:rPr>
          <w:rFonts w:ascii="Times New Roman" w:cs="Times New Roman" w:eastAsia="Times New Roman" w:hAnsi="Times New Roman"/>
          <w:sz w:val="16"/>
          <w:szCs w:val="16"/>
          <w:color w:val="auto"/>
        </w:rPr>
      </w:pPr>
    </w:p>
    <w:p>
      <w:pPr>
        <w:ind w:firstLine="285"/>
        <w:spacing w:after="0" w:line="285" w:lineRule="auto"/>
        <w:tabs>
          <w:tab w:leader="none" w:pos="454" w:val="left"/>
        </w:tabs>
        <w:numPr>
          <w:ilvl w:val="0"/>
          <w:numId w:val="3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Any derivative transaction that has a balance or loss during the credit period, whether or not the transaction occurs within the credit period, will be charged to the credit line in accordance with the previous article.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6"/>
          <w:szCs w:val="16"/>
          <w:color w:val="auto"/>
        </w:rPr>
        <w:t>Annex 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Gold Leasing Business</w:t>
      </w:r>
    </w:p>
    <w:p>
      <w:pPr>
        <w:spacing w:after="0" w:line="201" w:lineRule="exact"/>
        <w:rPr>
          <w:sz w:val="20"/>
          <w:szCs w:val="20"/>
          <w:color w:val="auto"/>
        </w:rPr>
      </w:pPr>
    </w:p>
    <w:p>
      <w:pPr>
        <w:ind w:firstLine="285"/>
        <w:spacing w:after="0" w:line="283" w:lineRule="auto"/>
        <w:tabs>
          <w:tab w:leader="none" w:pos="467"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“Gold Leasing” is a business in which we lease out physical gold to Party B. Upon expiry, Party B returns an equivalent amount of gold of the same quality and property and pays the leasing fee to Party A in RMB on a regular basis.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45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Party B declares that</w:t>
      </w:r>
    </w:p>
    <w:p>
      <w:pPr>
        <w:spacing w:after="0" w:line="201"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6"/>
          <w:szCs w:val="16"/>
          <w:color w:val="auto"/>
        </w:rPr>
        <w:t>(The following is the signature line of the Credit Agreement (for liquidity loans without a separate loan contract) numbered:121XY240709T000157)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w:t>
      </w:r>
      <w:r>
        <w:rPr>
          <w:rFonts w:ascii="Times New Roman" w:cs="Times New Roman" w:eastAsia="Times New Roman" w:hAnsi="Times New Roman"/>
          <w:sz w:val="16"/>
          <w:szCs w:val="16"/>
          <w:color w:val="auto"/>
        </w:rPr>
        <w:t>: China Merchants Bank Co. LTD. Shanghai Branch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or authorised agent (signature/name seal).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address. </w:t>
      </w:r>
      <w:r>
        <w:rPr>
          <w:rFonts w:ascii="Times New Roman" w:cs="Times New Roman" w:eastAsia="Times New Roman" w:hAnsi="Times New Roman"/>
          <w:sz w:val="16"/>
          <w:szCs w:val="16"/>
          <w:u w:val="single" w:color="auto"/>
          <w:color w:val="auto"/>
        </w:rPr>
        <w:t>1088 Lujiazui Ring Road, Pudong New Area, Shanghai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e-mail address.</w:t>
      </w:r>
      <w:r>
        <w:rPr>
          <w:rFonts w:ascii="Times New Roman" w:cs="Times New Roman" w:eastAsia="Times New Roman" w:hAnsi="Times New Roman"/>
          <w:sz w:val="16"/>
          <w:szCs w:val="16"/>
          <w:u w:val="single" w:color="auto"/>
          <w:color w:val="auto"/>
        </w:rPr>
        <w:t>qsong@cmbchina.com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fax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mobile number. </w:t>
      </w:r>
      <w:r>
        <w:rPr>
          <w:rFonts w:ascii="Times New Roman" w:cs="Times New Roman" w:eastAsia="Times New Roman" w:hAnsi="Times New Roman"/>
          <w:sz w:val="16"/>
          <w:szCs w:val="16"/>
          <w:u w:val="single" w:color="auto"/>
          <w:color w:val="auto"/>
        </w:rPr>
        <w:t>Song Qian 13585859417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micro signal. </w:t>
      </w:r>
      <w:r>
        <w:rPr>
          <w:rFonts w:ascii="Times New Roman" w:cs="Times New Roman" w:eastAsia="Times New Roman" w:hAnsi="Times New Roman"/>
          <w:sz w:val="16"/>
          <w:szCs w:val="16"/>
          <w:u w:val="single" w:color="auto"/>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w:t>
      </w:r>
      <w:r>
        <w:rPr>
          <w:rFonts w:ascii="Times New Roman" w:cs="Times New Roman" w:eastAsia="Times New Roman" w:hAnsi="Times New Roman"/>
          <w:sz w:val="16"/>
          <w:szCs w:val="16"/>
          <w:color w:val="auto"/>
        </w:rPr>
        <w:t>: (seal)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JAJI (Shanghai) Co.,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representative/principal person in charge or authorised agent (signature/name seal).</w:t>
      </w:r>
    </w:p>
    <w:p>
      <w:pPr>
        <w:spacing w:after="0" w:line="201" w:lineRule="exact"/>
        <w:rPr>
          <w:sz w:val="20"/>
          <w:szCs w:val="20"/>
          <w:color w:val="auto"/>
        </w:rPr>
      </w:pPr>
    </w:p>
    <w:p>
      <w:pPr>
        <w:ind w:right="4480"/>
        <w:spacing w:after="0" w:line="501" w:lineRule="auto"/>
        <w:rPr>
          <w:sz w:val="20"/>
          <w:szCs w:val="20"/>
          <w:color w:val="auto"/>
        </w:rPr>
      </w:pPr>
      <w:r>
        <w:rPr>
          <w:rFonts w:ascii="Times New Roman" w:cs="Times New Roman" w:eastAsia="Times New Roman" w:hAnsi="Times New Roman"/>
          <w:sz w:val="16"/>
          <w:szCs w:val="16"/>
          <w:color w:val="auto"/>
        </w:rPr>
        <w:t xml:space="preserve">Contact address. </w:t>
      </w:r>
      <w:r>
        <w:rPr>
          <w:rFonts w:ascii="Times New Roman" w:cs="Times New Roman" w:eastAsia="Times New Roman" w:hAnsi="Times New Roman"/>
          <w:sz w:val="16"/>
          <w:szCs w:val="16"/>
          <w:u w:val="single" w:color="auto"/>
          <w:color w:val="auto"/>
        </w:rPr>
        <w:t>Room 511, Building 1,Chuangzhi Space 2966, Jinke Road, Pudong New Area, Shanghai</w:t>
      </w:r>
      <w:r>
        <w:rPr>
          <w:rFonts w:ascii="Times New Roman" w:cs="Times New Roman" w:eastAsia="Times New Roman" w:hAnsi="Times New Roman"/>
          <w:sz w:val="16"/>
          <w:szCs w:val="16"/>
          <w:color w:val="auto"/>
        </w:rPr>
        <w:t xml:space="preserve"> Unit e-mail address.</w:t>
      </w:r>
      <w:r>
        <w:rPr>
          <w:rFonts w:ascii="Times New Roman" w:cs="Times New Roman" w:eastAsia="Times New Roman" w:hAnsi="Times New Roman"/>
          <w:sz w:val="16"/>
          <w:szCs w:val="16"/>
          <w:u w:val="single" w:color="auto"/>
          <w:color w:val="auto"/>
        </w:rPr>
        <w:t>penny.dai@jajiglobal.com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fax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mobile number. </w:t>
      </w:r>
      <w:r>
        <w:rPr>
          <w:rFonts w:ascii="Times New Roman" w:cs="Times New Roman" w:eastAsia="Times New Roman" w:hAnsi="Times New Roman"/>
          <w:sz w:val="16"/>
          <w:szCs w:val="16"/>
          <w:u w:val="single" w:color="auto"/>
          <w:color w:val="auto"/>
        </w:rPr>
        <w:t>Dai Panpan 15721320032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micro signal.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Date: 2024.7.10</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6"/>
          <w:szCs w:val="16"/>
          <w:b w:val="1"/>
          <w:bCs w:val="1"/>
          <w:color w:val="auto"/>
        </w:rPr>
        <w:t>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7124700</wp:posOffset>
            </wp:positionH>
            <wp:positionV relativeFrom="paragraph">
              <wp:posOffset>126365</wp:posOffset>
            </wp:positionV>
            <wp:extent cx="33020" cy="781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2">
                      <a:extLst>
                        <a:ext uri="{28A0092B-C50C-407E-A947-70E740481C1C}"/>
                      </a:extLst>
                    </a:blip>
                    <a:srcRect/>
                    <a:stretch>
                      <a:fillRect/>
                    </a:stretch>
                  </pic:blipFill>
                  <pic:spPr bwMode="auto">
                    <a:xfrm>
                      <a:off x="0" y="0"/>
                      <a:ext cx="33020" cy="78105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126365</wp:posOffset>
            </wp:positionV>
            <wp:extent cx="33020" cy="7810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3">
                      <a:extLst>
                        <a:ext uri="{28A0092B-C50C-407E-A947-70E740481C1C}"/>
                      </a:extLst>
                    </a:blip>
                    <a:srcRect/>
                    <a:stretch>
                      <a:fillRect/>
                    </a:stretch>
                  </pic:blipFill>
                  <pic:spPr bwMode="auto">
                    <a:xfrm>
                      <a:off x="0" y="0"/>
                      <a:ext cx="33020" cy="781050"/>
                    </a:xfrm>
                    <a:prstGeom prst="rect">
                      <a:avLst/>
                    </a:prstGeom>
                    <a:noFill/>
                  </pic:spPr>
                </pic:pic>
              </a:graphicData>
            </a:graphic>
          </wp:anchor>
        </w:drawing>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Important Notes.</w:t>
      </w:r>
    </w:p>
    <w:p>
      <w:pPr>
        <w:spacing w:after="0" w:line="201" w:lineRule="exact"/>
        <w:rPr>
          <w:sz w:val="20"/>
          <w:szCs w:val="20"/>
          <w:color w:val="auto"/>
        </w:rPr>
      </w:pPr>
    </w:p>
    <w:p>
      <w:pPr>
        <w:jc w:val="both"/>
        <w:ind w:left="100" w:right="1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Dear customer, in order to safeguard your rights and interests, please read this agreement in its entirety, especially the bolded and highlighted clauses, carefully before signing it. If you have any doubts, please ask us to clarify them promptly. If you are still in doubt or unsure of anything, please consult your lawyer and relevant professionals.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Credit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(applicable in the case of working capital loans where no separate loan contract is required)</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 xml:space="preserve">NO. </w:t>
      </w:r>
      <w:r>
        <w:rPr>
          <w:rFonts w:ascii="Times New Roman" w:cs="Times New Roman" w:eastAsia="Times New Roman" w:hAnsi="Times New Roman"/>
          <w:sz w:val="16"/>
          <w:szCs w:val="16"/>
          <w:u w:val="single" w:color="auto"/>
          <w:color w:val="auto"/>
        </w:rPr>
        <w:t>121XY250629T000001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Grantor: </w:t>
      </w:r>
      <w:r>
        <w:rPr>
          <w:rFonts w:ascii="Times New Roman" w:cs="Times New Roman" w:eastAsia="Times New Roman" w:hAnsi="Times New Roman"/>
          <w:sz w:val="16"/>
          <w:szCs w:val="16"/>
          <w:color w:val="auto"/>
        </w:rPr>
        <w:t>China Merchants Bank Co. LTD Shanghai branch (hereinafter referred to as Party 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Applicant</w:t>
      </w:r>
      <w:r>
        <w:rPr>
          <w:rFonts w:ascii="Times New Roman" w:cs="Times New Roman" w:eastAsia="Times New Roman" w:hAnsi="Times New Roman"/>
          <w:sz w:val="16"/>
          <w:szCs w:val="16"/>
          <w:color w:val="auto"/>
        </w:rPr>
        <w:t>: CLPS Shanghai Co., Ltd. (hereinafter referred to as Party B)</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Upon Party B’s application, Party A agrees to provide a credit line to Party B for your use. Now Party A and Party B agree on the following terms in accordance with the relevant legal provisions and after full consultation, and hereby enter into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Credit limit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1.1 Under this Agreement, we shall provide you with a credit line (including revolving line and/or one-off line) in the amount of RMB </w:t>
      </w:r>
      <w:r>
        <w:rPr>
          <w:rFonts w:ascii="Times New Roman" w:cs="Times New Roman" w:eastAsia="Times New Roman" w:hAnsi="Times New Roman"/>
          <w:sz w:val="16"/>
          <w:szCs w:val="16"/>
          <w:u w:val="single" w:color="auto"/>
          <w:color w:val="auto"/>
        </w:rPr>
        <w:t>60 million</w:t>
      </w:r>
      <w:r>
        <w:rPr>
          <w:rFonts w:ascii="Times New Roman" w:cs="Times New Roman" w:eastAsia="Times New Roman" w:hAnsi="Times New Roman"/>
          <w:sz w:val="16"/>
          <w:szCs w:val="16"/>
          <w:color w:val="auto"/>
        </w:rPr>
        <w:t xml:space="preserve"> .Party B may apply for specific business in other currencies within the credit line.</w:t>
      </w:r>
    </w:p>
    <w:p>
      <w:pPr>
        <w:spacing w:after="0" w:line="155"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Party A (or Party A’s subsidiary) and Party B originally entered into a</w:t>
      </w:r>
      <w:r>
        <w:rPr>
          <w:rFonts w:ascii="SimSun" w:cs="SimSun" w:eastAsia="SimSun" w:hAnsi="SimSun"/>
          <w:sz w:val="16"/>
          <w:szCs w:val="16"/>
          <w:color w:val="auto"/>
        </w:rPr>
        <w:t>《</w:t>
      </w:r>
      <w:r>
        <w:rPr>
          <w:rFonts w:ascii="Times New Roman" w:cs="Times New Roman" w:eastAsia="Times New Roman" w:hAnsi="Times New Roman"/>
          <w:sz w:val="16"/>
          <w:szCs w:val="16"/>
          <w:color w:val="auto"/>
        </w:rPr>
        <w:t>Credit Agreement</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with the number 121XY2024013711 (applicable to working capital loans that do not require a separate loan contract) (insert the name of the agreement here) , it will automatically be included under this agreement and will directly occupy the credit line under this agreement.</w:t>
      </w:r>
    </w:p>
    <w:p>
      <w:pPr>
        <w:spacing w:after="0" w:line="175"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 xml:space="preserve">1.2 The credit period shall be for a period of 12 months, from </w:t>
      </w:r>
      <w:r>
        <w:rPr>
          <w:rFonts w:ascii="Times New Roman" w:cs="Times New Roman" w:eastAsia="Times New Roman" w:hAnsi="Times New Roman"/>
          <w:sz w:val="16"/>
          <w:szCs w:val="16"/>
          <w:u w:val="single" w:color="auto"/>
          <w:color w:val="auto"/>
        </w:rPr>
        <w:t>2025.6.30</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2026.6.29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If Party B needs to use the credit line for specific credit business, it shall submit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 application to Party A for the use of the credit line within such period. Party A shall not accept any application for the use of the credit line submitted by Party B beyond the expiry date of the credit line period, except as otherwise provided in this Agreement.</w:t>
      </w:r>
    </w:p>
    <w:p>
      <w:pPr>
        <w:spacing w:after="0" w:line="155"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1.3 The types of credit business granted under the credit line include but are not limited to one or more credit businesses such as loans/order loans, trade finance, bill discounting, commercial bill acceptance, commercial bill acceptance/bonding, international/domestic letters of guarantee, customs duty payment guarantee, corporate account overdraft, derivative transactions, gold leasing,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7147560" cy="152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00" w:name="page401"/>
    <w:bookmarkEnd w:id="400"/>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“Trade Finance” includes, but is not limited to, international/domestic letters of credit, import charge, lading guarantee, import collection charge, packaged release, export charge, export negotiation, export collection charge, import/export remittance financing, credit guarantee financing, factoring, bill factoring and other business types.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 Revolving Credit Limit means the maximum amount of the sum of the principal balance of one or more credit facilities referred to in the preceding paragraph that we may provide to you on a continuous and revolving basis during the credit period.</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one-off line of credit refers to the cumulative amount of each type of credit business provided by Party A for Party B during the credit period shall not exceed the amount of the one-off line of credit approved by Party A. Party B shall not recycle the one-off credit line, and the corresponding amount of multiple credit operations applied for by Party B shall occupy the one-off credit line amount until the accumulated amount is full.</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2. credit line occupancy arrangements</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2.1 Specific credit operations applied for by you and approved by us during the credit period are automatically included in this Agreement and will be covered by the credit limit under this Agreement.</w:t>
      </w:r>
    </w:p>
    <w:p>
      <w:pPr>
        <w:spacing w:after="0" w:line="14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b w:val="1"/>
          <w:bCs w:val="1"/>
          <w:color w:val="auto"/>
        </w:rPr>
        <w:t>If Party A applies for factoring business in which Party B is the payer (debtor of the receivables), the credit line mentioned above shall be used for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receivables claims assigned to Party B by Party A from a third party in such business; </w:t>
      </w:r>
      <w:r>
        <w:rPr>
          <w:rFonts w:ascii="Times New Roman" w:cs="Times New Roman" w:eastAsia="Times New Roman" w:hAnsi="Times New Roman"/>
          <w:sz w:val="16"/>
          <w:szCs w:val="16"/>
          <w:color w:val="auto"/>
        </w:rPr>
        <w:t>if Party B applies to Party A for factoring business in which Party B is the payee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(creditor of the receivables), the credit line mentioned above shall be used for the purchase of the receivables claims held by Party B paid by Party A to Party B with its own funds or funds from other legal sources. The acquisition amount (off-take payment) of the receivable claims held by Party B will occupy the above credit line.</w:t>
      </w:r>
    </w:p>
    <w:p>
      <w:pPr>
        <w:spacing w:after="0" w:line="16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2.3 If Party A, according to its internal process, entrusts other branches of China Merchants Bank to reopen a letter of credit to the beneficiary after the letter of credit has been issued, the letter of credit and the guarantee business of charge and delivery under it will occupy the above credit line.</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When classifying an import opening business, if an import charge actually occurs subsequently under the same letter of credit, the import opening and the import charge will occupy the same line of credit at different stages. In other words, when an import charge is made, the amount recovered after the letter of credit is paid out is then used for the import charge and is deemed to be the same amount used for the original import opening.</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3. Approval and use of credit lines</w:t>
      </w:r>
    </w:p>
    <w:p>
      <w:pPr>
        <w:spacing w:after="0" w:line="201"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3.1 The type of credit line (revolving line or one-off line) and the applicable credit business types under this Agreement, the amount of credit line corresponding to each credit business type, whether the credit line can be transferred between credit business types and the specific conditions of use are subject to Party A’s approval and consent. If, during the credit period, Party A makes any adjustment to the original Party A’s approval opinion upon Party B’s application, the subsequent approval opinion issued by Party A shall constitute a supplement and change to the original approval opinion, and so 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1" w:name="page402"/>
    <w:bookmarkEnd w:id="401"/>
    <w:p>
      <w:pPr>
        <w:jc w:val="both"/>
        <w:ind w:right="20"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3.2 Party B must apply for the use of the credit line on a case-by-case basis and submit the materials required by Party A, which will be approved and agreed by Party A on a case-by-case basis. Party A has the right to consider whether or not to agree in conjunction with its internal management requirements and Party B’s business situation, and has the right to unilaterally reject Party B’s application for the use of the credit line without incurring any form of legal liability to Party B. In the event of any inconsistency between this paragraph and other relevant agreements in this Agreement, this paragraph shall prevail.</w:t>
      </w:r>
    </w:p>
    <w:p>
      <w:pPr>
        <w:spacing w:after="0" w:line="161"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 xml:space="preserve">3.3 When specific credit operations are classified after Party A’s approval and consent, the specific business text (including but not limited to individual agreement/application, framework agreement or specific business contract, etc.) signed by Party A and Party B in respect of the specific credit operations shall form an integral part of the Credit Agreement. </w:t>
      </w:r>
      <w:r>
        <w:rPr>
          <w:rFonts w:ascii="Times New Roman" w:cs="Times New Roman" w:eastAsia="Times New Roman" w:hAnsi="Times New Roman"/>
          <w:sz w:val="16"/>
          <w:szCs w:val="16"/>
          <w:b w:val="1"/>
          <w:bCs w:val="1"/>
          <w:color w:val="auto"/>
        </w:rPr>
        <w:t>The specific amount, interest rate, term, purpose, fees and other business elements of each loan or other credit business are determined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by the specific business text, the business documents confirmed by us (including but not limited to the withdrawal application, loan debit note (if any), etc.) and the business records in our system. Unless otherwise agreed in the specific business text, the business documents confirmed by us (including but not limited to borrowing documents, etc.) and the business records in our system, the interest rate under this Agreement shall be calculated using the simple interest method.</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Party B applies for a working capital loan within the credit line, there is no need for Party A and Party B to sign a separate Loan Contract on an individual basis. When Party B applies for a loan, it will submit its application for withdrawal on a case-by-case basis and Party A will approve it on a case-by-case basis.</w:t>
      </w:r>
    </w:p>
    <w:p>
      <w:pPr>
        <w:spacing w:after="0" w:line="141"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b w:val="1"/>
          <w:bCs w:val="1"/>
          <w:color w:val="auto"/>
        </w:rPr>
        <w:t>3.4 We shall have the right to adjust the benchmark interest rate or interest rate pricing method for loans/other credit facilities under this Agreement from time to time, taking into account changes in relevant national policies, domestic and international market conditions or our own credit policies. Such adjustment shall take effect upon notice by us to you (by way of announcement at our branches or the official website of China Merchants Bank, or by sending notice to any of the contact addresses/methods reserved by you in this Agreement); if you do not accept the adjustment, you may repay the loan early, otherwise you shall be deemed to have accepted the implementation of the notice. If the relevant financing business under this Agreement involves periodic repricing and the market benchmark interest rate is lower than 0 at the time of repricing, both parties agree to use 0 as the benchmark for calculating the interest rate pricing.</w:t>
      </w:r>
    </w:p>
    <w:p>
      <w:pPr>
        <w:spacing w:after="0" w:line="1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In the event of any inconsistency between this clause and any other relevant agreement in this Agreement, the agreement in this clause shall prevail.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02" w:name="page403"/>
    <w:bookmarkEnd w:id="402"/>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3.5 Each loan or other credit within the credit line shall be used for a specific period determined in accordance with Party B’s operational needs and Party A’s business management regulations, and the maturity date of each specific business may be later than the maturity date of the credit period (unless otherwise required by Party A).</w:t>
      </w:r>
    </w:p>
    <w:p>
      <w:pPr>
        <w:spacing w:after="0" w:line="141"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3.6 During the credit period, we shall have the right to assess Party B’s operation and financial position on an annual basis and to adjust the credit limit available to Party B in the light of the assessment.</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4. Interest rate terms for working capital loans</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4.1 The interest rate of any loan under this Agreement shall be determined by Party B as specified in the corresponding drawdown application and approved and agreed by Party A. If the drawdown application is inconsistent with the loan note (if any) or our system records for that loan, the loan note (if any) or our system records shall prevail.</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4.2 If Party B fails to use the loan in accordance with this Agreement, a penalty interest rate </w:t>
      </w:r>
      <w:r>
        <w:rPr>
          <w:rFonts w:ascii="Times New Roman" w:cs="Times New Roman" w:eastAsia="Times New Roman" w:hAnsi="Times New Roman"/>
          <w:sz w:val="16"/>
          <w:szCs w:val="16"/>
          <w:b w:val="1"/>
          <w:bCs w:val="1"/>
          <w:u w:val="single" w:color="auto"/>
          <w:color w:val="auto"/>
        </w:rPr>
        <w:t>of 100% will be charged on the original</w:t>
      </w:r>
      <w:r>
        <w:rPr>
          <w:rFonts w:ascii="Times New Roman" w:cs="Times New Roman" w:eastAsia="Times New Roman" w:hAnsi="Times New Roman"/>
          <w:sz w:val="16"/>
          <w:szCs w:val="16"/>
          <w:b w:val="1"/>
          <w:bCs w:val="1"/>
          <w:color w:val="auto"/>
        </w:rPr>
        <w:t xml:space="preserve"> interest rate from the date of change of use for the portion of the loan not used for the agreed purpose. The original interest rate refers to the interest rate that was applicable before the change of use of the loan.</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If Party B fails to repay the loan on time, late interest (penalty interest) will be charged on the outstanding portion of the loan from the overdue date at a rate of </w:t>
      </w:r>
      <w:r>
        <w:rPr>
          <w:rFonts w:ascii="Times New Roman" w:cs="Times New Roman" w:eastAsia="Times New Roman" w:hAnsi="Times New Roman"/>
          <w:sz w:val="16"/>
          <w:szCs w:val="16"/>
          <w:b w:val="1"/>
          <w:bCs w:val="1"/>
          <w:u w:val="single" w:color="auto"/>
          <w:color w:val="auto"/>
        </w:rPr>
        <w:t>50% (the</w:t>
      </w:r>
      <w:r>
        <w:rPr>
          <w:rFonts w:ascii="Times New Roman" w:cs="Times New Roman" w:eastAsia="Times New Roman" w:hAnsi="Times New Roman"/>
          <w:sz w:val="16"/>
          <w:szCs w:val="16"/>
          <w:b w:val="1"/>
          <w:bCs w:val="1"/>
          <w:color w:val="auto"/>
        </w:rPr>
        <w:t xml:space="preserve"> overdue loan interest rate) over the original interest rate. The original interest rate refers to the interest rate applicable until the loan maturity date (including early maturity date) (or in the case of a floating rate, the last floating period before the loan maturity date (including early maturity date)).</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If the loan is both overdue and not used for the contracted purpose, interest will accrue on the higher of the above provisions.</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4.3 In the event that the People’s Bank of China adjusts the regulations on loan interest rates during the term of the loan, the relevant regulations of the People’s Bank of China shall apply.</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4.4 If the maturity date of the loan falls on a holiday, the loan will automatically be postponed to the first working day after the holiday and the interest will be calculated according to the actual number of days the loan funds are occupied.</w:t>
      </w:r>
    </w:p>
    <w:p>
      <w:pPr>
        <w:spacing w:after="0" w:line="14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4.5 Interest shall be paid by Party B on each interest accrual date and Party A may deduct the interest payable directly from any account of Party B with China Merchants Bank. If the last payment date of the principal amount of the loan is not an interest-bearing date, the last payment date of the principal amount of the loan shall be the interest payment date and the borrower shall pay all the interest payable corresponding to the principal amount of the loan on that date. If Party B fails to pay the interest on time, compound interest shall be calculated on the unpaid interest payable (including penalty interest) at the overdue loan rate as stipulated in this Article.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3" w:name="page404"/>
    <w:bookmarkEnd w:id="403"/>
    <w:p>
      <w:pPr>
        <w:ind w:left="280"/>
        <w:spacing w:after="0"/>
        <w:rPr>
          <w:sz w:val="20"/>
          <w:szCs w:val="20"/>
          <w:color w:val="auto"/>
        </w:rPr>
      </w:pPr>
      <w:r>
        <w:rPr>
          <w:rFonts w:ascii="Times New Roman" w:cs="Times New Roman" w:eastAsia="Times New Roman" w:hAnsi="Times New Roman"/>
          <w:sz w:val="16"/>
          <w:szCs w:val="16"/>
          <w:color w:val="auto"/>
        </w:rPr>
        <w:t>5. Guarantee clause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5.1 All debts owed by Party B to Party A under this Agreement shall be secured by a pledge of property or joint and several guarantee provided by Party B or a third party approved by Party A. Party B or the third party acting as guarantor shall issue or sign a separate copy of the guarantee as required by Party A.</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5.2 If the guarantor fails to sign the text of the guarantee and complete the guarantee formalities in accordance with the provisions of this Article (including if the debtor of the receivables defends the receivables before the pledge of the receivables), we shall have the right to refuse to provide credit to Party B.</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5.3 In the event that the mortgagor provides security for all debts owed by Party B to Party A under this Agreement, if Party B becomes aware that the mortgaged property has been or may be included in the government’s demolition or expropriation plan, it shall immediately inform Party A and urge the mortgagor to continue to provide security for Party B’s debts with the compensation provided by the demolishing party as agreed in the mortgage contract and complete the corresponding security procedures in a timely manner, or provide Party A with other safeguards as requested by Party A. other security measures that are acceptable to us.</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 Party B’s rights and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 Party B shall have the following rights.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6.1.1 the right to require us to provide a loan or other credit within the credit limit on the terms set out in this Agreement.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6.1.2 the right to use the credit line as agreed in this Agreement.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6.1.3 the right to require Party A to keep confidential the production, operations, property and accounts provided by Party B, except as otherwise provided in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6.1.4 The right to assign the debt to a third party with our written consent.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 Party B undertakes the following obligations.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6.2.1 shall truthfully provide the documents and information requested by Party A (including but not limited to its true financial books/statements and annual financial reports, major decisions and changes in production, operation and management, information on withdrawals/use of funds, information relating to collateral, etc.), as well as all account opening banks, account numbers and deposit and loan balances, and cooperate with Party A’s investigation, examination and inspection.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6.2.2 shall accept Party A’s supervision of its use of credit funds and related production, operation and financial activities.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6.2.3 Loans and/or other credits shall be used as agreed and/or committed to in this Agreement and in each specific operational text.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6.2.4 shall repay in full and on time the principal, interest and fees on loans, advances and other credit obligations as agreed in this Agreement and each specific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6.2.5 the assignment of all or part of the obligations under this Agreement to a third party shall be subject to our written consent.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6.2.6 Party B shall immediately notify Party A in the following circumstances and actively cooperate with Party A to implement measures to ensure the safe repayment of principal and interest of loans, advances and other credit debts and all related expenses under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4" w:name="page405"/>
    <w:bookmarkEnd w:id="404"/>
    <w:p>
      <w:pPr>
        <w:ind w:left="280"/>
        <w:spacing w:after="0"/>
        <w:rPr>
          <w:sz w:val="20"/>
          <w:szCs w:val="20"/>
          <w:color w:val="auto"/>
        </w:rPr>
      </w:pPr>
      <w:r>
        <w:rPr>
          <w:rFonts w:ascii="Times New Roman" w:cs="Times New Roman" w:eastAsia="Times New Roman" w:hAnsi="Times New Roman"/>
          <w:sz w:val="16"/>
          <w:szCs w:val="16"/>
          <w:color w:val="auto"/>
        </w:rPr>
        <w:t>6.2.6.1 the occurrence of a significant financial loss, loss of assets or other financial crisis.</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6.2.6.2 loans or guarantees for the benefit of third parties or for the protection of third parties against loss, or guarantees of credit (pledge) on own property (rights).</w:t>
      </w:r>
    </w:p>
    <w:p>
      <w:pPr>
        <w:spacing w:after="0" w:line="140"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6.2.6.3 the occurrence of winding up of business, revocation or cancellation of business licence, filing or being filed for bankruptcy, dissolution, etc., or changes in important corporate information, such as changes in corporate name, registered address, place of business, beneficial owner, etc.; or changes in the controlling shareholders/actual controllers of the borrower.</w:t>
      </w:r>
    </w:p>
    <w:p>
      <w:pPr>
        <w:spacing w:after="0" w:line="153"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6.2.6.4 where its controlling shareholder or other affiliated companies or the de facto controller has a major crisis in operation or finance which affects </w:t>
      </w:r>
      <w:r>
        <w:rPr>
          <w:rFonts w:ascii="Times New Roman" w:cs="Times New Roman" w:eastAsia="Times New Roman" w:hAnsi="Times New Roman"/>
          <w:sz w:val="16"/>
          <w:szCs w:val="16"/>
          <w:b w:val="1"/>
          <w:bCs w:val="1"/>
          <w:color w:val="auto"/>
        </w:rPr>
        <w:t>its normal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operation, or where there is a change in personnel of the legal representative/main person in charge, director or important senior management, or where it is punished/restricted in personal freedom by the state authority for matters such as violation of law or discipline, or where it is missing for more than 7 days, which may affect its normal operation.</w:t>
      </w:r>
    </w:p>
    <w:p>
      <w:pPr>
        <w:spacing w:after="0" w:line="15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6.2.6.5 connected transactions with its controlling shareholder or other affiliated company or beneficial owner amounting to 10% or more of Party B’s net assets (Party B’s notification should cover at least the connected relationship between the parties to the transaction, the nature of the transaction item and transaction, the amount or corresponding proportion of the transaction, pricing policy (including transactions with no amount or only a nominal amount), etc.).</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6.2.6.6 the occurrence of any litigation, arbitration or criminal or administrative penalty that has a material adverse effect on its business or property position.</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6.2.6.7 Party B or its de facto controller has a large amount of private usury; or has a bad record of borrowing new money, overdue or defaulting on interest payments in other financial institutions; or Party B’s affiliated enterprises have a broken internal capital chain and a debt crisis; or Party B’s projects are halted or suspended or major investment mistakes have occurred.</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6.2.6.8 The occurrence of other material events that may affect the solvency of Party B and or its controlling shareholders/actual controllers.</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6.2.7 Not to neglect to manage and pursue its claims as they fall due, or to dispose of existing major property without compensation and in other inappropriate ways.</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6.2.8 Party B shall obtain Party A’s written consent before undertaking major matters such as merger (amalgamation), demerger, restructuring, joint venture (cooperation), transfer of production (share) rights, shareholding reform, foreign investment, increase in debt financing, etc.</w:t>
      </w:r>
    </w:p>
    <w:p>
      <w:pPr>
        <w:spacing w:after="0" w:line="14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 xml:space="preserve">6.2.9 In the case of pledge of accounts receivable, Party B guarantees that the credit balance at any point during the credit period is less than </w:t>
      </w:r>
      <w:r>
        <w:rPr>
          <w:rFonts w:ascii="Times New Roman" w:cs="Times New Roman" w:eastAsia="Times New Roman" w:hAnsi="Times New Roman"/>
          <w:sz w:val="16"/>
          <w:szCs w:val="16"/>
          <w:u w:val="single" w:color="auto"/>
          <w:color w:val="auto"/>
        </w:rPr>
        <w:t>70% of the pledged accounts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receivable balance</w:t>
      </w:r>
      <w:r>
        <w:rPr>
          <w:rFonts w:ascii="Times New Roman" w:cs="Times New Roman" w:eastAsia="Times New Roman" w:hAnsi="Times New Roman"/>
          <w:sz w:val="16"/>
          <w:szCs w:val="16"/>
          <w:color w:val="auto"/>
        </w:rPr>
        <w:t>, otherwise Party B must provide a new, Party A-approved accounts receivable for pledge or deposit a security deposit (the security deposit account number is automatically generated or recorded by Party A’s system at the time the security deposit is made, the same below) until the pledged accounts receivable balance x 70% + Effective margin &gt; credit balance.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5" w:name="page406"/>
    <w:bookmarkEnd w:id="405"/>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 xml:space="preserve">6.2.10 In the event that the balance in the margin account is less than </w:t>
      </w:r>
      <w:r>
        <w:rPr>
          <w:rFonts w:ascii="Times New Roman" w:cs="Times New Roman" w:eastAsia="Times New Roman" w:hAnsi="Times New Roman"/>
          <w:sz w:val="16"/>
          <w:szCs w:val="16"/>
          <w:u w:val="single" w:color="auto"/>
          <w:color w:val="auto"/>
        </w:rPr>
        <w:t>105%</w:t>
      </w:r>
      <w:r>
        <w:rPr>
          <w:rFonts w:ascii="Times New Roman" w:cs="Times New Roman" w:eastAsia="Times New Roman" w:hAnsi="Times New Roman"/>
          <w:sz w:val="16"/>
          <w:szCs w:val="16"/>
          <w:color w:val="auto"/>
        </w:rPr>
        <w:t xml:space="preserve"> of the amount of the specific operation to which it relates due to exchange rate fluctuations, Party B shall be obliged to provide additional margin or other security in the corresponding amount as required by Party A. In the event that Party B provides a margin pledge, Party B shall be obliged to provide additional margin or other security in the corresponding amount as required by Party A.</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6.2.11 To ensure that the payment for sales under import is recovered from the account designated by Party A; and to transfer the bills and/or documents under the letter of credit to Party A under export negotiation.</w:t>
      </w:r>
    </w:p>
    <w:p>
      <w:pPr>
        <w:spacing w:after="0" w:line="14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6.2.12 Party B shall ensure that settlement, payment and other income and expenditure activities are mainly carried out in its bank settlement account with Party A. The share of settlement transactions in Party B’s designated account during the credit period shall be at least not less than the share of Party B’s financing with Party A in its financing with all banks.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 Party A’s rights and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 We shall have the following rights.</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7.1.1 the right to require you to repay the principal, interest and costs of loans, advances and other credit obligations under this Agreement and the specific Contract in full and on time.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7.1.2 the right to request information from you in relation to the use of its credit facilities.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7.1.3 the right to be informed of Party B’s production operations and financial activities.</w:t>
      </w:r>
    </w:p>
    <w:p>
      <w:pPr>
        <w:spacing w:after="0" w:line="201"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 xml:space="preserve">7.1.4 the right to supervise the use of loans and/or other credit facilities by Party B in accordance with the purposes agreed in this Agreement and each specific business text; </w:t>
      </w:r>
      <w:r>
        <w:rPr>
          <w:rFonts w:ascii="Times New Roman" w:cs="Times New Roman" w:eastAsia="Times New Roman" w:hAnsi="Times New Roman"/>
          <w:sz w:val="16"/>
          <w:szCs w:val="16"/>
          <w:b w:val="1"/>
          <w:bCs w:val="1"/>
          <w:color w:val="auto"/>
        </w:rPr>
        <w:t>the right to unilaterally and directly suspend or restrict the corporate internet banking / corporate APP / other online functions of Party B’s account (including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but not limited to closing the corporate internet banking / corporate APP / other online functions, presetting the list of payment recipients / single payment limit / stage payment limit and other restrictions) and other electronic payment channels, restrict the sale of settlement vouchers, or restrict over-the-counter payments and transfers for your account, as well as the payment and pass-through functions of non-counter channels such as telephone banking and mobile banking</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7.1.5 has the right to entrust other branches of China Merchants Bank located at the beneficiary’s location to re-open letters of credit to the beneficiary after accepting Party B’s application to open a letter of credit, as required by its internal processes.</w:t>
      </w:r>
    </w:p>
    <w:p>
      <w:pPr>
        <w:spacing w:after="0" w:line="14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7.1.6 the right to debit directly from any of Party B’s accounts with China Merchants Bank for the repayment of debts owed by Party B under this Agreement and each specific business text (when the credit debt is not in RMB, the right to purchase foreign exchange or trade in foreign currency directly from any of Party B’s accounts at the exchange rate published by us at the time of debit in order to repay the principal, interest and fees on the credit)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6" w:name="page407"/>
    <w:bookmarkEnd w:id="406"/>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7.1.7 the right to assign the claims it has against Party B and the right to </w:t>
      </w:r>
      <w:r>
        <w:rPr>
          <w:rFonts w:ascii="Times New Roman" w:cs="Times New Roman" w:eastAsia="Times New Roman" w:hAnsi="Times New Roman"/>
          <w:sz w:val="16"/>
          <w:szCs w:val="16"/>
          <w:b w:val="1"/>
          <w:bCs w:val="1"/>
          <w:color w:val="auto"/>
        </w:rPr>
        <w:t>notify Party B of the assignment by</w:t>
      </w:r>
      <w:r>
        <w:rPr>
          <w:rFonts w:ascii="Times New Roman" w:cs="Times New Roman" w:eastAsia="Times New Roman" w:hAnsi="Times New Roman"/>
          <w:sz w:val="16"/>
          <w:szCs w:val="16"/>
          <w:color w:val="auto"/>
        </w:rPr>
        <w:t xml:space="preserve"> such means as it considers appropriate, including but not limited to facsimile, post, personal service, </w:t>
      </w:r>
      <w:r>
        <w:rPr>
          <w:rFonts w:ascii="Times New Roman" w:cs="Times New Roman" w:eastAsia="Times New Roman" w:hAnsi="Times New Roman"/>
          <w:sz w:val="16"/>
          <w:szCs w:val="16"/>
          <w:b w:val="1"/>
          <w:bCs w:val="1"/>
          <w:color w:val="auto"/>
        </w:rPr>
        <w:t>announcement in the public media, etc., and to make collection calls on Party B.</w:t>
      </w:r>
    </w:p>
    <w:p>
      <w:pPr>
        <w:spacing w:after="0" w:line="14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7.1.8 the right to exercise supervision over Party B’s account and to entrust other institutions of China Merchants Bank other than Party A to exercise supervision over Party B’s account and to control the disbursement of loan funds in accordance with the use of the loan and the scope of payment agreed between the parties.</w:t>
      </w:r>
    </w:p>
    <w:p>
      <w:pPr>
        <w:spacing w:after="0" w:line="14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7.1.9 If Party A finds that any of the circumstances set out in Clause 6.2.6 of this Agreement exist in Party B, Party A shall have the right to require Party B to implement measures to ensure the safe repayment of the principal and interest of the credit debt and all related expenses under this Agreement as required by Party A, and shall also have the right to directly take one or more of the remedial measures as stipulated in the “Events of Default and Handling” clause of this Agreement. (b) to take one or more of the remedies for breach of contract set out in the “Events of Default and Treatment” clause of this Agreement.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7.1.10 Other rights under this Agreement.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7.2 Party A undertakes the following obligations.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7.2.1 the granting of loans or other credit to you within the credit limit on the terms set out in this Agreement and in each specific contract.</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7.2.2 Party B’s assets, finances, production and operations shall be kept confidential, except where otherwise provided by laws and regulations, required by regulatory bodies, or provided to Party A’s superior or subordinate bodies, or to external professional bodies such as auditors, accountants or lawyers who are under an equivalent obligation of confidentiality.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 In particular, Party B warrants the following</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8.1 Party B is an entity duly established and legally existing under Chinese law, with legal personality, whose registration and annual report publication formalities are true, legal and valid, and has sufficient civil capacity to enter into and perform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8.2 the execution and performance of this Agreement has been fully authorised by the Board or any other authorised body.</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8.3 the documents, information and vouchers provided by Party B in relation to Party B, the guarantor, the mortgagee (pledge) and the mortgage (pledge) are true, accurate, complete and valid and do not contain material errors or omit any material facts that are inconsistent with the facts.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8.4 Strictly comply with the agreements of each specific operational text and the various types of correspondence and relevant documents issued to us.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07" w:name="page408"/>
    <w:bookmarkEnd w:id="407"/>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8.5 No litigation, arbitration or criminal or administrative penalties which may have material adverse consequences for you or your principal property have occurred at the time of entering into this Agreement and no such litigation, arbitration or criminal or administrative penalties will occur during the performance of this Agreement. In the event of such an occurrence, you shall notify us immediately.</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8.6 Strictly abide by all national laws and regulations in its business activities, carry out all businesses in strict accordance with the scope of business as stipulated in Party B’s business licence or as approved by law, and complete business (legal person) registration, business annual report procedures and business term extension/extension procedures on time, etc.</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8.7 to maintain or improve the existing management of the business, to ensure the preservation of the value of existing assets and not to abandon any claims that have become due or to dispose of existing major property without compensation or in any other inappropriate manner.</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8.8 you shall not settle other long-term debts in advance without our permission.</w:t>
      </w:r>
    </w:p>
    <w:p>
      <w:pPr>
        <w:spacing w:after="0" w:line="20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8.9 The loan items applied for under the credit line are in compliance with the requirements of laws and regulations, and the loan will not be used for investments in fixed assets, equity, etc., or for speculative buying and selling of securities, futures and real estate; will not be used for lending to each other to make illegal income; will not be used in areas and for purposes prohibited by the State for production and operation; and will not be used for purposes other than those stipulated in this Agreement and each specific business text.</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the loan funds are disbursed by the borrower, Party B shall regularly (at least on a monthly basis) report to Party A the summary of the loan funds disbursement, and Party A has the right to verify whether the loan disbursement is in accordance with the agreed purpose through account analysis, voucher checking and on-site investigation.</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8.10 At the time of entering into and performing this Agreement, no other material event has occurred to you which affects the performance of your obligations under this Agreement.</w:t>
      </w:r>
    </w:p>
    <w:p>
      <w:pPr>
        <w:spacing w:after="0" w:line="143" w:lineRule="exact"/>
        <w:rPr>
          <w:sz w:val="20"/>
          <w:szCs w:val="20"/>
          <w:color w:val="auto"/>
        </w:rPr>
      </w:pPr>
    </w:p>
    <w:p>
      <w:pPr>
        <w:ind w:left="440" w:hanging="155"/>
        <w:spacing w:after="0"/>
        <w:tabs>
          <w:tab w:leader="none" w:pos="440"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on working capital loans</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9.1 Withdrawals and drawdowns</w:t>
      </w:r>
    </w:p>
    <w:p>
      <w:pPr>
        <w:spacing w:after="0" w:line="200" w:lineRule="exact"/>
        <w:rPr>
          <w:rFonts w:ascii="Times New Roman" w:cs="Times New Roman" w:eastAsia="Times New Roman" w:hAnsi="Times New Roman"/>
          <w:sz w:val="16"/>
          <w:szCs w:val="16"/>
          <w:color w:val="auto"/>
        </w:rPr>
      </w:pPr>
    </w:p>
    <w:p>
      <w:pPr>
        <w:ind w:left="280" w:right="4260"/>
        <w:spacing w:after="0" w:line="50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use of the Working Capital Loan under this Agreement will be made both on your own and in trust. 9.1.1 Autonomous payments</w:t>
      </w:r>
    </w:p>
    <w:p>
      <w:pPr>
        <w:spacing w:after="0" w:line="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Self-disbursement is the disbursement of loan funds by us to your account after we have released the loan funds to your account in accordance with your request for withdrawal, and then by you to your counterparty who meets the agreed purpose.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9.1.2 Fiduciary payments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Fiduciary payment is where we disburse the loan funds through your account to your counterparty who is eligible for the agreed purposes in accordance with your withdrawal application and payment mandate. For loan funds using the fiduciary payment method, Party B authorises us to pay the loan funds to Party B’s counterparty through Party B’s account on the day of the drawdown (or on the next business day after the drawdown).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8" w:name="page409"/>
    <w:bookmarkEnd w:id="408"/>
    <w:p>
      <w:pPr>
        <w:ind w:left="280"/>
        <w:spacing w:after="0"/>
        <w:rPr>
          <w:sz w:val="20"/>
          <w:szCs w:val="20"/>
          <w:color w:val="auto"/>
        </w:rPr>
      </w:pPr>
      <w:r>
        <w:rPr>
          <w:rFonts w:ascii="Times New Roman" w:cs="Times New Roman" w:eastAsia="Times New Roman" w:hAnsi="Times New Roman"/>
          <w:sz w:val="16"/>
          <w:szCs w:val="16"/>
          <w:color w:val="auto"/>
        </w:rPr>
        <w:t>9.1.3 you shall use the fiduciary payment method unconditionally and in full if</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9.1.3.1 Where a single withdrawal by Party B exceeds </w:t>
      </w:r>
      <w:r>
        <w:rPr>
          <w:rFonts w:ascii="Times New Roman" w:cs="Times New Roman" w:eastAsia="Times New Roman" w:hAnsi="Times New Roman"/>
          <w:sz w:val="16"/>
          <w:szCs w:val="16"/>
          <w:u w:val="single" w:color="auto"/>
          <w:color w:val="auto"/>
        </w:rPr>
        <w:t>RMB 10</w:t>
      </w:r>
      <w:r>
        <w:rPr>
          <w:rFonts w:ascii="Times New Roman" w:cs="Times New Roman" w:eastAsia="Times New Roman" w:hAnsi="Times New Roman"/>
          <w:sz w:val="16"/>
          <w:szCs w:val="16"/>
          <w:color w:val="auto"/>
        </w:rPr>
        <w:t xml:space="preserve"> million (inclusive, or its equivalent in foreign currency).</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9.1.3.2 Where Party A requires Party B to adopt a fiduciary payment method in accordance with regulatory requirements or for risk management purposes.</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9.1.4 If payment is made on trust, external payment after loan disbursement must be approved by Party A. Party B shall not circumvent Party A’s supervision by means of online banking, reverse cheque withdrawal or conversion of the whole amount into zero.</w:t>
      </w:r>
    </w:p>
    <w:p>
      <w:pPr>
        <w:spacing w:after="0" w:line="143"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 xml:space="preserve">9.2 When Party B withdraws funds, Party B shall submit the withdrawal application (if submitted offline, it shall be stamped with Party B’s official seal or Party B’s reserved seal with Party A; if submitted online, it shall be signed with a digital certificate or other means approved by Party A), the loan debit note (if required) and such information as Party B may require according to the different requirements of Autonomous Payment and Entrusted Payment. Otherwise, we have the right to reject your request for withdrawal. Party A shall </w:t>
      </w:r>
      <w:r>
        <w:rPr>
          <w:rFonts w:ascii="Times New Roman" w:cs="Times New Roman" w:eastAsia="Times New Roman" w:hAnsi="Times New Roman"/>
          <w:sz w:val="16"/>
          <w:szCs w:val="16"/>
          <w:b w:val="1"/>
          <w:bCs w:val="1"/>
          <w:color w:val="auto"/>
        </w:rPr>
        <w:t>not be liable for any</w:t>
      </w:r>
      <w:r>
        <w:rPr>
          <w:rFonts w:ascii="Times New Roman" w:cs="Times New Roman" w:eastAsia="Times New Roman" w:hAnsi="Times New Roman"/>
          <w:sz w:val="16"/>
          <w:szCs w:val="16"/>
          <w:color w:val="auto"/>
        </w:rPr>
        <w:t xml:space="preserve"> delay or failure in the payment of funds due to inaccurate or incomplete payment information provided by Party B, resulting in </w:t>
      </w:r>
      <w:r>
        <w:rPr>
          <w:rFonts w:ascii="Times New Roman" w:cs="Times New Roman" w:eastAsia="Times New Roman" w:hAnsi="Times New Roman"/>
          <w:sz w:val="16"/>
          <w:szCs w:val="16"/>
          <w:b w:val="1"/>
          <w:bCs w:val="1"/>
          <w:color w:val="auto"/>
        </w:rPr>
        <w:t>Party B’s default or formation of other losses to its counterparty.</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9.3 Loan extensions</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Party B cannot repay the loan under this Agreement on time and needs to extend the loan, it shall submit a written application to Party A one month prior to the expiry of the relevant loan; if Party A agrees to the extension after examination, Party A and Party B shall enter into a separate extension agreement. If Party A does not agree to the extension, the borrowings already occupied by Party B and the interest payable shall still be repaid in accordance with the provisions of this Agreement and the corresponding loan notes or as recorded in Party A’s system.</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 Events of default and handling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10.1 An event of default shall be deemed to have occurred if Party B.</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10.1.1 Failure to perform or breach of each of its obligations under this Agreement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10.1.2 if there is any untruthfulness or incompleteness in the Special Warranties by Party B under this Agreement, or if Party B breaches the Special Warranties and fails to rectify the same as required by Party A.</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10.1.3 fails to draw down or draw down the loan as agreed in this Agreement, or fails to repay the principal, interest or fees of the loan in full and on time as stipulated in this Agreement, or fails to use the funds in the fund recovery account as required by us, or fails to accept our supervision and to rectify the situation immediately as required by us.</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10.1.4 a material breach by Party B under a legally valid contract with another creditor which is not satisfactorily resolved within three months from the date of the breach.</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The foregoing material breach means that Party B’s breach of contract results in its creditors being entitled to claim from it for an amount </w:t>
      </w:r>
      <w:r>
        <w:rPr>
          <w:rFonts w:ascii="Times New Roman" w:cs="Times New Roman" w:eastAsia="Times New Roman" w:hAnsi="Times New Roman"/>
          <w:sz w:val="16"/>
          <w:szCs w:val="16"/>
          <w:b w:val="1"/>
          <w:bCs w:val="1"/>
          <w:u w:val="single" w:color="auto"/>
          <w:color w:val="auto"/>
        </w:rPr>
        <w:t>of RMB1</w:t>
      </w:r>
      <w:r>
        <w:rPr>
          <w:rFonts w:ascii="Times New Roman" w:cs="Times New Roman" w:eastAsia="Times New Roman" w:hAnsi="Times New Roman"/>
          <w:sz w:val="16"/>
          <w:szCs w:val="16"/>
          <w:b w:val="1"/>
          <w:bCs w:val="1"/>
          <w:color w:val="auto"/>
        </w:rPr>
        <w:t xml:space="preserve"> million or more.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9" w:name="page410"/>
    <w:bookmarkEnd w:id="409"/>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10.1.5 if Party B is a listed company on the New Third Board or intends to apply for listing on the New Third Board and there are circumstances where Party B encounters significant impediments to listing on the New Third Board or suspends its application for listing; Party B is issued with a warning letter, ordered to make corrections, restricted from trading in securities accounts and other self-regulatory measures by the New Third Board Market for a total of three or more times or is subject to disciplinary action, termination of listing, etc.</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10.1.6 when Party B acts as a supplier to a government procurement unit, the government procurement unit has risk information that is unfavourable to the repayment of Party A’s credit, such as delayed payment for three consecutive or cumulative periods, or Party B has been disqualified from supply (entered the government procurement blacklist), untimely supply, unstable product quality, operational difficulties, significant deterioration in financial position (insolvency), suspension of works, etc..</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10.1.7 Party B’s financial indicators do not consistently meet the requirements as agreed in this Agreement/Specific Business Text; or any of the conditions precedent (if any) to the provision of credit/finance by us to Party B as agreed in this Agreement/Specific Business Text are not consistently met.</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10.1.8 where Party B draws down the loan in a “fractional” manner in order to circumvent the requirement under this Agreement that Party B should entrust Party A with the external disbursement of the loan funds.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10.1.9 Your business activities may pose anti-money laundering or sanctions compliance risks to us.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10.1.10 occurrence of other circumstances which we consider to be detrimental to our legitimate rights and interests.</w:t>
      </w:r>
    </w:p>
    <w:p>
      <w:pPr>
        <w:spacing w:after="0" w:line="19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10.2 An event of default shall be deemed to have occurred if the guarantor fails to co-operate with any of the following circumstances which, in our opinion, may affect the guarantor’s ability to guarantee and we require the guarantor to remove the adverse effects thereof, or require Party B to increase or replace the terms of the guarantee.</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10.2.1 the occurrence of one of the circumstances similar to those described in clause 6.2.6 of this Agreement, or the occurrence of a circumstance described in clause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6.2.8 without our consent</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10.2.2 the issuance of an irrevocable guarantee conceals its actual capacity to assume liability or is not authorized by a competent authority.</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10.2.3 Failure to comply with registration, annual business report procedures and/or extension/extension of business term procedures, etc. on time.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10.2.4 neglects to manage and pursue its claims as they become due or disposes of existing major property without compensation or in any other improper manner.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10.2.5 breach of any obligation, undertaking or statement in an irrevocable undertaking signed by 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10" w:name="page411"/>
    <w:bookmarkEnd w:id="410"/>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10.3 An event of default shall be deemed to have occurred if the mortgagor (or pledgee) fails to co-operate with the mortgagee (or pledgee) or Party B if Party A considers that the mortgage (or pledge) may not be established or the collateral (or pledge) is of insufficient value and requests the mortgagor (or pledgee) to exclude the adverse effects thereof or requests Party B to increase or replace the terms of the security.</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10.3.1 there is no right of ownership or disposition of the collateral (or pledge), or the ownership is disputed.</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10.3.2 the mortgage (or pledge) has not been registered, or has been leased out, a right of occupancy has been created, has been seized, seized, placed in custody, has a joint/prior legal priority (including, but not limited to, a priority for payment of construction work, a priority for a mortgage on the price of movable property), a retention-of-title priority of the seller has been created, a priority for a finance lease of the lessor, and/or conceals the occurrence of such circumstances.</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10.3.3 the mortgagor, without our written consent, assigns, leases, creates a right of occupancy, re-mortgages or disposes of the collateral in any other improper manner or creates any encumbrance of rights of any kind, or he disposes of the collateral with our written consent but does not apply the proceeds to the payment of the debt owed by you to us as required by us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10.3.4 where the mortgagor fails to keep, maintain and repair the mortgage properly, resulting in an appreciable depreciation in the value of the mortgage; or where the mortgagor’s actions directly endanger the mortgage, resulting in a reduction in the value of the mortgage; or where the mortgagor fails to insure/renew the mortgage as required by us during the term of the mortgage.</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10.3.5 where the mortgaged property has been or may be included in the scope of government demolition or expropriation and the mortgagor fails to immediately inform us and perform the relevant obligations as agreed in the mortgage contract.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10.3.6 where the Mortgagor provides a residual value mortgage to secure the business under this Agreement using its mortgaged property with China Merchants Bank, and where the Mortgagor settles its personal mortgage loan early without our consent before Party B has repaid the credit granted under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10.3.7 where the pledgee pledges financial products, the source of funding for the subscription of the financial products is not legal/compliant.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10.3.8 other matters occurring or likely to occur in relation to the mortgage (pledge) affecting the value of the mortgage (pledge) or affecting our mortgage (pledge) rights,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etc.</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10.3.9 the mortgagor (or pledgee) breaches any obligation, promise or representation in the mortgage contract/pledge contract signed by him.</w:t>
      </w:r>
    </w:p>
    <w:p>
      <w:pPr>
        <w:spacing w:after="0" w:line="199"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10.4 When the guarantee under this Agreement includes the pledge of accounts receivable, Party A has the right to require the debtor of the accounts receivable to provide security in the event of any significant deterioration of its operation, transfer of property/evasion of funds to evade its debts, collusion with the pledgee of the accounts receivable to change the route of repayment resulting in the repayment of the accounts receivable not entering the special account for repayment, loss of business reputation, loss or likely loss of performance ability or other material matters affecting its solvency, etc. Party B to provide corresponding guarantee or provide new valid accounts receivable for pledge; if Party B fails to do so, an event of default shall be deemed to have occurred.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11" w:name="page412"/>
    <w:bookmarkEnd w:id="411"/>
    <w:p>
      <w:pPr>
        <w:ind w:left="280"/>
        <w:spacing w:after="0"/>
        <w:rPr>
          <w:sz w:val="20"/>
          <w:szCs w:val="20"/>
          <w:color w:val="auto"/>
        </w:rPr>
      </w:pPr>
      <w:r>
        <w:rPr>
          <w:rFonts w:ascii="Times New Roman" w:cs="Times New Roman" w:eastAsia="Times New Roman" w:hAnsi="Times New Roman"/>
          <w:sz w:val="16"/>
          <w:szCs w:val="16"/>
          <w:color w:val="auto"/>
        </w:rPr>
        <w:t>10.5 In the event of any of the above events of default, we shall be entitled to take the following measures separately or concurrently.</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10.5.1 reduce the amount of credit granted under this Agreement or discontinue the use of the remaining credit line.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10.5.2 early recovery of principal, interest and related fees on loans granted within the credit limit.</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10.5.3 For bills of exchange accepted by Party A or letters of credit, letters of guarantee or letters of guarantee for goods delivery opened (including entrusted transfer) during the credit period, regardless of whether Party A has made advances or not, Party A may request Party B to increase the amount of the deposit, or transfer the deposits in other accounts opened by Party B with Party A to its deposit account as the deposit for settling future advances made by Party A under this Agreement, or hand over the corresponding amount to a third party withdraw the corresponding amount to a third party as security for future advances made by Party A to Party B.</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10.5.4 For outstanding receivables claims assigned by Party A from Party B under factoring business, Party A shall have the right to request Party B to immediately fulfill its repurchase obligations and take other recovery measures in accordance with the relevant specific business text; for receivables claims assigned by Party A to Party B under factoring business, Party A shall have the right to immediately reclaim them from Party B.</w:t>
      </w:r>
    </w:p>
    <w:p>
      <w:pPr>
        <w:spacing w:after="0" w:line="154"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10.5.5 Party A may also directly request Party B to provide other property acceptable to Party A as new security as appropriate. </w:t>
      </w:r>
      <w:r>
        <w:rPr>
          <w:rFonts w:ascii="Times New Roman" w:cs="Times New Roman" w:eastAsia="Times New Roman" w:hAnsi="Times New Roman"/>
          <w:sz w:val="16"/>
          <w:szCs w:val="16"/>
          <w:b w:val="1"/>
          <w:bCs w:val="1"/>
          <w:color w:val="auto"/>
        </w:rPr>
        <w:t>If Party B fails to provide new security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as requested, Party B shall be liable for liquidated damages equivalent to </w:t>
      </w:r>
      <w:r>
        <w:rPr>
          <w:rFonts w:ascii="Times New Roman" w:cs="Times New Roman" w:eastAsia="Times New Roman" w:hAnsi="Times New Roman"/>
          <w:sz w:val="16"/>
          <w:szCs w:val="16"/>
          <w:b w:val="1"/>
          <w:bCs w:val="1"/>
          <w:u w:val="single" w:color="auto"/>
          <w:color w:val="auto"/>
        </w:rPr>
        <w:t>30% of the</w:t>
      </w:r>
      <w:r>
        <w:rPr>
          <w:rFonts w:ascii="Times New Roman" w:cs="Times New Roman" w:eastAsia="Times New Roman" w:hAnsi="Times New Roman"/>
          <w:sz w:val="16"/>
          <w:szCs w:val="16"/>
          <w:b w:val="1"/>
          <w:bCs w:val="1"/>
          <w:color w:val="auto"/>
        </w:rPr>
        <w:t xml:space="preserve"> amount of the credit facility under this Agreement.</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10.5.6 to directly freeze/withhold the deposits in any settlement account and/or other accounts opened by Party B with China Merchants Bank, to stop opening new settlement accounts for Party B and to stop issuing new credit cards to Party B’s legal representatives.</w:t>
      </w:r>
    </w:p>
    <w:p>
      <w:pPr>
        <w:spacing w:after="0" w:line="140"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10.5.7 to report to credit reference agencies and banking associations information on Party B’s default and breach of trust, and have the right to share such information among banking institutions and even publicize it to the community through appropriate means.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10.5.8 dispose of the pledge and/or recover it from the guarantor in accordance with the provisions of the security text.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10.5.9 for working capital loans under the credit facility, change the terms of the loan funds entrusted to you and remove the use of the loan by you on a “self-pay” basis.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10.5.10 Recourse in accordance with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2" w:name="page413"/>
    <w:bookmarkEnd w:id="412"/>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10.6 The amounts recovered by us shall be repaid in the order of the actual maturity date of each credit in descending order. The order of repayment of each specific credit shall be in accordance with the order of fees, default, compound interest, penalty interest, interest and finally the principal amount of the credit until the principal and interest and all related fees are repaid in full.</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Party A has the right to unilaterally adjust the above repayment order, unless otherwise required by law or regulation.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 Changes and additions to the agreement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This agreement may be varied by mutual agreement and written agreement between A and B. Until such time as a written agreement is reached, this Agreement shall remain in force. Neither party may make unilateral changes to this agreement.</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written supplemental agreements reached by consensus between A and B in respect of matters not covered by this Agreement and changes thereto, as well as each specific business text under this Agreement, shall form an integral part of this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 Other matters</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12.1 The granting of any indulgence, relief or delay by us in respect of any breach or delay by you while this Agreement is in force shall not prejudice, affect or limit all our rights and entitlements as a creditor under the relevant legal provisions and this Agreement, nor shall it be deemed to be our permission or approval of any breach of this Agreement, nor shall it be deemed to be a waiver of our It shall not be deemed a waiver of our right to act in respect of any existing or future breach.</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12.2 In the event that this Agreement becomes legally invalid for whatever reason, or part of its provisions are invalid, Party B shall remain liable to pay all debts owed to us under this Agreement. In the event of such an event, we shall be entitled to terminate this Agreement and may immediately recover from you all debts owed by you under this Agreement.</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If, as a result of changes in applicable laws and policy requirements, Party A incurs additional costs in performing its obligations under the Agreement, Party B shall reimburse Party A for the additional costs incurred at Party A’s request.</w:t>
      </w:r>
    </w:p>
    <w:p>
      <w:pPr>
        <w:spacing w:after="0" w:line="14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12.3 Notices, requests or other documents from Party A and Party B in relation to this Agreement shall be sent in writing (including but not limited to letters, faxes, emails, electronic platforms such as China Merchants Bank Corporate Internet Banking / Corporate APP, mobile phone SMS or WeChat, etc.). Party B confirms the following in relation to the address and manner of service of documents.</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12.3.1 Party B acknowledges and agrees to use Party B’s China Merchants Bank Corporate Internet Banking / Corporate App and Party B’s contact address, email, fax number, mobile phone number or micro-signal set out in this Agreement as Party B’s address for service of all commercial and legal documents under this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13" w:name="page414"/>
    <w:bookmarkEnd w:id="413"/>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The commercial documents referred to in this Article refer to all kinds of commercial documents such as business notices, confirmations, default notices, early maturity notices, overdue reminders, etc. formed in the course of business transactions under this Agreement; the legal documents referred to in this Article include notarized documents and judicial documents (including but not limited to indictment/application for arbitration, appeal, reply, evidence, summons, notice of appeal, notice of proof, notice of court hearing, notice of hearing, judgment/judgment, ruling, mediation, notice of deadline for performance, etc.). (including, but not limited to, documents for trial and enforcement, such as indictment/arbitration application, appeal, defence, evidence, summons, notice of appeal, notice of proof, notice of hearing, judgment/award, ruling, conciliation, notice of deadline for performance).</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Service by Party A, the Court of Appeal and the Notary Public by the means of service agreed in this Agreement to the address for service agreed in the preceding paragraph shall be deemed to be valid service.</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 xml:space="preserve">12.3.2 Party B acknowledges and agrees that: if delivered by hand (including but not limited to delivery by lawyers/notaries, courier delivery, etc.), delivery shall be deemed to have been effected upon signature by the recipient (if the </w:t>
      </w:r>
      <w:r>
        <w:rPr>
          <w:rFonts w:ascii="Times New Roman" w:cs="Times New Roman" w:eastAsia="Times New Roman" w:hAnsi="Times New Roman"/>
          <w:sz w:val="16"/>
          <w:szCs w:val="16"/>
          <w:b w:val="1"/>
          <w:bCs w:val="1"/>
          <w:color w:val="auto"/>
        </w:rPr>
        <w:t>recipient refuses to accept, delivery shall be deemed to have been effected upon the expiry of seven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days from the date of refusal/return or the date of posting, whichever is earlier</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if delivered by postal letter, delivery shall be deemed to have been effected upon the expiry of seven days from the date of posting; if delivered </w:t>
      </w:r>
      <w:r>
        <w:rPr>
          <w:rFonts w:ascii="Times New Roman" w:cs="Times New Roman" w:eastAsia="Times New Roman" w:hAnsi="Times New Roman"/>
          <w:sz w:val="16"/>
          <w:szCs w:val="16"/>
          <w:color w:val="auto"/>
        </w:rPr>
        <w:t>by fax, email, China Merchants Bank Corporate Internet Banking/Enterprise App (i.e. delivery to Party B’s China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Merchants Bank Corporate Internet Banking/Enterprise App via China Merchants Bank Corporate Internet Banking/Enterprise App), mobile phone SMS or WeChat, etc. (i.e. delivered to Party B’s China Merchants Bank Corporate Internet Banking/Enterprise App via China Merchants Bank Corporate Internet Banking/Enterprise App), mobile phone SMS or WeChat, etc., the date of delivery shall be deemed to be the date of delivery when the corresponding system/electronic device of Party A shows successful delivery. </w:t>
      </w:r>
      <w:r>
        <w:rPr>
          <w:rFonts w:ascii="Times New Roman" w:cs="Times New Roman" w:eastAsia="Times New Roman" w:hAnsi="Times New Roman"/>
          <w:sz w:val="16"/>
          <w:szCs w:val="16"/>
          <w:b w:val="1"/>
          <w:bCs w:val="1"/>
          <w:color w:val="auto"/>
        </w:rPr>
        <w:t>If Party A notifies Party B of the transfer of debts or makes a collection call on Party B by way of announcement in the public media, the date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announcement shall be deemed to be the date of service.</w:t>
      </w:r>
    </w:p>
    <w:p>
      <w:pPr>
        <w:spacing w:after="0" w:line="165"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12.3.3 If Party B changes its contact address, email address, fax number or mobile phone number or micro-signal, it shall notify Party A in writing of the change five working days from the date of the change, otherwise Party A shall have the right to serve Party B at its original contact address or information. If the change of Party B’s contact address or information is not successfully delivered, the date of return or seven days after posting (whichever is earlier) shall be deemed to be the date of delivery. Party B shall bear any loss that may arise as a result and shall not affect the legal validity of service.</w:t>
      </w:r>
    </w:p>
    <w:p>
      <w:pPr>
        <w:spacing w:after="0" w:line="162"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12.3.4 Party B further agrees that the court may serve judicial documents on Party B by electronic means such as the China Open Network for Judicial Process Information and the National Unified Service Platform; if the court serves judicial documents electronically as agreed above, the date of successful transmission as shown on the China Open Network for Judicial Process Information and the National Unified Service Platform shall be regarded as the date of service; if the court completes the service of judicial documents by electronic service If the court completes the service of judicial documents by electronic service, there is no need to serve paper judicial documents to Party B’s contact address.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14" w:name="page415"/>
    <w:bookmarkEnd w:id="414"/>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12.3.5 The address and mode of service agreed in this article apply to all stages of the contract performance, dispute resolution, arbitration, court hearing (first trial, second trial, retrial) and enforcement.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12.4 The Parties agree that for each application for business under the Trade Finance Business, it is sufficient for Party B to affix its reserved seal on Party A and both Parties acknowledge the validity of such signature.</w:t>
      </w:r>
    </w:p>
    <w:p>
      <w:pPr>
        <w:spacing w:after="0" w:line="14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12.5 Both parties agree that if Party B submits applications or business vouchers for credit business through Party A’s electronic platform (including but not limited to Enterprise Banking/Enterprise APP), its electronic signature generated by means of digital certificate is regarded as Party B’s valid signature and represents Party B’s true intention, and Party A has the right to fill in relevant business vouchers based on the application information issued online, and Party B acknowledges its authenticity, accuracy and legality and is bound by it. Party A is entitled to fill in the relevant business vouchers according to the application information issued online, and Party B recognises its authenticity, accuracy and legality and is bound by it.</w:t>
      </w:r>
    </w:p>
    <w:p>
      <w:pPr>
        <w:spacing w:after="0" w:line="162" w:lineRule="exact"/>
        <w:rPr>
          <w:sz w:val="20"/>
          <w:szCs w:val="20"/>
          <w:color w:val="auto"/>
        </w:rPr>
      </w:pPr>
    </w:p>
    <w:p>
      <w:pPr>
        <w:jc w:val="both"/>
        <w:ind w:firstLine="289"/>
        <w:spacing w:after="0" w:line="262" w:lineRule="auto"/>
        <w:rPr>
          <w:sz w:val="20"/>
          <w:szCs w:val="20"/>
          <w:color w:val="auto"/>
        </w:rPr>
      </w:pPr>
      <w:r>
        <w:rPr>
          <w:rFonts w:ascii="Times New Roman" w:cs="Times New Roman" w:eastAsia="Times New Roman" w:hAnsi="Times New Roman"/>
          <w:sz w:val="16"/>
          <w:szCs w:val="16"/>
          <w:b w:val="1"/>
          <w:bCs w:val="1"/>
          <w:color w:val="auto"/>
        </w:rPr>
        <w:t>12.6 In order to facilitate business processing, all operations of Party A involving transactions (including but not limited to application acceptance, information review, payment release, transaction confirmation, debit, enquiry, receipt printing, collection, payment deduction, etc. and all kinds of notifications) may be handled by any of Party A’s business outlets and relevant correspondence may be generated, issued or issued, and the business operations and correspondence of Party A’s outlets shall be deemed to be Party A’s acts and shall be binding on Party B. Binding effect.</w:t>
      </w:r>
    </w:p>
    <w:p>
      <w:pPr>
        <w:spacing w:after="0" w:line="16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12.7 The annexes under this Agreement form an integral part of this Agreement and shall automatically apply to the corresponding specific operations actually occurring between the Parties.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12.8 Covering costs</w:t>
      </w:r>
    </w:p>
    <w:p>
      <w:pPr>
        <w:spacing w:after="0" w:line="201" w:lineRule="exact"/>
        <w:rPr>
          <w:sz w:val="20"/>
          <w:szCs w:val="20"/>
          <w:color w:val="auto"/>
        </w:rPr>
      </w:pPr>
    </w:p>
    <w:p>
      <w:pPr>
        <w:ind w:right="20" w:firstLine="285"/>
        <w:spacing w:after="0" w:line="214" w:lineRule="exact"/>
        <w:tabs>
          <w:tab w:leader="none" w:pos="486" w:val="left"/>
        </w:tabs>
        <w:numPr>
          <w:ilvl w:val="0"/>
          <w:numId w:val="3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12.8.1 Where this Agreement involves Party B taking out accident insurance with Party A as the first beneficiary, the relevant insurance costs shall be borne in the following form (a tick in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indicates that the provisions of this clause apply).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Please tick one of the following.</w:t>
      </w:r>
    </w:p>
    <w:p>
      <w:pPr>
        <w:spacing w:after="0" w:line="201" w:lineRule="exact"/>
        <w:rPr>
          <w:sz w:val="20"/>
          <w:szCs w:val="20"/>
          <w:color w:val="auto"/>
        </w:rPr>
      </w:pPr>
    </w:p>
    <w:p>
      <w:pPr>
        <w:ind w:left="460" w:hanging="175"/>
        <w:spacing w:after="0"/>
        <w:tabs>
          <w:tab w:leader="none" w:pos="460" w:val="left"/>
        </w:tabs>
        <w:numPr>
          <w:ilvl w:val="0"/>
          <w:numId w:val="3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Party A is responsible for.</w:t>
      </w:r>
    </w:p>
    <w:p>
      <w:pPr>
        <w:spacing w:after="0" w:line="198" w:lineRule="exact"/>
        <w:rPr>
          <w:rFonts w:ascii="MS PGothic" w:cs="MS PGothic" w:eastAsia="MS PGothic" w:hAnsi="MS PGothic"/>
          <w:sz w:val="16"/>
          <w:szCs w:val="16"/>
          <w:color w:val="auto"/>
        </w:rPr>
      </w:pPr>
    </w:p>
    <w:p>
      <w:pPr>
        <w:ind w:left="460" w:hanging="175"/>
        <w:spacing w:after="0"/>
        <w:tabs>
          <w:tab w:leader="none" w:pos="460" w:val="left"/>
        </w:tabs>
        <w:numPr>
          <w:ilvl w:val="0"/>
          <w:numId w:val="378"/>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 and B share in the following proportions: Party A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 Party B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5" w:name="page416"/>
    <w:bookmarkEnd w:id="415"/>
    <w:p>
      <w:pPr>
        <w:ind w:right="20" w:firstLine="285"/>
        <w:spacing w:after="0" w:line="214" w:lineRule="exact"/>
        <w:tabs>
          <w:tab w:leader="none" w:pos="477" w:val="left"/>
        </w:tabs>
        <w:numPr>
          <w:ilvl w:val="0"/>
          <w:numId w:val="3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12.8.2 Where this Agreement relates to enforcement notary fees (other than the fee for the application for the issue of a certificate of enforcement), the following form of fee payment shall apply (a tick in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indicates that the provisions of this clause apply).</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Please tick one of the following.</w:t>
      </w:r>
    </w:p>
    <w:p>
      <w:pPr>
        <w:spacing w:after="0" w:line="201" w:lineRule="exact"/>
        <w:rPr>
          <w:sz w:val="20"/>
          <w:szCs w:val="20"/>
          <w:color w:val="auto"/>
        </w:rPr>
      </w:pPr>
    </w:p>
    <w:p>
      <w:pPr>
        <w:ind w:left="460" w:hanging="175"/>
        <w:spacing w:after="0"/>
        <w:tabs>
          <w:tab w:leader="none" w:pos="460" w:val="left"/>
        </w:tabs>
        <w:numPr>
          <w:ilvl w:val="0"/>
          <w:numId w:val="38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bears</w:t>
      </w:r>
    </w:p>
    <w:p>
      <w:pPr>
        <w:spacing w:after="0" w:line="198" w:lineRule="exact"/>
        <w:rPr>
          <w:rFonts w:ascii="MS PGothic" w:cs="MS PGothic" w:eastAsia="MS PGothic" w:hAnsi="MS PGothic"/>
          <w:sz w:val="16"/>
          <w:szCs w:val="16"/>
          <w:color w:val="auto"/>
        </w:rPr>
      </w:pPr>
    </w:p>
    <w:p>
      <w:pPr>
        <w:ind w:left="460" w:hanging="175"/>
        <w:spacing w:after="0"/>
        <w:tabs>
          <w:tab w:leader="none" w:pos="460" w:val="left"/>
        </w:tabs>
        <w:numPr>
          <w:ilvl w:val="0"/>
          <w:numId w:val="380"/>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A and B share in the following proportions: Party A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 Party B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12.8.3 In other matters where services are entrusted to a third party, the relevant costs shall be borne by the principal. If both parties are jointly acting as principal, each shall bear 50%.</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 xml:space="preserve">12.8.4 In the event that Party B fails to repay the debts owed to Party A under this Agreement on time, all costs incurred by Party A for realising the claim, such as attorney’s fees, litigation fees, travel expenses, public notice fees, service of process fees, application for issuance of enforcement certificate fees, etc., shall be fully borne by Party B, and Party B </w:t>
      </w:r>
      <w:r>
        <w:rPr>
          <w:rFonts w:ascii="Times New Roman" w:cs="Times New Roman" w:eastAsia="Times New Roman" w:hAnsi="Times New Roman"/>
          <w:sz w:val="16"/>
          <w:szCs w:val="16"/>
          <w:b w:val="1"/>
          <w:bCs w:val="1"/>
          <w:color w:val="auto"/>
        </w:rPr>
        <w:t>authorises Party A to deduct them directly from Party B’s bank account with Party A. If there is any shortfall, Party B guarantees to reimburse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the full amount upon receipt of notice from Party A without any proof from Party A.</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12.9 Party B shall, at Party A’s request (tick one of the following options at£ ).</w:t>
      </w:r>
    </w:p>
    <w:p>
      <w:pPr>
        <w:spacing w:after="0" w:line="201" w:lineRule="exact"/>
        <w:rPr>
          <w:sz w:val="20"/>
          <w:szCs w:val="20"/>
          <w:color w:val="auto"/>
        </w:rPr>
      </w:pPr>
    </w:p>
    <w:p>
      <w:pPr>
        <w:ind w:left="460" w:hanging="175"/>
        <w:spacing w:after="0"/>
        <w:tabs>
          <w:tab w:leader="none" w:pos="460" w:val="left"/>
        </w:tabs>
        <w:numPr>
          <w:ilvl w:val="0"/>
          <w:numId w:val="38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insure its core assets and designate us as the first-ranking beneficiary.</w:t>
      </w:r>
    </w:p>
    <w:p>
      <w:pPr>
        <w:spacing w:after="0" w:line="201" w:lineRule="exact"/>
        <w:rPr>
          <w:sz w:val="20"/>
          <w:szCs w:val="20"/>
          <w:color w:val="auto"/>
        </w:rPr>
      </w:pPr>
    </w:p>
    <w:p>
      <w:pPr>
        <w:ind w:left="460" w:hanging="175"/>
        <w:spacing w:after="0"/>
        <w:tabs>
          <w:tab w:leader="none" w:pos="460" w:val="left"/>
        </w:tabs>
        <w:numPr>
          <w:ilvl w:val="0"/>
          <w:numId w:val="38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No sale or encumbrance of assets designated by us until the credit debt has been settled.</w:t>
      </w:r>
    </w:p>
    <w:p>
      <w:pPr>
        <w:spacing w:after="0" w:line="200" w:lineRule="exact"/>
        <w:rPr>
          <w:rFonts w:ascii="MS PGothic" w:cs="MS PGothic" w:eastAsia="MS PGothic" w:hAnsi="MS PGothic"/>
          <w:sz w:val="16"/>
          <w:szCs w:val="16"/>
          <w:color w:val="auto"/>
          <w:highlight w:val="black"/>
        </w:rPr>
      </w:pPr>
    </w:p>
    <w:p>
      <w:pPr>
        <w:ind w:left="460" w:hanging="175"/>
        <w:spacing w:after="0"/>
        <w:tabs>
          <w:tab w:leader="none" w:pos="460" w:val="left"/>
        </w:tabs>
        <w:numPr>
          <w:ilvl w:val="0"/>
          <w:numId w:val="38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The dividends to its shareholders prior to the settlement of the credit debt are restricted in accordance with our requirements as follows.</w:t>
      </w:r>
    </w:p>
    <w:p>
      <w:pPr>
        <w:spacing w:after="0" w:line="200" w:lineRule="exact"/>
        <w:rPr>
          <w:rFonts w:ascii="MS PGothic" w:cs="MS PGothic" w:eastAsia="MS PGothic" w:hAnsi="MS PGothic"/>
          <w:sz w:val="16"/>
          <w:szCs w:val="16"/>
          <w:color w:val="auto"/>
          <w:highlight w:val="black"/>
        </w:rPr>
      </w:pPr>
    </w:p>
    <w:p>
      <w:pPr>
        <w:ind w:left="2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w:t>
      </w:r>
    </w:p>
    <w:p>
      <w:pPr>
        <w:spacing w:after="0" w:line="200" w:lineRule="exact"/>
        <w:rPr>
          <w:rFonts w:ascii="MS PGothic" w:cs="MS PGothic" w:eastAsia="MS PGothic" w:hAnsi="MS PGothic"/>
          <w:sz w:val="16"/>
          <w:szCs w:val="16"/>
          <w:color w:val="auto"/>
          <w:highlight w:val="black"/>
        </w:rPr>
      </w:pPr>
    </w:p>
    <w:p>
      <w:pPr>
        <w:ind w:left="2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12.10 You shall ensure that the financial indicators of Party B during the credit period do not fall below the following requirements.</w:t>
      </w:r>
    </w:p>
    <w:p>
      <w:pPr>
        <w:spacing w:after="0" w:line="200" w:lineRule="exact"/>
        <w:rPr>
          <w:rFonts w:ascii="MS PGothic" w:cs="MS PGothic" w:eastAsia="MS PGothic" w:hAnsi="MS PGothic"/>
          <w:sz w:val="16"/>
          <w:szCs w:val="16"/>
          <w:color w:val="auto"/>
          <w:highlight w:val="black"/>
        </w:rPr>
      </w:pPr>
    </w:p>
    <w:p>
      <w:pPr>
        <w:ind w:left="2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-494030</wp:posOffset>
            </wp:positionV>
            <wp:extent cx="435356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0">
                      <a:extLst>
                        <a:ext uri="{28A0092B-C50C-407E-A947-70E740481C1C}"/>
                      </a:extLst>
                    </a:blip>
                    <a:srcRect/>
                    <a:stretch>
                      <a:fillRect/>
                    </a:stretch>
                  </pic:blipFill>
                  <pic:spPr bwMode="auto">
                    <a:xfrm>
                      <a:off x="0" y="0"/>
                      <a:ext cx="4353560"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-5080</wp:posOffset>
            </wp:positionV>
            <wp:extent cx="430276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1">
                      <a:extLst>
                        <a:ext uri="{28A0092B-C50C-407E-A947-70E740481C1C}"/>
                      </a:extLst>
                    </a:blip>
                    <a:srcRect/>
                    <a:stretch>
                      <a:fillRect/>
                    </a:stretch>
                  </pic:blipFill>
                  <pic:spPr bwMode="auto">
                    <a:xfrm>
                      <a:off x="0" y="0"/>
                      <a:ext cx="4302760" cy="7620"/>
                    </a:xfrm>
                    <a:prstGeom prst="rect">
                      <a:avLst/>
                    </a:prstGeom>
                    <a:noFill/>
                  </pic:spPr>
                </pic:pic>
              </a:graphicData>
            </a:graphic>
          </wp:anchor>
        </w:drawing>
      </w:r>
    </w:p>
    <w:p>
      <w:pPr>
        <w:spacing w:after="0" w:line="18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b w:val="1"/>
          <w:bCs w:val="1"/>
          <w:color w:val="auto"/>
        </w:rPr>
        <w:t>12.11 You also acknowledge that China Merchants Bank Shanghai Branch and your parent/head office/holding company (insert name of enterprise), agrees to be bound by the contents of the Group Credit Business Cooperation Agreement (including any adjustments and supplements thereto from time to time made by the signatories) numbered (insert name of enterprise) and agrees to undertake the obligations set out therein in respect of the Group’s subordinate units as a subordinate unit of the Group under the Agreement. In the event of any breach, Party B shall be deemed to be in default and Party A shall be entitled to take all remedies for such breach as set out in this Agreement.</w:t>
      </w:r>
    </w:p>
    <w:p>
      <w:pPr>
        <w:spacing w:after="0" w:line="162"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12.12 In corporate finance and operational decision-making, if one party has the ability to directly or indirectly control, jointly control, or exert significant influence over another party, such parties are deemed related parties under this agreement. If two or more parties are subject to the control of a single entity, they are also considered related parties, as determined by Party A.</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6" w:name="page417"/>
    <w:bookmarkEnd w:id="416"/>
    <w:p>
      <w:pPr>
        <w:jc w:val="both"/>
        <w:ind w:right="20"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The “significant controlling party” referred to in this agreement refers to the legal representative or unit head, authorized signatory, actual controller, beneficial owner, significant investor, significant investee, significant creditor, controlled entity, etc. of Party B, and shall be determined by Party A.</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12.13 Other agreed matters:</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12.13.1 Party B guarantees that there will be no performance under external guarantee or internal credit. If such a situation occurs, party A shall be notified in a timely manner. Party A has the right to suspend the signing of new external guarantee or internal credit contracts or handle new withdrawals; party B guarantees that in the event of guarantee performance, the sum of outstanding principal balance and outstanding external liabilities shall not exceed the weighted balance of the party B’s cross-border financing risk. Any risks arising from exceeding the weighted balance of the party B’s cross-border financing risk shall be borne by the party B.</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12.13.2 Party B undertakes that if the quota under this agreement is used for related procurement or payment agency for related enterprises, the related party shall open an account with party A, and the funds shall be entrusted for secondary payment to the final seller or the party B’s employee salary agency business handled by party A.</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12.13.3 Party </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 xml:space="preserve"> undertakes that the guarantee conditions provided by party B for financing from other banks shall not be superior to the guarantee conditions provided to party A for obtaining credit from party A.</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 Account information</w:t>
      </w:r>
    </w:p>
    <w:p>
      <w:pPr>
        <w:spacing w:after="0" w:line="201" w:lineRule="exact"/>
        <w:rPr>
          <w:sz w:val="20"/>
          <w:szCs w:val="20"/>
          <w:color w:val="auto"/>
        </w:rPr>
      </w:pPr>
    </w:p>
    <w:p>
      <w:pPr>
        <w:ind w:left="460" w:hanging="175"/>
        <w:spacing w:after="0"/>
        <w:tabs>
          <w:tab w:leader="none" w:pos="460" w:val="left"/>
        </w:tabs>
        <w:numPr>
          <w:ilvl w:val="0"/>
          <w:numId w:val="38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13.1 Special Loan Account (tick if applicable)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disbursements and payments of loan funds under this Agreement must be made through the following accounts.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w:t>
      </w:r>
      <w:r>
        <w:rPr>
          <w:rFonts w:ascii="Times New Roman" w:cs="Times New Roman" w:eastAsia="Times New Roman" w:hAnsi="Times New Roman"/>
          <w:sz w:val="16"/>
          <w:szCs w:val="16"/>
          <w:u w:val="single" w:color="auto"/>
          <w:color w:val="auto"/>
        </w:rPr>
        <w:t>. 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w:t>
      </w:r>
      <w:r>
        <w:rPr>
          <w:rFonts w:ascii="Times New Roman" w:cs="Times New Roman" w:eastAsia="Times New Roman" w:hAnsi="Times New Roman"/>
          <w:sz w:val="16"/>
          <w:szCs w:val="16"/>
          <w:u w:val="single" w:color="auto"/>
          <w:color w:val="auto"/>
        </w:rPr>
        <w:t>. 121908367810901</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Account</w:t>
      </w:r>
      <w:r>
        <w:rPr>
          <w:rFonts w:ascii="Times New Roman" w:cs="Times New Roman" w:eastAsia="Times New Roman" w:hAnsi="Times New Roman"/>
          <w:sz w:val="16"/>
          <w:szCs w:val="16"/>
          <w:u w:val="single" w:color="auto"/>
          <w:color w:val="auto"/>
        </w:rPr>
        <w:t>. Century Avenue Branch of China Merchants Bank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 Funds back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13.2.1 We both agree to designate the following account as Party B’s funds recovery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w:t>
      </w:r>
      <w:r>
        <w:rPr>
          <w:rFonts w:ascii="Times New Roman" w:cs="Times New Roman" w:eastAsia="Times New Roman" w:hAnsi="Times New Roman"/>
          <w:sz w:val="16"/>
          <w:szCs w:val="16"/>
          <w:u w:val="single" w:color="auto"/>
          <w:color w:val="auto"/>
        </w:rPr>
        <w:t>. 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w:t>
      </w:r>
      <w:r>
        <w:rPr>
          <w:rFonts w:ascii="Times New Roman" w:cs="Times New Roman" w:eastAsia="Times New Roman" w:hAnsi="Times New Roman"/>
          <w:sz w:val="16"/>
          <w:szCs w:val="16"/>
          <w:u w:val="single" w:color="auto"/>
          <w:color w:val="auto"/>
        </w:rPr>
        <w:t>. 121908367810901</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Account</w:t>
      </w:r>
      <w:r>
        <w:rPr>
          <w:rFonts w:ascii="Times New Roman" w:cs="Times New Roman" w:eastAsia="Times New Roman" w:hAnsi="Times New Roman"/>
          <w:sz w:val="16"/>
          <w:szCs w:val="16"/>
          <w:u w:val="single" w:color="auto"/>
          <w:color w:val="auto"/>
        </w:rPr>
        <w:t>. Century Avenue Branch of China Merchants Bank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13.2.2 The account monitoring requirements are as follows</w:t>
      </w:r>
      <w:r>
        <w:rPr>
          <w:rFonts w:ascii="Times New Roman" w:cs="Times New Roman" w:eastAsia="Times New Roman" w:hAnsi="Times New Roman"/>
          <w:sz w:val="16"/>
          <w:szCs w:val="16"/>
          <w:u w:val="single" w:color="auto"/>
          <w:color w:val="auto"/>
        </w:rPr>
        <w:t>. /</w:t>
      </w:r>
    </w:p>
    <w:p>
      <w:pPr>
        <w:spacing w:after="0" w:line="199"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Party A has the right to recover the loan early based on Party B’s funds recovery, i.e. when there are funds recovered from the account, then the loan corresponding to the amount of such recovered funds may be deemed to mature early and Party A has the right to debit the account directly to repay such part of the loan.</w:t>
      </w:r>
    </w:p>
    <w:p>
      <w:pPr>
        <w:spacing w:after="0" w:line="15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13.3 Party B shall provide quarterly information on the movement of funds in and out of the above accounts and cooperate with Party A in the monitoring of the relevant accounts and the return of funds.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17" w:name="page418"/>
    <w:bookmarkEnd w:id="417"/>
    <w:p>
      <w:pPr>
        <w:ind w:left="280"/>
        <w:spacing w:after="0"/>
        <w:rPr>
          <w:sz w:val="20"/>
          <w:szCs w:val="20"/>
          <w:color w:val="auto"/>
        </w:rPr>
      </w:pPr>
      <w:r>
        <w:rPr>
          <w:rFonts w:ascii="Times New Roman" w:cs="Times New Roman" w:eastAsia="Times New Roman" w:hAnsi="Times New Roman"/>
          <w:sz w:val="16"/>
          <w:szCs w:val="16"/>
          <w:color w:val="auto"/>
        </w:rPr>
        <w:t>14. Applicable law and dispute resolution</w:t>
      </w:r>
    </w:p>
    <w:p>
      <w:pPr>
        <w:spacing w:after="0" w:line="201"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14.1 The laws of the People’s Republic of China (excluding the laws of Hong Kong, Macau and Taiwan) shall apply to the conclusion, interpretation and settlement of disputes of this Agreement, and the rights and interests of both A and B shall be protected by the laws of the People’s Republic of China.</w:t>
      </w:r>
    </w:p>
    <w:p>
      <w:pPr>
        <w:spacing w:after="0" w:line="141" w:lineRule="exact"/>
        <w:rPr>
          <w:sz w:val="20"/>
          <w:szCs w:val="20"/>
          <w:color w:val="auto"/>
        </w:rPr>
      </w:pPr>
    </w:p>
    <w:p>
      <w:pPr>
        <w:ind w:firstLine="289"/>
        <w:spacing w:after="0" w:line="285" w:lineRule="auto"/>
        <w:rPr>
          <w:sz w:val="20"/>
          <w:szCs w:val="20"/>
          <w:color w:val="auto"/>
        </w:rPr>
      </w:pPr>
      <w:r>
        <w:rPr>
          <w:rFonts w:ascii="Times New Roman" w:cs="Times New Roman" w:eastAsia="Times New Roman" w:hAnsi="Times New Roman"/>
          <w:sz w:val="16"/>
          <w:szCs w:val="16"/>
          <w:b w:val="1"/>
          <w:bCs w:val="1"/>
          <w:color w:val="auto"/>
        </w:rPr>
        <w:t>14.2 Disputes arising in the course of the performance of this Agreement between A and B shall be settled by mutual agreement. If consultation fails, either party shall (choose one of the three, tick one of the following).</w:t>
      </w:r>
    </w:p>
    <w:p>
      <w:pPr>
        <w:spacing w:after="0" w:line="140" w:lineRule="exact"/>
        <w:rPr>
          <w:sz w:val="20"/>
          <w:szCs w:val="20"/>
          <w:color w:val="auto"/>
        </w:rPr>
      </w:pPr>
    </w:p>
    <w:p>
      <w:pPr>
        <w:ind w:left="460" w:hanging="175"/>
        <w:spacing w:after="0"/>
        <w:tabs>
          <w:tab w:leader="none" w:pos="460" w:val="left"/>
        </w:tabs>
        <w:numPr>
          <w:ilvl w:val="0"/>
          <w:numId w:val="384"/>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14.2.1 to the People’s Court of competent jurisdiction in the location of Party A.</w:t>
      </w:r>
    </w:p>
    <w:p>
      <w:pPr>
        <w:spacing w:after="0" w:line="201" w:lineRule="exact"/>
        <w:rPr>
          <w:sz w:val="20"/>
          <w:szCs w:val="20"/>
          <w:color w:val="auto"/>
        </w:rPr>
      </w:pPr>
    </w:p>
    <w:p>
      <w:pPr>
        <w:ind w:left="460" w:hanging="175"/>
        <w:spacing w:after="0"/>
        <w:tabs>
          <w:tab w:leader="none" w:pos="460" w:val="left"/>
        </w:tabs>
        <w:numPr>
          <w:ilvl w:val="0"/>
          <w:numId w:val="38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14.2.2 to the people’s court with jurisdiction in the place where the agreement was signed, which is </w:t>
      </w:r>
      <w:r>
        <w:rPr>
          <w:rFonts w:ascii="Times New Roman" w:cs="Times New Roman" w:eastAsia="Times New Roman" w:hAnsi="Times New Roman"/>
          <w:sz w:val="16"/>
          <w:szCs w:val="16"/>
          <w:b w:val="1"/>
          <w:bCs w:val="1"/>
          <w:u w:val="single" w:color="auto"/>
          <w:color w:val="auto"/>
        </w:rPr>
        <w:t>/</w:t>
      </w:r>
    </w:p>
    <w:p>
      <w:pPr>
        <w:spacing w:after="0" w:line="200" w:lineRule="exact"/>
        <w:rPr>
          <w:rFonts w:ascii="MS PGothic" w:cs="MS PGothic" w:eastAsia="MS PGothic" w:hAnsi="MS PGothic"/>
          <w:sz w:val="16"/>
          <w:szCs w:val="16"/>
          <w:color w:val="auto"/>
        </w:rPr>
      </w:pPr>
    </w:p>
    <w:p>
      <w:pPr>
        <w:ind w:left="460" w:hanging="175"/>
        <w:spacing w:after="0"/>
        <w:tabs>
          <w:tab w:leader="none" w:pos="460" w:val="left"/>
        </w:tabs>
        <w:numPr>
          <w:ilvl w:val="0"/>
          <w:numId w:val="385"/>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14.2.3 Application for arbitration to </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xml:space="preserve"> (insert name of specific arbitration institution), where the arbitration will take place.</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14.3 After this Agreement and each specific business text has been notarised by both parties to give enforcement effect, Party A may apply directly to the people’s court having jurisdiction for enforcement in order to recover the debts owed by Party B under this Agreement and each specific business text.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15. Entry into force of the agreement</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This Agreement shall come into effect upon the signature (or name seal) of the legal representative/principal person in charge of both parties or their authorized agent and the official seal/contractual seal of the entity, and shall automatically expire on the date of expiry of the credit period or the date of settlement of all debts and all other related expenses owed by Party B to Party A under this Agreement (whichever is later).</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16. By-laws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This agreement is made in </w:t>
      </w:r>
      <w:r>
        <w:rPr>
          <w:rFonts w:ascii="Times New Roman" w:cs="Times New Roman" w:eastAsia="Times New Roman" w:hAnsi="Times New Roman"/>
          <w:sz w:val="16"/>
          <w:szCs w:val="16"/>
          <w:u w:val="single" w:color="auto"/>
          <w:color w:val="auto"/>
        </w:rPr>
        <w:t>two copy</w:t>
      </w:r>
      <w:r>
        <w:rPr>
          <w:rFonts w:ascii="Times New Roman" w:cs="Times New Roman" w:eastAsia="Times New Roman" w:hAnsi="Times New Roman"/>
          <w:sz w:val="16"/>
          <w:szCs w:val="16"/>
          <w:color w:val="auto"/>
        </w:rPr>
        <w:t>, one for Party A, one for Party B, each with the same legal effect.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Attachment: 1. Special Terms and Conditions for Cross-border Trade Finance Business</w:t>
      </w:r>
    </w:p>
    <w:p>
      <w:pPr>
        <w:spacing w:after="0" w:line="201" w:lineRule="exact"/>
        <w:rPr>
          <w:sz w:val="20"/>
          <w:szCs w:val="20"/>
          <w:color w:val="auto"/>
        </w:rPr>
      </w:pPr>
    </w:p>
    <w:p>
      <w:pPr>
        <w:ind w:left="440" w:hanging="155"/>
        <w:spacing w:after="0"/>
        <w:tabs>
          <w:tab w:leader="none" w:pos="44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Buyer/Import Factoring</w:t>
      </w:r>
    </w:p>
    <w:p>
      <w:pPr>
        <w:spacing w:after="0" w:line="200"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Order Credit Business</w:t>
      </w:r>
    </w:p>
    <w:p>
      <w:pPr>
        <w:spacing w:after="0" w:line="200"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Commercial Acceptance Guarantee Business</w:t>
      </w:r>
    </w:p>
    <w:p>
      <w:pPr>
        <w:spacing w:after="0" w:line="200"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provisions for derivative business</w:t>
      </w:r>
    </w:p>
    <w:p>
      <w:pPr>
        <w:spacing w:after="0" w:line="200" w:lineRule="exact"/>
        <w:rPr>
          <w:rFonts w:ascii="Times New Roman" w:cs="Times New Roman" w:eastAsia="Times New Roman" w:hAnsi="Times New Roman"/>
          <w:sz w:val="16"/>
          <w:szCs w:val="16"/>
          <w:color w:val="auto"/>
        </w:rPr>
      </w:pPr>
    </w:p>
    <w:p>
      <w:pPr>
        <w:ind w:left="440" w:hanging="155"/>
        <w:spacing w:after="0"/>
        <w:tabs>
          <w:tab w:leader="none" w:pos="44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Special Terms for Gold Leasing Business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6"/>
          <w:szCs w:val="16"/>
          <w:color w:val="auto"/>
        </w:rPr>
        <w:t>Attachment 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Cross-border Trade Finance Business</w:t>
      </w:r>
    </w:p>
    <w:p>
      <w:pPr>
        <w:spacing w:after="0" w:line="201" w:lineRule="exact"/>
        <w:rPr>
          <w:sz w:val="20"/>
          <w:szCs w:val="20"/>
          <w:color w:val="auto"/>
        </w:rPr>
      </w:pPr>
    </w:p>
    <w:p>
      <w:pPr>
        <w:jc w:val="both"/>
        <w:ind w:firstLine="285"/>
        <w:spacing w:after="0" w:line="267" w:lineRule="auto"/>
        <w:tabs>
          <w:tab w:leader="none" w:pos="477"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Cross-border linked trade finance business refers to the cross-border trade finance business applied by Party B to Party A based on the real cross-border trade background with overseas companies and provided by Party A in cooperation with overseas institutions of China Merchants Bank (hereinafter referred to as “linked platform”).</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459"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specific types of cross-border linked trade finance business include: back-to-back letter of credit, entrusted issuance, entrusted offshore financing, bill guarantee, letter of guarantee offshore credit and cross-border trade finance through train. The specific meaning and business rules of each business type will be agreed in the specific business text.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449"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 back-to-back letter of credit, the parent letter of credit applied for by you to us directly occupies the credit line under this Agreement, and the charge or advance (whether or not incurred during the credit period) and the corresponding interest and costs incurred by us in fulfilling our obligations to the issuing bank under such parent letter of credit constitute financing obligations of you to us and are included in the credit guarantee.</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Under the entrusted letter of credit / entrusted offshore financing, we entrust the Linkage Platform to accept letters of credit / trade finance applied for by offshore companies under your application to occupy the credit line under this Agreement. If Party A issues a charge or provides an advance to Party B for external payment under import collection, such charge or advance (whether or not it occurs within the credit period) and the related interest and fees directly constitute Party B’s financing obligations to Party A and are included in the credit guarantee.</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Under the note guarantee, Party A will, upon Party B’s application, directly draw on its credit facilities under this Agreement to guarantee the payment of Party B’s promissory note. If Party B fails to pay the bill in full and on time, Party A has the right to make direct advances on the guaranteed bills, and such advances (whether or not incurred during the credit period) and related interest and fees are included in the credit guarantee.</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Under the letter of guarantee offshore credit business, Party A directly occupies the credit line under this Agreement based on the letter of guarantee/ standby letter of credit issued by Party B upon application. After the offshore company assigns its right to receive payment under the letter of guarantee (not the right to claim) to the linked platform, when the linked platform claims against Party A under the letter of guarantee / standby letter of credit, the advances made by Party A (whether or not incurred during the credit period) and the related interest and expenses directly constitute Party B’s financing obligations to Party A and are included in the credit guarantee.</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Under the cross-border trade finance through train business, after Party A has approved Party B’s trade finance based on Party B’s application, the trade finance provided by the linked platform directly to Party B will occupy the credit line under this Agreement. If Party B fails to repay the trade financing amount to the Linkage Platform in full and on time, Party A is entitled to repay the amount by way of charge or advance, and the relevant charge or advance (whether or not it occurs within the credit period) and related interest and fees directly constitute Party B’s financing debt to Party A and are included in the credit guarantee.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6"/>
          <w:szCs w:val="16"/>
          <w:color w:val="auto"/>
        </w:rPr>
        <w:t>Attachment 2</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Buyer/Import Factoring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Definition clause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1.1 Buyer/Import Factoring is a comprehensive factoring service including payment approval, receivables collection and management for the Seller/Export Factor after we, as the Buyer/Import Factor, have assigned the receivables under the Commercial Contract to the Seller/Export Factor with Party B as the debtor of the receivables.</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Under the buyer/import factoring business, if Party B incurs buyer’s credit risk, Party A shall be liable to the seller/export factor for approved payment; in the event of a dispute during the performance of the business contract, Party A shall be entitled to counter-assign the assigned accounts receivable to the seller/export factor.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1.2 A seller/export factor is a party that enters into a factoring agreement with a supplier/service provider (receivables creditor) under a commercial contract and assigns the receivables held by the receivables creditor. We may act as both buyer/import factor and seller/export factor.</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 xml:space="preserve">1.3 Dispute means a defence, counterclaim, set-off or similar action by you in respect of the receivables assigned to us as a result of a dispute between the creditor of the receivables and you over the relevant goods, services, invoices or any other matter relating to a commercial contract, </w:t>
      </w:r>
      <w:r>
        <w:rPr>
          <w:rFonts w:ascii="Times New Roman" w:cs="Times New Roman" w:eastAsia="Times New Roman" w:hAnsi="Times New Roman"/>
          <w:sz w:val="16"/>
          <w:szCs w:val="16"/>
          <w:b w:val="1"/>
          <w:bCs w:val="1"/>
          <w:color w:val="auto"/>
        </w:rPr>
        <w:t>and the assertion by a third party of its rights 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application for seizure of the receivables under this Agreement. A dispute shall be deemed to have arisen whenever the receivables assigned to us are not fully or partially realised as a result of any credit risk other than that of the buyer.</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1.4 Commercial Contract: A contract for a transaction between Party B and a receivable creditor for the purpose of a commodity transaction and/or a service transaction, settled on credit.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1.5 Approved payment/guaranteed payment means that Party A, as the buyer/import factor, shall pay the corresponding amount of receivables to the seller/export factor within a certain period of time after the receivables are due, after Party B has incurred buyer’s credit risk.</w:t>
      </w:r>
    </w:p>
    <w:p>
      <w:pPr>
        <w:spacing w:after="0" w:line="143" w:lineRule="exact"/>
        <w:rPr>
          <w:sz w:val="20"/>
          <w:szCs w:val="20"/>
          <w:color w:val="auto"/>
        </w:rPr>
      </w:pPr>
    </w:p>
    <w:p>
      <w:pPr>
        <w:ind w:right="20" w:firstLine="285"/>
        <w:spacing w:after="0" w:line="283" w:lineRule="auto"/>
        <w:tabs>
          <w:tab w:leader="none" w:pos="454" w:val="left"/>
        </w:tabs>
        <w:numPr>
          <w:ilvl w:val="0"/>
          <w:numId w:val="3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application by Party B, Party A agrees to handle the buyer/import factoring business for him/her within the credit line, and his/her receivables assigned from the seller/export factor will be reduced/occupied according to their amount under the credit line of the credit agreement.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0" w:name="page421"/>
    <w:bookmarkEnd w:id="420"/>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 xml:space="preserve">The amount paid by Party A as the buyer/import factor in fulfilling the approved payment/guaranteed payment obligations and the related fees shall be deemed to be the credit granted by Party A to Party B under the Credit Agreement (the financing interest rate within 30 days from the date of credit granting shall be based on the one-year loan market quotation rate announced by the National Interbank Lending Center one working day before the guarantee payment date, add 300 points. The financing interest rate beyond this period is the benchmark interest rate, plus 50%, as quoted by the 1-year loan market published by the National Interbank Lending Center 1 working day before the guaranteed payment date.) and included in the guarantee of the credit guarantee provided by Party B. We are entitled to take all the measures agreed under the Credit Agreement to recover the approved/guaranteed payment from you. </w:t>
      </w:r>
      <w:r>
        <w:rPr>
          <w:rFonts w:ascii="Times New Roman" w:cs="Times New Roman" w:eastAsia="Times New Roman" w:hAnsi="Times New Roman"/>
          <w:sz w:val="16"/>
          <w:szCs w:val="16"/>
          <w:b w:val="1"/>
          <w:bCs w:val="1"/>
          <w:color w:val="auto"/>
        </w:rPr>
        <w:t>As long as the seller/export factor (whether or not it is Party A) assigns the receivables within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credit period, Party A shall have the right of recourse against Party B in accordance with the Credit Agreement and the Commercial Contract, even if Party A fulfils its approved payment obligations beyond the credit period.</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3. Buyer/Import Factoring Charges</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factoring fee is a business management fee charged by Party A for providing buyer/import factoring services and shall be charged by Party A to Party B at the time of settlement of the assignment at a rate of a certain percentage of the receivable amount, the exact rate of which shall be reasonably determined by Party A in accordance with its business rules.</w:t>
      </w:r>
    </w:p>
    <w:p>
      <w:pPr>
        <w:spacing w:after="0" w:line="156" w:lineRule="exact"/>
        <w:rPr>
          <w:sz w:val="20"/>
          <w:szCs w:val="20"/>
          <w:color w:val="auto"/>
        </w:rPr>
      </w:pPr>
    </w:p>
    <w:p>
      <w:pPr>
        <w:jc w:val="both"/>
        <w:ind w:right="20" w:firstLine="285"/>
        <w:spacing w:after="0" w:line="267" w:lineRule="auto"/>
        <w:tabs>
          <w:tab w:leader="none" w:pos="452"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waives the right to dispute any disputes arising in the course of the performance of the commercial contract. In view of this, regardless of any other agreement, once Party B fails to make external payments as agreed in the Commercial Contract, it shall be deemed that Party B has incurred buyer’s credit risk and Party A will make approved payments, to which Party B has no objection.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6"/>
          <w:szCs w:val="16"/>
          <w:color w:val="auto"/>
        </w:rPr>
        <w:t>Annex 3</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Order Credit Business</w:t>
      </w:r>
    </w:p>
    <w:p>
      <w:pPr>
        <w:spacing w:after="0" w:line="201" w:lineRule="exact"/>
        <w:rPr>
          <w:sz w:val="20"/>
          <w:szCs w:val="20"/>
          <w:color w:val="auto"/>
        </w:rPr>
      </w:pPr>
    </w:p>
    <w:p>
      <w:pPr>
        <w:jc w:val="both"/>
        <w:ind w:right="20" w:firstLine="285"/>
        <w:spacing w:after="0" w:line="267" w:lineRule="auto"/>
        <w:tabs>
          <w:tab w:leader="none" w:pos="455"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order loan business is a loan granted by us to you under a commercial contract (or works contract) with your downstream customer (the payer) for the purpose of performing the daily production and operation of the commercial contract (or performing the works contract), with the sales return (or works return) of the contract as the first source of repayment.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1" w:lineRule="auto"/>
        <w:tabs>
          <w:tab w:leader="none" w:pos="453"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open a special account in Party A for the repayment of sales under commercial contracts (or engineering contracts). All sales under commercial contracts (or engineering contracts) for which order credits are applied must be paid back directly to the special account, which cannot be used or changed without our approval. Party B shall inform the payer that the account is the only account for sales refunds. Party A has the right to withhold the money in the special account for the purpose of repaying the principal and interest, penalty and interest and other related expenses of the order loan financing.</w:t>
      </w:r>
    </w:p>
    <w:p>
      <w:pPr>
        <w:spacing w:after="0" w:line="161" w:lineRule="exact"/>
        <w:rPr>
          <w:rFonts w:ascii="Times New Roman" w:cs="Times New Roman" w:eastAsia="Times New Roman" w:hAnsi="Times New Roman"/>
          <w:sz w:val="16"/>
          <w:szCs w:val="16"/>
          <w:color w:val="auto"/>
        </w:rPr>
      </w:pPr>
    </w:p>
    <w:p>
      <w:pPr>
        <w:ind w:right="20" w:firstLine="285"/>
        <w:spacing w:after="0" w:line="283" w:lineRule="auto"/>
        <w:tabs>
          <w:tab w:leader="none" w:pos="453"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may immediately stop the use of Party B’s credit line under the Credit Agreement and take default handling measures as agreed in the Credit Agreement when the following circumstances occur</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3.1 circumstances that are not conducive to the protection of our claims, such as three consecutive late payments by Party B’s downstream customers or, in our reasonable judgement, a deterioration in their financial position.</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3.2 Party B is disqualified as a supplier by the downstream customer, Party B’s supply to the downstream customer is not delivered in a timely manner, the quality of the product is not stable, the construction is not carried out in accordance with the progress agreed in the works contract without the approval of the downstream customer, the qualification of Party B’s practice is adjusted downward and makes its qualification not meet the requirements of the downstream customer, Party A reasonably judges that it is in operational difficulties, its financial position deteriorates, or there are three consecutive months when the downstream customer’s repayment is less than The total monthly repayment amount due from Party B under each financing contract under this credit facility, or the downstream customer fails to pay in instalments as agreed in the construction contract for the second consecutive period.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6"/>
          <w:szCs w:val="16"/>
          <w:color w:val="auto"/>
        </w:rPr>
        <w:t>Annex 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and Conditions for Commercial Acceptance Guarantee Business</w:t>
      </w:r>
    </w:p>
    <w:p>
      <w:pPr>
        <w:spacing w:after="0" w:line="201" w:lineRule="exact"/>
        <w:rPr>
          <w:sz w:val="20"/>
          <w:szCs w:val="20"/>
          <w:color w:val="auto"/>
        </w:rPr>
      </w:pPr>
    </w:p>
    <w:p>
      <w:pPr>
        <w:jc w:val="both"/>
        <w:ind w:firstLine="285"/>
        <w:spacing w:after="0" w:line="267" w:lineRule="auto"/>
        <w:tabs>
          <w:tab w:leader="none" w:pos="455" w:val="left"/>
        </w:tabs>
        <w:numPr>
          <w:ilvl w:val="0"/>
          <w:numId w:val="3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acceptances are discounted by Party A or allowed to be discounted by the bearer at any branch of China Merchants Bank (hereinafter referred to as other discounting banks). The holder (hereinafter referred to as the discounting applicant) may apply for discounting with the commercial acceptances to Party A or other discounting accepting banks, and such discounting operations shall occupy the credit line under this Agreement.</w:t>
      </w:r>
    </w:p>
    <w:p>
      <w:pPr>
        <w:spacing w:after="0" w:line="168" w:lineRule="exact"/>
        <w:rPr>
          <w:sz w:val="20"/>
          <w:szCs w:val="20"/>
          <w:color w:val="auto"/>
        </w:rPr>
      </w:pPr>
    </w:p>
    <w:p>
      <w:pPr>
        <w:jc w:val="both"/>
        <w:ind w:firstLine="337"/>
        <w:spacing w:after="0" w:line="275" w:lineRule="auto"/>
        <w:rPr>
          <w:sz w:val="20"/>
          <w:szCs w:val="20"/>
          <w:color w:val="auto"/>
        </w:rPr>
      </w:pPr>
      <w:r>
        <w:rPr>
          <w:rFonts w:ascii="Times New Roman" w:cs="Times New Roman" w:eastAsia="Times New Roman" w:hAnsi="Times New Roman"/>
          <w:sz w:val="16"/>
          <w:szCs w:val="16"/>
          <w:color w:val="auto"/>
        </w:rPr>
        <w:t>Given that the provision of commercial acceptances by Party A to Party B is a prerequisite for other discount accepting banks to accept the holder’s application for discounting, other discount accepting banks are entitled to transfer the discounted bills to Party A after discounting, and Party A is obliged to accept the transfer, and Party B has no objection to this.</w:t>
      </w:r>
    </w:p>
    <w:p>
      <w:pPr>
        <w:spacing w:after="0" w:line="149" w:lineRule="exact"/>
        <w:rPr>
          <w:sz w:val="20"/>
          <w:szCs w:val="20"/>
          <w:color w:val="auto"/>
        </w:rPr>
      </w:pPr>
    </w:p>
    <w:p>
      <w:pPr>
        <w:jc w:val="both"/>
        <w:ind w:firstLine="285"/>
        <w:spacing w:after="0" w:line="267" w:lineRule="auto"/>
        <w:tabs>
          <w:tab w:leader="none" w:pos="452"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commercial acceptances referred to herein include both paper commercial acceptances and electronic commercial acceptances (hereinafter referred to as electronic commercial acceptances); the interest payment methods include interest payment by the buyer, interest payment by the seller, interest payment by other parties and interest payment by agreement.</w:t>
      </w:r>
    </w:p>
    <w:p>
      <w:pPr>
        <w:spacing w:after="0" w:line="155" w:lineRule="exact"/>
        <w:rPr>
          <w:rFonts w:ascii="Times New Roman" w:cs="Times New Roman" w:eastAsia="Times New Roman" w:hAnsi="Times New Roman"/>
          <w:sz w:val="16"/>
          <w:szCs w:val="16"/>
          <w:color w:val="auto"/>
        </w:rPr>
      </w:pPr>
    </w:p>
    <w:p>
      <w:pPr>
        <w:jc w:val="both"/>
        <w:ind w:firstLine="326"/>
        <w:spacing w:after="0" w:line="267" w:lineRule="auto"/>
        <w:tabs>
          <w:tab w:leader="none" w:pos="495"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shall open a commercial acceptances margin account with Party A (the account number shall be the one generated or recorded by Party A’s system at the time of deposit of the margin) and deposit a certain amount of funds into such margin account in proportion to Party A’s requirements prior to the acceptance of each instrument as payment margin for commercial acceptances discounted by Party A or assigned from other discount accepting banks.</w:t>
      </w:r>
    </w:p>
    <w:p>
      <w:pPr>
        <w:spacing w:after="0" w:line="156"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If Party B is the acceptor of a commercial acceptances, Party B shall deposit the full amount of each commercial acceptances payable in its margin account opened with Party A before the maturity of the bill.</w:t>
      </w:r>
    </w:p>
    <w:p>
      <w:pPr>
        <w:spacing w:after="0" w:line="143" w:lineRule="exact"/>
        <w:rPr>
          <w:sz w:val="20"/>
          <w:szCs w:val="20"/>
          <w:color w:val="auto"/>
        </w:rPr>
      </w:pPr>
    </w:p>
    <w:p>
      <w:pPr>
        <w:jc w:val="both"/>
        <w:ind w:firstLine="285"/>
        <w:spacing w:after="0" w:line="267" w:lineRule="auto"/>
        <w:tabs>
          <w:tab w:leader="none" w:pos="452" w:val="left"/>
        </w:tabs>
        <w:numPr>
          <w:ilvl w:val="0"/>
          <w:numId w:val="3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credit period, the discounting applicant may apply for discounting directly to Party A with the commercial acceptances accepted, endorsed or guaranteed by Party B, or may apply for discounting with other discounting acceptance banks. Party A or other discount accepting banks have the right to examine the eligibility of the discount applicant, request Party B to conduct audit and confirmation, and decide whether to process the discount at their own discretion.</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After discounting, other discount accepting banks have the right to endorse and transfer the discounted commercial acceptances to Party A in accordance with the relevant regulations of China Merchants Bank. After Party A has discounted or transferred the commercial promissory notes from other discount accepting banks, Party B shall unconditionally pay Party A the full amount of the note payable in a timely manner when Party B is requested to pay with the note.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23" w:name="page424"/>
    <w:bookmarkEnd w:id="423"/>
    <w:p>
      <w:pPr>
        <w:jc w:val="both"/>
        <w:ind w:firstLine="285"/>
        <w:spacing w:after="0" w:line="261" w:lineRule="auto"/>
        <w:tabs>
          <w:tab w:leader="none" w:pos="476"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records such as the business information stored in the China Bills Transaction System or the electronic commercial draft system, or the customer statements filled in or printed out accordingly, shall govern the opening, acceptance, guarantee, endorsement and discounting of each electronic commercial draft. The information stored in the China Bills Transaction System or the electronic commercial draft system and the business records generated thereunder are part of this Annex and have the same legal effect as this Annex. Party B acknowledges its accuracy, authenticity and legality.</w:t>
      </w:r>
    </w:p>
    <w:p>
      <w:pPr>
        <w:spacing w:after="0" w:line="161" w:lineRule="exact"/>
        <w:rPr>
          <w:rFonts w:ascii="Times New Roman" w:cs="Times New Roman" w:eastAsia="Times New Roman" w:hAnsi="Times New Roman"/>
          <w:sz w:val="16"/>
          <w:szCs w:val="16"/>
          <w:color w:val="auto"/>
        </w:rPr>
      </w:pPr>
    </w:p>
    <w:p>
      <w:pPr>
        <w:ind w:right="20" w:firstLine="285"/>
        <w:spacing w:after="0" w:line="283" w:lineRule="auto"/>
        <w:tabs>
          <w:tab w:leader="none" w:pos="460"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dispute arising from the underlying contract of the commercial acceptances guaranteed by Party A shall be resolved by Party B in coordination with the parties concerned and shall not relieve Party B of its obligation to deposit the deposit and the payment in full and in a timely manner in accordance with the provisions of Clause 3.</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59" w:lineRule="auto"/>
        <w:tabs>
          <w:tab w:leader="none" w:pos="456"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Party A has discounted the commercial acceptances accepted, endorsed or guaranteed by Party B or has assigned such commercial acceptances from other discount accepting banks, Party A shall have the right to take recourse directly against Party B if the payer of the commercial acceptances or Party B has not delivered the full amount of the notes before the maturity date, including but not limited to deducting the amount from any account opened by Party B with China Merchants Bank for payment. Any advance made by Party A as a result of insufficient delivery by Party B and insufficient debit from Party B’s account balance shall be subject to a </w:t>
      </w:r>
      <w:r>
        <w:rPr>
          <w:rFonts w:ascii="Times New Roman" w:cs="Times New Roman" w:eastAsia="Times New Roman" w:hAnsi="Times New Roman"/>
          <w:sz w:val="16"/>
          <w:szCs w:val="16"/>
          <w:b w:val="1"/>
          <w:bCs w:val="1"/>
          <w:color w:val="auto"/>
        </w:rPr>
        <w:t>penalty interest charge by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Party </w:t>
      </w:r>
      <w:r>
        <w:rPr>
          <w:rFonts w:ascii="Times New Roman" w:cs="Times New Roman" w:eastAsia="Times New Roman" w:hAnsi="Times New Roman"/>
          <w:sz w:val="16"/>
          <w:szCs w:val="16"/>
          <w:color w:val="auto"/>
        </w:rPr>
        <w:t>A</w:t>
      </w:r>
      <w:r>
        <w:rPr>
          <w:rFonts w:ascii="Times New Roman" w:cs="Times New Roman" w:eastAsia="Times New Roman" w:hAnsi="Times New Roman"/>
          <w:sz w:val="16"/>
          <w:szCs w:val="16"/>
          <w:b w:val="1"/>
          <w:bCs w:val="1"/>
          <w:color w:val="auto"/>
        </w:rPr>
        <w:t xml:space="preserve"> to Party B </w:t>
      </w:r>
      <w:r>
        <w:rPr>
          <w:rFonts w:ascii="Times New Roman" w:cs="Times New Roman" w:eastAsia="Times New Roman" w:hAnsi="Times New Roman"/>
          <w:sz w:val="16"/>
          <w:szCs w:val="16"/>
          <w:color w:val="auto"/>
        </w:rPr>
        <w:t>at the rate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5% per</w:t>
      </w:r>
      <w:r>
        <w:rPr>
          <w:rFonts w:ascii="Times New Roman" w:cs="Times New Roman" w:eastAsia="Times New Roman" w:hAnsi="Times New Roman"/>
          <w:sz w:val="16"/>
          <w:szCs w:val="16"/>
          <w:b w:val="1"/>
          <w:bCs w:val="1"/>
          <w:color w:val="auto"/>
        </w:rPr>
        <w:t xml:space="preserve"> day of </w:t>
      </w:r>
      <w:r>
        <w:rPr>
          <w:rFonts w:ascii="Times New Roman" w:cs="Times New Roman" w:eastAsia="Times New Roman" w:hAnsi="Times New Roman"/>
          <w:sz w:val="16"/>
          <w:szCs w:val="16"/>
          <w:color w:val="auto"/>
        </w:rPr>
        <w:t>the amount advanced in accordance with the relevant provisions of the Payment and Settlement Measures.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6"/>
          <w:szCs w:val="16"/>
          <w:color w:val="auto"/>
        </w:rPr>
        <w:t>Annex 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Derivative Trading Business</w:t>
      </w:r>
    </w:p>
    <w:p>
      <w:pPr>
        <w:spacing w:after="0" w:line="201" w:lineRule="exact"/>
        <w:rPr>
          <w:sz w:val="20"/>
          <w:szCs w:val="20"/>
          <w:color w:val="auto"/>
        </w:rPr>
      </w:pPr>
    </w:p>
    <w:p>
      <w:pPr>
        <w:jc w:val="both"/>
        <w:ind w:firstLine="285"/>
        <w:spacing w:after="0" w:line="257" w:lineRule="auto"/>
        <w:tabs>
          <w:tab w:leader="none" w:pos="469"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respect of derivative transactions which Party A accepts Party B’s application for classification, the credit line may be taken up by a certain percentage of the notional principal amount of the transaction/transaction amount, or in the event of a floating loss on the derivative transaction, Party A may take up additional credit line from Party B according to the specific agreement of both parties (at the </w:t>
      </w:r>
      <w:r>
        <w:rPr>
          <w:rFonts w:ascii="Times New Roman" w:cs="Times New Roman" w:eastAsia="Times New Roman" w:hAnsi="Times New Roman"/>
          <w:sz w:val="16"/>
          <w:szCs w:val="16"/>
          <w:b w:val="1"/>
          <w:bCs w:val="1"/>
          <w:color w:val="auto"/>
        </w:rPr>
        <w:t>time of each transaction, Party A shall determine the specific amount of credit line to be taken up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accordance with the variety, maturity and risk level of the transaction, the business to which the credit line is deducted, etc.). The </w:t>
      </w:r>
      <w:r>
        <w:rPr>
          <w:rFonts w:ascii="Times New Roman" w:cs="Times New Roman" w:eastAsia="Times New Roman" w:hAnsi="Times New Roman"/>
          <w:sz w:val="16"/>
          <w:szCs w:val="16"/>
          <w:color w:val="auto"/>
        </w:rPr>
        <w:t>actual amount of credit line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taken up shall be determined by the transaction documents such as the notification of credit line taking up and/or the confirmation/certification of the transaction issued by Party A.</w:t>
      </w:r>
    </w:p>
    <w:p>
      <w:pPr>
        <w:spacing w:after="0" w:line="162" w:lineRule="exact"/>
        <w:rPr>
          <w:rFonts w:ascii="Times New Roman" w:cs="Times New Roman" w:eastAsia="Times New Roman" w:hAnsi="Times New Roman"/>
          <w:sz w:val="16"/>
          <w:szCs w:val="16"/>
          <w:color w:val="auto"/>
        </w:rPr>
      </w:pPr>
    </w:p>
    <w:p>
      <w:pPr>
        <w:ind w:firstLine="285"/>
        <w:spacing w:after="0" w:line="285" w:lineRule="auto"/>
        <w:tabs>
          <w:tab w:leader="none" w:pos="454" w:val="left"/>
        </w:tabs>
        <w:numPr>
          <w:ilvl w:val="0"/>
          <w:numId w:val="3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Any derivative transaction that has a balance or loss during the credit period, whether or not the transaction occurs within the credit period, will be charged to the credit line in accordance with the previous article.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6"/>
          <w:szCs w:val="16"/>
          <w:color w:val="auto"/>
        </w:rPr>
        <w:t>Annex 6</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Special Terms for Gold Leasing Business</w:t>
      </w:r>
    </w:p>
    <w:p>
      <w:pPr>
        <w:spacing w:after="0" w:line="201" w:lineRule="exact"/>
        <w:rPr>
          <w:sz w:val="20"/>
          <w:szCs w:val="20"/>
          <w:color w:val="auto"/>
        </w:rPr>
      </w:pPr>
    </w:p>
    <w:p>
      <w:pPr>
        <w:ind w:firstLine="285"/>
        <w:spacing w:after="0" w:line="283" w:lineRule="auto"/>
        <w:tabs>
          <w:tab w:leader="none" w:pos="467"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“Gold Leasing” is a business in which we lease out physical gold to Party B. Upon expiry, Party B returns an equivalent amount of gold of the same quality and property and pays the leasing fee to Party A in RMB on a regular basis.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45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may, upon Party B’s application, handle the gold leasing business for Party B within the credit period and credit limit. The physical gold leased by Party A shall occupy the credit limit in accordance with the agreed value of the gold leasing agreement signed by both parties and shall constitute a debt owed by Party B to Party A.</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Party B declares that</w:t>
      </w:r>
    </w:p>
    <w:p>
      <w:pPr>
        <w:spacing w:after="0" w:line="201"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b w:val="1"/>
          <w:bCs w:val="1"/>
          <w:color w:val="auto"/>
        </w:rPr>
        <w:t>All the terms of this agreement have been fully negotiated by both parties. We have drawn your attention in particular to those provisions which relate to the exclusion or reduction of our liability and which are of material interest to you, and have clarified these provisions accordingly at your request. Party B has given a full and accurate understanding of them. The contracting parties are in full agreement as to the terms of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6"/>
          <w:szCs w:val="16"/>
          <w:color w:val="auto"/>
        </w:rPr>
        <w:t>(The following is the signature line of the Credit Agreement (for liquidity loans without a separate loan contract) numbered:121XY250629T000001)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w:t>
      </w:r>
      <w:r>
        <w:rPr>
          <w:rFonts w:ascii="Times New Roman" w:cs="Times New Roman" w:eastAsia="Times New Roman" w:hAnsi="Times New Roman"/>
          <w:sz w:val="16"/>
          <w:szCs w:val="16"/>
          <w:color w:val="auto"/>
        </w:rPr>
        <w:t>: China Merchants Bank Co. LTD. Shanghai Branch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or authorised agent (signature/name seal).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address. </w:t>
      </w:r>
      <w:r>
        <w:rPr>
          <w:rFonts w:ascii="Times New Roman" w:cs="Times New Roman" w:eastAsia="Times New Roman" w:hAnsi="Times New Roman"/>
          <w:sz w:val="16"/>
          <w:szCs w:val="16"/>
          <w:u w:val="single" w:color="auto"/>
          <w:color w:val="auto"/>
        </w:rPr>
        <w:t>1088 Lujiazui Ring Road, Pudong New Area, Shanghai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e-mail address.</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fax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mobile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micro signal. </w:t>
      </w:r>
      <w:r>
        <w:rPr>
          <w:rFonts w:ascii="Times New Roman" w:cs="Times New Roman" w:eastAsia="Times New Roman" w:hAnsi="Times New Roman"/>
          <w:sz w:val="16"/>
          <w:szCs w:val="16"/>
          <w:u w:val="single" w:color="auto"/>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w:t>
      </w:r>
      <w:r>
        <w:rPr>
          <w:rFonts w:ascii="Times New Roman" w:cs="Times New Roman" w:eastAsia="Times New Roman" w:hAnsi="Times New Roman"/>
          <w:sz w:val="16"/>
          <w:szCs w:val="16"/>
          <w:color w:val="auto"/>
        </w:rPr>
        <w:t>: (seal)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CLPS Shanghai Co., Ltd.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representative/principal person in charge or authorised agent (signature/name seal).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 address. 2F, Building 18, N0.498 Guoshoujing Road</w:t>
      </w:r>
      <w:r>
        <w:rPr>
          <w:rFonts w:ascii="Times New Roman" w:cs="Times New Roman" w:eastAsia="Times New Roman" w:hAnsi="Times New Roman"/>
          <w:sz w:val="16"/>
          <w:szCs w:val="16"/>
          <w:u w:val="single" w:color="auto"/>
          <w:color w:val="auto"/>
        </w:rPr>
        <w:t>, Pudong New Area, Shanghai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 e-mail address.</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fax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Contact mobile number.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Unit micro signal. </w:t>
      </w:r>
      <w:r>
        <w:rPr>
          <w:rFonts w:ascii="Times New Roman" w:cs="Times New Roman" w:eastAsia="Times New Roman" w:hAnsi="Times New Roman"/>
          <w:sz w:val="16"/>
          <w:szCs w:val="16"/>
          <w:u w:val="single" w:color="auto"/>
          <w:color w:val="auto"/>
        </w:rPr>
        <w:t>/</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Date: 2025.6.30</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7" w:name="page428"/>
    <w:bookmarkEnd w:id="427"/>
    <w:p>
      <w:pPr>
        <w:jc w:val="right"/>
        <w:spacing w:after="0"/>
        <w:rPr>
          <w:sz w:val="20"/>
          <w:szCs w:val="20"/>
          <w:color w:val="auto"/>
        </w:rPr>
      </w:pPr>
      <w:r>
        <w:rPr>
          <w:rFonts w:ascii="Times New Roman" w:cs="Times New Roman" w:eastAsia="Times New Roman" w:hAnsi="Times New Roman"/>
          <w:sz w:val="16"/>
          <w:szCs w:val="16"/>
          <w:b w:val="1"/>
          <w:bCs w:val="1"/>
          <w:color w:val="auto"/>
        </w:rPr>
        <w:t>Exhibit 10.23</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No.: Z2444LN15657967</w:t>
      </w:r>
    </w:p>
    <w:p>
      <w:pPr>
        <w:spacing w:after="0" w:line="200" w:lineRule="exact"/>
        <w:rPr>
          <w:sz w:val="20"/>
          <w:szCs w:val="20"/>
          <w:color w:val="auto"/>
        </w:rPr>
      </w:pPr>
    </w:p>
    <w:p>
      <w:pPr>
        <w:spacing w:after="0" w:line="37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Contract for Loans of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887730</wp:posOffset>
            </wp:positionV>
            <wp:extent cx="7147560" cy="152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40"/>
          </w:cols>
          <w:pgMar w:left="1440" w:top="313" w:right="319" w:bottom="1440" w:gutter="0" w:footer="0" w:header="0"/>
        </w:sectPr>
      </w:pPr>
    </w:p>
    <w:bookmarkStart w:id="428" w:name="page429"/>
    <w:bookmarkEnd w:id="428"/>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No.: </w:t>
      </w:r>
      <w:r>
        <w:rPr>
          <w:rFonts w:ascii="Times New Roman" w:cs="Times New Roman" w:eastAsia="Times New Roman" w:hAnsi="Times New Roman"/>
          <w:sz w:val="16"/>
          <w:szCs w:val="16"/>
          <w:color w:val="auto"/>
        </w:rPr>
        <w:t>Z2444LN15657967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137795</wp:posOffset>
            </wp:positionV>
            <wp:extent cx="5001895" cy="61087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5">
                      <a:extLst>
                        <a:ext uri="{28A0092B-C50C-407E-A947-70E740481C1C}"/>
                      </a:extLst>
                    </a:blip>
                    <a:srcRect/>
                    <a:stretch>
                      <a:fillRect/>
                    </a:stretch>
                  </pic:blipFill>
                  <pic:spPr bwMode="auto">
                    <a:xfrm>
                      <a:off x="0" y="0"/>
                      <a:ext cx="5001895" cy="610870"/>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Important Notes</w:t>
      </w:r>
    </w:p>
    <w:p>
      <w:pPr>
        <w:spacing w:after="0" w:line="201" w:lineRule="exact"/>
        <w:rPr>
          <w:sz w:val="20"/>
          <w:szCs w:val="20"/>
          <w:color w:val="auto"/>
        </w:rPr>
      </w:pPr>
    </w:p>
    <w:p>
      <w:pPr>
        <w:ind w:left="1780" w:right="1800"/>
        <w:spacing w:after="0" w:line="283" w:lineRule="auto"/>
        <w:rPr>
          <w:sz w:val="20"/>
          <w:szCs w:val="20"/>
          <w:color w:val="auto"/>
        </w:rPr>
      </w:pPr>
      <w:r>
        <w:rPr>
          <w:rFonts w:ascii="Times New Roman" w:cs="Times New Roman" w:eastAsia="Times New Roman" w:hAnsi="Times New Roman"/>
          <w:sz w:val="16"/>
          <w:szCs w:val="16"/>
          <w:color w:val="auto"/>
        </w:rPr>
        <w:t>Please read the full text of this contract carefully, especially those articles marked with ▲▲. Please inquire the loaner in case of any question.</w:t>
      </w:r>
    </w:p>
    <w:p>
      <w:pPr>
        <w:spacing w:after="0" w:line="240"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Whereas, the borrower applies to the loaner for the line of credit of current fund, both parties hereby enter into this contract through negotiations to clarify the obligations of each party.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 Definition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“Revolving line of credit” refers to the line of credit within which the borrower may apply for the loan for several times according to this contract.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“One time credit “refers to the borrower’s ability to apply for the use of the limit in one or multiple times as agreed in this contract to obtain a loan, but the cumulative amount of the loan withdrawn cannot exceed the agreed limit.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“Balance of loan” refers to the sum of principal of the outstanding loan that the borrower obtains under this contract.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“Balance of line of credit” refers to the balance of the line of credit deducted with the balance of loan (under the revolving line of credit) or total loan (under the one-time line of credit).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“Period of loan” refers to the period of each loan that both parties determine in the corresponding </w:t>
      </w:r>
      <w:r>
        <w:rPr>
          <w:rFonts w:ascii="Times New Roman" w:cs="Times New Roman" w:eastAsia="Times New Roman" w:hAnsi="Times New Roman"/>
          <w:sz w:val="16"/>
          <w:szCs w:val="16"/>
          <w:i w:val="1"/>
          <w:iCs w:val="1"/>
          <w:color w:val="auto"/>
        </w:rPr>
        <w:t>Application for Use of Line of Credit of Bank of Communications</w:t>
      </w:r>
      <w:r>
        <w:rPr>
          <w:rFonts w:ascii="Times New Roman" w:cs="Times New Roman" w:eastAsia="Times New Roman" w:hAnsi="Times New Roman"/>
          <w:sz w:val="16"/>
          <w:szCs w:val="16"/>
          <w:color w:val="auto"/>
        </w:rPr>
        <w:t xml:space="preserve"> (hereinafter referred to as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“Loan Market Quotation Rate (LPR)” refers to the loan market quotation rate applicable to RMB loans issued by the National Interbank Funding Center on the 20th day of each month (postponed in case of holidays).</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29" w:name="page430"/>
    <w:bookmarkEnd w:id="429"/>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56"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“Related person” refers to the authorized handler, agent, legal representative, responsible person, controlling shareholder or actual controller, beneficial owner and other direct or indirect related persons of the borrower.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30" w:name="page431"/>
    <w:bookmarkEnd w:id="430"/>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Terms including affiliate, affiliate transaction and major investor should contain the same meaning with those contained in the </w:t>
      </w:r>
      <w:r>
        <w:rPr>
          <w:rFonts w:ascii="Times New Roman" w:cs="Times New Roman" w:eastAsia="Times New Roman" w:hAnsi="Times New Roman"/>
          <w:sz w:val="16"/>
          <w:szCs w:val="16"/>
          <w:i w:val="1"/>
          <w:iCs w:val="1"/>
          <w:color w:val="auto"/>
        </w:rPr>
        <w:t>Accounting Standards for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Enterprises No.36 – Disclosure of Affiliates </w:t>
      </w:r>
      <w:r>
        <w:rPr>
          <w:rFonts w:ascii="Times New Roman" w:cs="Times New Roman" w:eastAsia="Times New Roman" w:hAnsi="Times New Roman"/>
          <w:sz w:val="16"/>
          <w:szCs w:val="16"/>
          <w:color w:val="auto"/>
        </w:rPr>
        <w:t>(CK [2006] No.3) published by the Ministry of Finance, as well as its subsequent revisions.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ESG risks: environmental, social, and governance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 Use of Line of Credit</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2.1 Each time when needing to use the line of credit, the borrower should submit the application to the loaner at least 5 business days in advance. The borrower should fill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to obtain the approval by the loaner before using the line of credit.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▲▲2.2 Use of the line of credit must meet following conditions:</w:t>
      </w:r>
    </w:p>
    <w:p>
      <w:pPr>
        <w:spacing w:after="0" w:line="201" w:lineRule="exact"/>
        <w:rPr>
          <w:sz w:val="20"/>
          <w:szCs w:val="20"/>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of loan (under the revolving line of credit) or total loan (under the one-time line of credit) is within the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of applied loan is within the balance of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date and issuance date are within the period of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 of loan and maturity date of loan comply with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2"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 contract (if any) under this contract is effective and surviving, and while the guarantee contract is in the form of mortgage contract and/or pledge contract, the secured real right is already set and surviving;</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19"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handled procedures to obtain licenses, approvals and registrations from the government necessary for the application for the loan, and such licenses, approvals or registrations are surviving;</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serious adverse change occurs in the operation status or financial status of the borrower after this contract takes effect;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by the borrower meets relevant rules and regulations of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does not violate this contract;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mode of the loan meets this contract and if the loaner is entrusted to make the payment, the loaner should agree with the payment;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6"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appointed the dedicated fund withdrawal account as required by the loaner and has signed the account management agreement.</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▲▲2.3 If the loaner agrees to issue the loan, the final issuance information should be subject to the column of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printed by the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Application for Use of Line of Credit </w:t>
      </w:r>
      <w:r>
        <w:rPr>
          <w:rFonts w:ascii="Times New Roman" w:cs="Times New Roman" w:eastAsia="Times New Roman" w:hAnsi="Times New Roman"/>
          <w:sz w:val="16"/>
          <w:szCs w:val="16"/>
          <w:color w:val="auto"/>
        </w:rPr>
        <w:t>should be regarded as the</w:t>
      </w:r>
      <w:r>
        <w:rPr>
          <w:rFonts w:ascii="Times New Roman" w:cs="Times New Roman" w:eastAsia="Times New Roman" w:hAnsi="Times New Roman"/>
          <w:sz w:val="16"/>
          <w:szCs w:val="16"/>
          <w:i w:val="1"/>
          <w:iCs w:val="1"/>
          <w:color w:val="auto"/>
        </w:rPr>
        <w:t xml:space="preserve"> Loan Certificate</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1" w:name="page432"/>
    <w:bookmarkEnd w:id="431"/>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 xml:space="preserve">▲▲2.4 If the currency of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▲▲2.5 After the borrower becomes the shareholder of the guarantor or the “actual controller” defined by the </w:t>
      </w:r>
      <w:r>
        <w:rPr>
          <w:rFonts w:ascii="Times New Roman" w:cs="Times New Roman" w:eastAsia="Times New Roman" w:hAnsi="Times New Roman"/>
          <w:sz w:val="16"/>
          <w:szCs w:val="16"/>
          <w:i w:val="1"/>
          <w:iCs w:val="1"/>
          <w:color w:val="auto"/>
        </w:rPr>
        <w:t>Company Law</w:t>
      </w:r>
      <w:r>
        <w:rPr>
          <w:rFonts w:ascii="Times New Roman" w:cs="Times New Roman" w:eastAsia="Times New Roman" w:hAnsi="Times New Roman"/>
          <w:sz w:val="16"/>
          <w:szCs w:val="16"/>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3. Interest Rate and Payment of Interest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3.1 Basic regulations on determining the interest rate</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spacing w:after="0" w:line="156" w:lineRule="exact"/>
        <w:rPr>
          <w:sz w:val="20"/>
          <w:szCs w:val="20"/>
          <w:color w:val="auto"/>
        </w:rPr>
      </w:pPr>
    </w:p>
    <w:p>
      <w:pPr>
        <w:jc w:val="both"/>
        <w:ind w:right="20" w:firstLine="289"/>
        <w:spacing w:after="0" w:line="256" w:lineRule="auto"/>
        <w:rPr>
          <w:sz w:val="20"/>
          <w:szCs w:val="20"/>
          <w:color w:val="auto"/>
        </w:rPr>
      </w:pPr>
      <w:r>
        <w:rPr>
          <w:rFonts w:ascii="Times New Roman" w:cs="Times New Roman" w:eastAsia="Times New Roman" w:hAnsi="Times New Roman"/>
          <w:sz w:val="16"/>
          <w:szCs w:val="16"/>
          <w:color w:val="auto"/>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spacing w:after="0" w:line="165"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▲▲3.2 Interest rate of loan</w:t>
      </w:r>
    </w:p>
    <w:p>
      <w:pPr>
        <w:spacing w:after="0" w:line="201"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32" w:name="page433"/>
    <w:bookmarkEnd w:id="432"/>
    <w:p>
      <w:pPr>
        <w:ind w:left="280"/>
        <w:spacing w:after="0"/>
        <w:rPr>
          <w:sz w:val="20"/>
          <w:szCs w:val="20"/>
          <w:color w:val="auto"/>
        </w:rPr>
      </w:pPr>
      <w:r>
        <w:rPr>
          <w:rFonts w:ascii="Times New Roman" w:cs="Times New Roman" w:eastAsia="Times New Roman" w:hAnsi="Times New Roman"/>
          <w:sz w:val="16"/>
          <w:szCs w:val="16"/>
          <w:color w:val="auto"/>
        </w:rPr>
        <w:t>3.3 Adjustment of interest rate</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3.3.1 Once the interest rate is recorded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as fixed, such interest rate should apply to the loan within the period of loan.</w:t>
      </w:r>
    </w:p>
    <w:p>
      <w:pPr>
        <w:spacing w:after="0" w:line="20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▲▲3.3.2 Once the interest rate is recorded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and the adjusted interest rate should apply since the interest rate adjustment date.</w:t>
      </w:r>
    </w:p>
    <w:p>
      <w:pPr>
        <w:spacing w:after="0" w:line="155"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spacing w:after="0" w:line="165"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spacing w:after="0" w:line="16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▲▲3.3.4 Both parties may adjust the fluctuation extent or increase (decrease) value of the corresponding loan interest rate through negotiation at each adjustment date of loan interest rate.</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3" w:name="page434"/>
    <w:bookmarkEnd w:id="433"/>
    <w:p>
      <w:pPr>
        <w:ind w:left="280"/>
        <w:spacing w:after="0"/>
        <w:rPr>
          <w:sz w:val="20"/>
          <w:szCs w:val="20"/>
          <w:color w:val="auto"/>
        </w:rPr>
      </w:pPr>
      <w:r>
        <w:rPr>
          <w:rFonts w:ascii="Times New Roman" w:cs="Times New Roman" w:eastAsia="Times New Roman" w:hAnsi="Times New Roman"/>
          <w:sz w:val="16"/>
          <w:szCs w:val="16"/>
          <w:color w:val="auto"/>
        </w:rPr>
        <w:t>3.5 Calculation of interest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the pricing benchmark is the loan market quoted rate (LPR), the pricing benchmark value applicable to T day is the latest published loan market quoted rate (LPR) value before T day.</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spacing w:after="0" w:line="165"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spacing w:after="0" w:line="165"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3.5.2 Normal interest=interest rate agreed herein × Loan amount × Number of days occupied.</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4" w:name="page435"/>
    <w:bookmarkEnd w:id="434"/>
    <w:p>
      <w:pPr>
        <w:ind w:left="280"/>
        <w:spacing w:after="0"/>
        <w:rPr>
          <w:sz w:val="20"/>
          <w:szCs w:val="20"/>
          <w:color w:val="auto"/>
        </w:rPr>
      </w:pPr>
      <w:r>
        <w:rPr>
          <w:rFonts w:ascii="Times New Roman" w:cs="Times New Roman" w:eastAsia="Times New Roman" w:hAnsi="Times New Roman"/>
          <w:sz w:val="16"/>
          <w:szCs w:val="16"/>
          <w:color w:val="auto"/>
        </w:rPr>
        <w:t>3.5.4 If there are many decimal places of interest/penalty interest calculated, the lender will retain two decimal places according to the rounding method.</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▲▲3.6 If the borrower repays the loan in advance or the loaner withdraws the loan in advance according to this contract, the corresponding interest rate shall still be subject to that specified in this contract.</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4. Payment of Loan</w:t>
      </w:r>
    </w:p>
    <w:p>
      <w:pPr>
        <w:spacing w:after="0" w:line="20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4.2 When drawing the loan according to this contract, the borrower should clarify the payment mode (entrusted payment by loaner or independent payment by borrower) and only one mode is applicable in each time of drawing.</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amount of a single payment is beyond the limit of the independent payment or any condition specified in Article 19.3, the mode of entrusted payment should apply.</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When choosing the mode of entrusted payment by the loaner, the borrower should submit the loaner with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55" w:lineRule="exact"/>
        <w:rPr>
          <w:sz w:val="20"/>
          <w:szCs w:val="20"/>
          <w:color w:val="auto"/>
        </w:rPr>
      </w:pPr>
    </w:p>
    <w:p>
      <w:pPr>
        <w:ind w:right="20" w:firstLine="285"/>
        <w:spacing w:after="0" w:line="283" w:lineRule="auto"/>
        <w:tabs>
          <w:tab w:leader="none" w:pos="665"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43" w:lineRule="exact"/>
        <w:rPr>
          <w:rFonts w:ascii="Times New Roman" w:cs="Times New Roman" w:eastAsia="Times New Roman" w:hAnsi="Times New Roman"/>
          <w:sz w:val="16"/>
          <w:szCs w:val="16"/>
          <w:color w:val="auto"/>
        </w:rPr>
      </w:pPr>
    </w:p>
    <w:p>
      <w:pPr>
        <w:jc w:val="both"/>
        <w:ind w:firstLine="285"/>
        <w:spacing w:after="0" w:line="267" w:lineRule="auto"/>
        <w:tabs>
          <w:tab w:leader="none" w:pos="649"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56"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5" w:name="page436"/>
    <w:bookmarkEnd w:id="435"/>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When choosing the mode of independent payment by the borrower, the borrower should submit the loaner with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5. Repayment of Loan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5.1 The borrower should make the repayment according to the date and amount specified in the corresponding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▲▲5.2 Without the written consent from the loaner, the borrower may not repay the loan in advance.</w:t>
      </w:r>
    </w:p>
    <w:p>
      <w:pPr>
        <w:spacing w:after="0" w:line="199"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▲▲5.3 The repayment schedule of principal and interest agreed by the borrower and the loaner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▲▲5.4 When the amount repaid by the borrower is insufficient to cover all the debt of the borrower:</w:t>
      </w:r>
    </w:p>
    <w:p>
      <w:pPr>
        <w:spacing w:after="0" w:line="201" w:lineRule="exact"/>
        <w:rPr>
          <w:sz w:val="20"/>
          <w:szCs w:val="20"/>
          <w:color w:val="auto"/>
        </w:rPr>
      </w:pPr>
    </w:p>
    <w:p>
      <w:pPr>
        <w:jc w:val="both"/>
        <w:ind w:right="20" w:firstLine="285"/>
        <w:spacing w:after="0" w:line="267" w:lineRule="auto"/>
        <w:tabs>
          <w:tab w:leader="none" w:pos="519"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532"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6. Representation and Guarantee of Borrower</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6.1 The borrower is legally incorporated and surviving, possesses all the necessary capacities, perform obligations under this contract it its own name and assumes civil liabilities.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6.2 Signing and performing this contract are the true intention of the borrower that they must obtain all the necessary approvals, permissions and authorizations to contain no legal defect.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36" w:name="page437"/>
    <w:bookmarkEnd w:id="436"/>
    <w:p>
      <w:pPr>
        <w:jc w:val="both"/>
        <w:ind w:firstLine="285"/>
        <w:spacing w:after="0" w:line="261" w:lineRule="auto"/>
        <w:tabs>
          <w:tab w:leader="none" w:pos="682"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6.7 According to the ESG risks faced by the borrower’s industry, if the borrower belongs to Class A or Class B customers, the borrower promises:</w:t>
      </w:r>
    </w:p>
    <w:p>
      <w:pPr>
        <w:spacing w:after="0" w:line="201" w:lineRule="exact"/>
        <w:rPr>
          <w:sz w:val="20"/>
          <w:szCs w:val="20"/>
          <w:color w:val="auto"/>
        </w:rPr>
      </w:pPr>
    </w:p>
    <w:p>
      <w:pPr>
        <w:ind w:left="520" w:hanging="235"/>
        <w:spacing w:after="0"/>
        <w:tabs>
          <w:tab w:leader="none" w:pos="52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internal management documents related to ESG risks comply with laws and regulations and are effectively implemented;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 major litigation cases involving ESG risks;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behaviors and performances of the borrower related to ESG risks are compliant.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7. Rights and Obligations of Loaner</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56" w:lineRule="exact"/>
        <w:rPr>
          <w:sz w:val="20"/>
          <w:szCs w:val="20"/>
          <w:color w:val="auto"/>
        </w:rPr>
      </w:pPr>
    </w:p>
    <w:p>
      <w:pPr>
        <w:jc w:val="both"/>
        <w:ind w:firstLine="285"/>
        <w:spacing w:after="0" w:line="267" w:lineRule="auto"/>
        <w:tabs>
          <w:tab w:leader="none" w:pos="471"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56" w:lineRule="exact"/>
        <w:rPr>
          <w:sz w:val="20"/>
          <w:szCs w:val="20"/>
          <w:color w:val="auto"/>
        </w:rPr>
      </w:pPr>
    </w:p>
    <w:p>
      <w:pPr>
        <w:jc w:val="both"/>
        <w:ind w:right="20" w:firstLine="285"/>
        <w:spacing w:after="0" w:line="267" w:lineRule="auto"/>
        <w:tabs>
          <w:tab w:leader="none" w:pos="647"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8. Obligations of Borrower</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8.1 The borrower should repay the principal and interest of loan under this contract according to the time, amount, currency and interest rate specified in this contract and the corresponding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7" w:name="page438"/>
    <w:bookmarkEnd w:id="437"/>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8.2 The borrower should use the line of credit for the purpose specified in this contract and use the loan for the purpose specified in the corresponding </w:t>
      </w:r>
      <w:r>
        <w:rPr>
          <w:rFonts w:ascii="Times New Roman" w:cs="Times New Roman" w:eastAsia="Times New Roman" w:hAnsi="Times New Roman"/>
          <w:sz w:val="16"/>
          <w:szCs w:val="16"/>
          <w:i w:val="1"/>
          <w:iCs w:val="1"/>
          <w:color w:val="auto"/>
        </w:rPr>
        <w:t>Application for Use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of Line of Credit </w:t>
      </w:r>
      <w:r>
        <w:rPr>
          <w:rFonts w:ascii="Times New Roman" w:cs="Times New Roman" w:eastAsia="Times New Roman" w:hAnsi="Times New Roman"/>
          <w:sz w:val="16"/>
          <w:szCs w:val="16"/>
          <w:color w:val="auto"/>
        </w:rPr>
        <w:t>but may not embezzle the loan for any other purpose, or the investment in fixed assets, equity or any production or operation prohibited by the government.</w:t>
      </w:r>
    </w:p>
    <w:p>
      <w:pPr>
        <w:spacing w:after="0" w:line="14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56" w:lineRule="exact"/>
        <w:rPr>
          <w:sz w:val="20"/>
          <w:szCs w:val="20"/>
          <w:color w:val="auto"/>
        </w:rPr>
      </w:pPr>
    </w:p>
    <w:p>
      <w:pPr>
        <w:jc w:val="both"/>
        <w:ind w:firstLine="285"/>
        <w:spacing w:after="0" w:line="267" w:lineRule="auto"/>
        <w:tabs>
          <w:tab w:leader="none" w:pos="473"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spacing w:after="0" w:line="156"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loan fund payment involves cross-border payment, the loan fund payment may be handled through the SWIFT system or other systems.</w:t>
      </w:r>
    </w:p>
    <w:p>
      <w:pPr>
        <w:spacing w:after="0" w:line="201"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6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43" w:lineRule="exact"/>
        <w:rPr>
          <w:sz w:val="20"/>
          <w:szCs w:val="20"/>
          <w:color w:val="auto"/>
        </w:rPr>
      </w:pPr>
    </w:p>
    <w:p>
      <w:pPr>
        <w:ind w:left="520" w:hanging="235"/>
        <w:spacing w:after="0"/>
        <w:tabs>
          <w:tab w:leader="none" w:pos="52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sells, presents, leases, lends, transfers, mortgages, pledges or disposes in any other manner all or a large part of the assets or important assets;</w:t>
      </w:r>
    </w:p>
    <w:p>
      <w:pPr>
        <w:spacing w:after="0" w:line="200" w:lineRule="exact"/>
        <w:rPr>
          <w:rFonts w:ascii="Times New Roman" w:cs="Times New Roman" w:eastAsia="Times New Roman" w:hAnsi="Times New Roman"/>
          <w:sz w:val="16"/>
          <w:szCs w:val="16"/>
          <w:color w:val="auto"/>
        </w:rPr>
      </w:pPr>
    </w:p>
    <w:p>
      <w:pPr>
        <w:jc w:val="both"/>
        <w:ind w:firstLine="285"/>
        <w:spacing w:after="0" w:line="267" w:lineRule="auto"/>
        <w:tabs>
          <w:tab w:leader="none" w:pos="529"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external investment or increase of debt financing of the borrower exceeds the agreed limit.</w:t>
      </w:r>
    </w:p>
    <w:p>
      <w:pPr>
        <w:spacing w:after="0" w:line="201"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spacing w:after="0" w:line="143" w:lineRule="exact"/>
        <w:rPr>
          <w:sz w:val="20"/>
          <w:szCs w:val="20"/>
          <w:color w:val="auto"/>
        </w:rPr>
      </w:pPr>
    </w:p>
    <w:p>
      <w:pPr>
        <w:ind w:firstLine="285"/>
        <w:spacing w:after="0" w:line="283" w:lineRule="auto"/>
        <w:tabs>
          <w:tab w:leader="none" w:pos="540"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38" w:name="page439"/>
    <w:bookmarkEnd w:id="438"/>
    <w:p>
      <w:pPr>
        <w:ind w:left="520" w:hanging="235"/>
        <w:spacing w:after="0"/>
        <w:tabs>
          <w:tab w:leader="none" w:pos="5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its affiliate or guarantor plans to apply for bankruptcy or may be or has been applied by the creditor for bankruptcy;</w:t>
      </w:r>
    </w:p>
    <w:p>
      <w:pPr>
        <w:spacing w:after="0" w:line="200"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16"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55"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provides any guarantee to any third party to affect its economic status, financial status or capability in performing obligations under this contract significantly;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enters into any contract with significant influence on its operation and financial status;</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8"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its affiliate or guarantor is shut down, closed, dissolved, suspended, cancelled, or the business license is withdrawn;</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7"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18"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any affiliated transaction and its amount reaches or exceeds 10% of the latest audited net assets;</w:t>
      </w:r>
    </w:p>
    <w:p>
      <w:pPr>
        <w:spacing w:after="0" w:line="198" w:lineRule="exact"/>
        <w:rPr>
          <w:rFonts w:ascii="Times New Roman" w:cs="Times New Roman" w:eastAsia="Times New Roman" w:hAnsi="Times New Roman"/>
          <w:sz w:val="16"/>
          <w:szCs w:val="16"/>
          <w:color w:val="auto"/>
        </w:rPr>
      </w:pPr>
    </w:p>
    <w:p>
      <w:pPr>
        <w:ind w:right="20" w:firstLine="285"/>
        <w:spacing w:after="0" w:line="285" w:lineRule="auto"/>
        <w:tabs>
          <w:tab w:leader="none" w:pos="591"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Before repaying all the debts under this contract, the borrower becomes or may become the shareholder or the “actual controller” defined by the </w:t>
      </w:r>
      <w:r>
        <w:rPr>
          <w:rFonts w:ascii="Times New Roman" w:cs="Times New Roman" w:eastAsia="Times New Roman" w:hAnsi="Times New Roman"/>
          <w:sz w:val="16"/>
          <w:szCs w:val="16"/>
          <w:i w:val="1"/>
          <w:iCs w:val="1"/>
          <w:color w:val="auto"/>
        </w:rPr>
        <w:t>Company Law</w:t>
      </w:r>
      <w:r>
        <w:rPr>
          <w:rFonts w:ascii="Times New Roman" w:cs="Times New Roman" w:eastAsia="Times New Roman" w:hAnsi="Times New Roman"/>
          <w:sz w:val="16"/>
          <w:szCs w:val="16"/>
          <w:color w:val="auto"/>
        </w:rPr>
        <w:t xml:space="preserve"> of the guarantor;</w:t>
      </w:r>
    </w:p>
    <w:p>
      <w:pPr>
        <w:spacing w:after="0" w:line="142"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causes any liability accident or is made public by the media by violating any law, rule, regulation, national policy or industrial standard;</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encounters any safety or environment protection accident;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relationship between the affiliate and the borrower is changed;</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encounters any significant equity change;</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opinion issued by the external audit of the borrower on its financial statements is not the standard unreserved opinion;</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9"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or may be investigated, punished or taken with other similar measures by the competent authority as it violates the law or rule and/or regulatory requirement;</w:t>
      </w:r>
    </w:p>
    <w:p>
      <w:pPr>
        <w:spacing w:after="0" w:line="143" w:lineRule="exact"/>
        <w:rPr>
          <w:rFonts w:ascii="Times New Roman" w:cs="Times New Roman" w:eastAsia="Times New Roman" w:hAnsi="Times New Roman"/>
          <w:sz w:val="16"/>
          <w:szCs w:val="16"/>
          <w:color w:val="auto"/>
        </w:rPr>
      </w:pPr>
    </w:p>
    <w:p>
      <w:pPr>
        <w:ind w:left="20" w:right="20" w:firstLine="288"/>
        <w:spacing w:after="0" w:line="283" w:lineRule="auto"/>
        <w:tabs>
          <w:tab w:leader="none" w:pos="635" w:val="left"/>
        </w:tabs>
        <w:numPr>
          <w:ilvl w:val="1"/>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is listed to be sanctioned by the UN, EU or US, or the country or area where the borrower or its affiliate resides in is listed to be sanctioned by the UN, EU or 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9" w:name="page440"/>
    <w:bookmarkEnd w:id="439"/>
    <w:p>
      <w:pPr>
        <w:ind w:left="600" w:hanging="315"/>
        <w:spacing w:after="0"/>
        <w:tabs>
          <w:tab w:leader="none" w:pos="600"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any other event with serious adverse influence on the solvency of the borrower or its affiliate.</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0"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lender’s environmental and social risk assessment standards, if the borrower is a customer with environmental and social risks classified as A or B, the borrower has or may have any of the following events:</w:t>
      </w:r>
    </w:p>
    <w:p>
      <w:pPr>
        <w:spacing w:after="0" w:line="143" w:lineRule="exact"/>
        <w:rPr>
          <w:sz w:val="20"/>
          <w:szCs w:val="20"/>
          <w:color w:val="auto"/>
        </w:rPr>
      </w:pPr>
    </w:p>
    <w:p>
      <w:pPr>
        <w:ind w:left="460" w:hanging="175"/>
        <w:spacing w:after="0"/>
        <w:tabs>
          <w:tab w:leader="none" w:pos="460" w:val="left"/>
        </w:tabs>
        <w:numPr>
          <w:ilvl w:val="0"/>
          <w:numId w:val="40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Various permits, approvals and approvals related to environment, society and risks during commencement, construction, operation and shutdown;</w:t>
      </w:r>
    </w:p>
    <w:p>
      <w:pPr>
        <w:spacing w:after="0" w:line="201" w:lineRule="exact"/>
        <w:rPr>
          <w:sz w:val="20"/>
          <w:szCs w:val="20"/>
          <w:color w:val="auto"/>
        </w:rPr>
      </w:pPr>
    </w:p>
    <w:p>
      <w:pPr>
        <w:ind w:right="20" w:firstLine="285"/>
        <w:spacing w:after="0" w:line="283" w:lineRule="auto"/>
        <w:tabs>
          <w:tab w:leader="none" w:pos="506" w:val="left"/>
        </w:tabs>
        <w:numPr>
          <w:ilvl w:val="0"/>
          <w:numId w:val="41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assessment and inspection of the environmental and social risks of the borrower by the environmental and social risk regulatory authority or its recognized institution;</w:t>
      </w:r>
    </w:p>
    <w:p>
      <w:pPr>
        <w:spacing w:after="0" w:line="143" w:lineRule="exact"/>
        <w:rPr>
          <w:sz w:val="20"/>
          <w:szCs w:val="20"/>
          <w:color w:val="auto"/>
        </w:rPr>
      </w:pPr>
    </w:p>
    <w:p>
      <w:pPr>
        <w:ind w:left="460" w:hanging="175"/>
        <w:spacing w:after="0"/>
        <w:tabs>
          <w:tab w:leader="none" w:pos="460" w:val="left"/>
        </w:tabs>
        <w:numPr>
          <w:ilvl w:val="0"/>
          <w:numId w:val="41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Supporting construction and operation of environmental facilities;</w:t>
      </w:r>
    </w:p>
    <w:p>
      <w:pPr>
        <w:spacing w:after="0" w:line="201" w:lineRule="exact"/>
        <w:rPr>
          <w:sz w:val="20"/>
          <w:szCs w:val="20"/>
          <w:color w:val="auto"/>
        </w:rPr>
      </w:pPr>
    </w:p>
    <w:p>
      <w:pPr>
        <w:ind w:left="460" w:hanging="175"/>
        <w:spacing w:after="0"/>
        <w:tabs>
          <w:tab w:leader="none" w:pos="460" w:val="left"/>
        </w:tabs>
        <w:numPr>
          <w:ilvl w:val="0"/>
          <w:numId w:val="41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Discharge and compliance of pollutants;</w:t>
      </w:r>
    </w:p>
    <w:p>
      <w:pPr>
        <w:spacing w:after="0" w:line="201" w:lineRule="exact"/>
        <w:rPr>
          <w:sz w:val="20"/>
          <w:szCs w:val="20"/>
          <w:color w:val="auto"/>
        </w:rPr>
      </w:pPr>
    </w:p>
    <w:p>
      <w:pPr>
        <w:ind w:left="460" w:hanging="175"/>
        <w:spacing w:after="0"/>
        <w:tabs>
          <w:tab w:leader="none" w:pos="460" w:val="left"/>
        </w:tabs>
        <w:numPr>
          <w:ilvl w:val="0"/>
          <w:numId w:val="4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Safety and health of employees;</w:t>
      </w:r>
    </w:p>
    <w:p>
      <w:pPr>
        <w:spacing w:after="0" w:line="201" w:lineRule="exact"/>
        <w:rPr>
          <w:sz w:val="20"/>
          <w:szCs w:val="20"/>
          <w:color w:val="auto"/>
        </w:rPr>
      </w:pPr>
    </w:p>
    <w:p>
      <w:pPr>
        <w:ind w:left="460" w:hanging="175"/>
        <w:spacing w:after="0"/>
        <w:tabs>
          <w:tab w:leader="none" w:pos="460" w:val="left"/>
        </w:tabs>
        <w:numPr>
          <w:ilvl w:val="0"/>
          <w:numId w:val="41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Major complaints and protests from neighboring communities against the borrower;</w:t>
      </w:r>
    </w:p>
    <w:p>
      <w:pPr>
        <w:spacing w:after="0" w:line="201" w:lineRule="exact"/>
        <w:rPr>
          <w:sz w:val="20"/>
          <w:szCs w:val="20"/>
          <w:color w:val="auto"/>
        </w:rPr>
      </w:pPr>
    </w:p>
    <w:p>
      <w:pPr>
        <w:ind w:left="460" w:hanging="175"/>
        <w:spacing w:after="0"/>
        <w:tabs>
          <w:tab w:leader="none" w:pos="460" w:val="left"/>
        </w:tabs>
        <w:numPr>
          <w:ilvl w:val="0"/>
          <w:numId w:val="4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Major environmental and social claims;</w:t>
      </w:r>
    </w:p>
    <w:p>
      <w:pPr>
        <w:spacing w:after="0" w:line="201" w:lineRule="exact"/>
        <w:rPr>
          <w:sz w:val="20"/>
          <w:szCs w:val="20"/>
          <w:color w:val="auto"/>
        </w:rPr>
      </w:pPr>
    </w:p>
    <w:p>
      <w:pPr>
        <w:ind w:left="460" w:hanging="175"/>
        <w:spacing w:after="0"/>
        <w:tabs>
          <w:tab w:leader="none" w:pos="460" w:val="left"/>
        </w:tabs>
        <w:numPr>
          <w:ilvl w:val="0"/>
          <w:numId w:val="4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major circumstances that the lender considers relevant to ESG risks.</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▲▲8.7 In case of any change of guarantee under this contract that is adverse to the creditor’s right of the loaner, the borrower should provide other guarantee recognized by the loaner in time.</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8"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40" w:name="page441"/>
    <w:bookmarkEnd w:id="440"/>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8.10 According to the lender’s environmental and social risk assessment standards, if the borrower is a customer with environmental and social risks classified as A or B, the borrower shall assume the following obligations:</w:t>
      </w:r>
    </w:p>
    <w:p>
      <w:pPr>
        <w:spacing w:after="0" w:line="143" w:lineRule="exact"/>
        <w:rPr>
          <w:sz w:val="20"/>
          <w:szCs w:val="20"/>
          <w:color w:val="auto"/>
        </w:rPr>
      </w:pPr>
    </w:p>
    <w:p>
      <w:pPr>
        <w:ind w:right="20" w:firstLine="285"/>
        <w:spacing w:after="0" w:line="283" w:lineRule="auto"/>
        <w:tabs>
          <w:tab w:leader="none" w:pos="53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improve the internal management system of environmental and social risks, and specify the responsibilities, obligations and punishment measures of relevant responsible personnel of the borrower;</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improve the emergency response mechanism and measures for environmental and social risk emergencies;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special departments and/or designate special personnel to be responsible for environmental and social risks;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lender or a third party recognized by the lender in the assessment and inspection of the borrower’s environmental and social risks;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46"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 appropriately or take other necessary actions when the public or other interested parties strongly question the borrower’s performance in controlling environmental and social risks;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32"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Urge the borrower’s vital related parties to strengthen management and prevent the environmental and social risks of related parties from being transmitted to the borrower;</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 other obligations that the lender considers relevant to the control of environmental and social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9. Adjustment of Line of Credit, Acceleration of Maturity and Repricing of Risk</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9.1 Any event below should be deemed as the “early maturity event” of this contract:</w:t>
      </w:r>
    </w:p>
    <w:p>
      <w:pPr>
        <w:spacing w:after="0" w:line="199" w:lineRule="exact"/>
        <w:rPr>
          <w:sz w:val="20"/>
          <w:szCs w:val="20"/>
          <w:color w:val="auto"/>
        </w:rPr>
      </w:pPr>
    </w:p>
    <w:p>
      <w:pPr>
        <w:ind w:left="520" w:hanging="235"/>
        <w:spacing w:after="0"/>
        <w:tabs>
          <w:tab w:leader="none" w:pos="5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does not repay the principal or interest of the loan according to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under this contract;</w:t>
      </w:r>
    </w:p>
    <w:p>
      <w:pPr>
        <w:spacing w:after="0" w:line="202"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makes any false representation or guarantee under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should be notified as specified in Article 8.6 occurs and influences or may influence the security of the creditor’s right of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 rule or regulatory policy is changed to the extent that the loaner will or may violate the law or rule if it issues the loan according to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performing the contract with the loaner or any third party, the borrower conducts any breach or the debt may be or has been announced to be mature in advance;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breaches any other article of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lender’s environmental and social risk assessment standards, if the borrower’s environmental and social risks are classified as A or B, the borrower has any of the following events:</w:t>
      </w:r>
    </w:p>
    <w:p>
      <w:pPr>
        <w:spacing w:after="0" w:line="143" w:lineRule="exact"/>
        <w:rPr>
          <w:sz w:val="20"/>
          <w:szCs w:val="20"/>
          <w:color w:val="auto"/>
        </w:rPr>
      </w:pPr>
    </w:p>
    <w:p>
      <w:pPr>
        <w:ind w:left="460" w:hanging="175"/>
        <w:spacing w:after="0"/>
        <w:tabs>
          <w:tab w:leader="none" w:pos="460" w:val="left"/>
        </w:tabs>
        <w:numPr>
          <w:ilvl w:val="0"/>
          <w:numId w:val="41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is punished by relevant government departments due to poor environmental and social risk management;</w:t>
      </w:r>
    </w:p>
    <w:p>
      <w:pPr>
        <w:spacing w:after="0" w:line="201" w:lineRule="exact"/>
        <w:rPr>
          <w:sz w:val="20"/>
          <w:szCs w:val="20"/>
          <w:color w:val="auto"/>
        </w:rPr>
      </w:pPr>
    </w:p>
    <w:p>
      <w:pPr>
        <w:ind w:firstLine="285"/>
        <w:spacing w:after="0" w:line="283" w:lineRule="auto"/>
        <w:tabs>
          <w:tab w:leader="none" w:pos="495" w:val="left"/>
        </w:tabs>
        <w:numPr>
          <w:ilvl w:val="0"/>
          <w:numId w:val="42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is strongly questioned by the public and/or the media due to poor environmental and social risk management, and it is verified that there are relevant situations;</w:t>
      </w:r>
    </w:p>
    <w:p>
      <w:pPr>
        <w:spacing w:after="0" w:line="143" w:lineRule="exact"/>
        <w:rPr>
          <w:sz w:val="20"/>
          <w:szCs w:val="20"/>
          <w:color w:val="auto"/>
        </w:rPr>
      </w:pPr>
    </w:p>
    <w:p>
      <w:pPr>
        <w:ind w:left="460" w:hanging="175"/>
        <w:spacing w:after="0"/>
        <w:tabs>
          <w:tab w:leader="none" w:pos="460" w:val="left"/>
        </w:tabs>
        <w:numPr>
          <w:ilvl w:val="0"/>
          <w:numId w:val="42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violates the obligations related to environmental and social risk management agreed with the lender in other contracts.</w:t>
      </w:r>
    </w:p>
    <w:p>
      <w:pPr>
        <w:spacing w:after="0" w:line="200" w:lineRule="exact"/>
        <w:rPr>
          <w:rFonts w:ascii="MS PGothic" w:cs="MS PGothic" w:eastAsia="MS PGothic" w:hAnsi="MS PGothic"/>
          <w:sz w:val="16"/>
          <w:szCs w:val="16"/>
          <w:color w:val="auto"/>
        </w:rPr>
      </w:pPr>
    </w:p>
    <w:p>
      <w:pPr>
        <w:ind w:left="2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9.2 In case of any “early maturity event”, the loaner may take any one, several or all measures below:</w:t>
      </w:r>
    </w:p>
    <w:p>
      <w:pPr>
        <w:spacing w:after="0" w:line="200" w:lineRule="exact"/>
        <w:rPr>
          <w:rFonts w:ascii="MS PGothic" w:cs="MS PGothic" w:eastAsia="MS PGothic" w:hAnsi="MS PGothic"/>
          <w:sz w:val="16"/>
          <w:szCs w:val="16"/>
          <w:color w:val="auto"/>
        </w:rPr>
      </w:pPr>
    </w:p>
    <w:p>
      <w:pPr>
        <w:ind w:left="2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(1) To lower, suspend or cancel the line of credit under this contract;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41" w:name="page442"/>
    <w:bookmarkEnd w:id="441"/>
    <w:p>
      <w:pPr>
        <w:ind w:left="520" w:hanging="235"/>
        <w:spacing w:after="0"/>
        <w:tabs>
          <w:tab w:leader="none" w:pos="5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stop issuing the loan unused by the borrower;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stop paying the loan unused but already withdrawn by the borrower;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require the borrower to supplement the issuance and payment conditions of loan to the loaner with the regulated period;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require the borrower to change the payment mode as required by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reprice against the risk in executing the loan according to Article 9.3;</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19"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announce that the principal of loan already issued under this contract becomes mature and require the borrower to repay the principal and interest of all the mature loan immediately.</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9.3.1 The repricing mentioned above consists of two modes, including repricing and directly raising the loan interest rate. The specific mode is agreed by both parties in Article 21.</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9.3.3 “Direct raise of loan interest rate” means that the loaner may directly raise the loan interest rate according to this article and Article 21.</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9.3.3.1 Since the loan sends a notice of “repricing date” to the borrower, the loan interest rate should be applied to each loan that the borrower has not repaid by the “repricing date”.</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9.3.3.3 If the loan currency is other than RMB, US dollar, Euro, Hong Kong dollar, Japanese yen and British pound, the increased loan interest rate shall be determined according to Article 21.2.2.</w:t>
      </w:r>
    </w:p>
    <w:p>
      <w:pPr>
        <w:spacing w:after="0" w:line="143"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6"/>
          <w:szCs w:val="16"/>
          <w:b w:val="1"/>
          <w:bCs w:val="1"/>
          <w:color w:val="auto"/>
        </w:rPr>
        <w:t>▲▲Article 10. Breach</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11. Deduction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11.2 After such deduction, the loaner should inform the borrower of relevant account number, contract number, number of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deduction amount and remaining debt.</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11.3 If the deducted fund is insufficient to repay all the debt of the borrower, the debt to be repaid by such fund should be determined according to this contract.</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12. Notice</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56" w:lineRule="exact"/>
        <w:rPr>
          <w:sz w:val="20"/>
          <w:szCs w:val="20"/>
          <w:color w:val="auto"/>
        </w:rPr>
      </w:pPr>
    </w:p>
    <w:p>
      <w:pPr>
        <w:ind w:right="20" w:firstLine="285"/>
        <w:spacing w:after="0" w:line="283" w:lineRule="auto"/>
        <w:tabs>
          <w:tab w:leader="none" w:pos="533"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announcement, the date at which the loaner publishes the announcement on its website, online bank, telephone bank or outlet should be deemed as the delivery date;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personal delivery, the date at which the borrower signs to confirm the reception should be deemed as the delivery date;</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2"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43" w:name="page444"/>
    <w:bookmarkEnd w:id="443"/>
    <w:p>
      <w:pPr>
        <w:jc w:val="both"/>
        <w:ind w:right="20" w:firstLine="285"/>
        <w:spacing w:after="0" w:line="267" w:lineRule="auto"/>
        <w:tabs>
          <w:tab w:leader="none" w:pos="518"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12.4 This clause is an independent dispute resolution clause in the contract. If the contract is invalid, canceled or terminated, the validity of this clause will not be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13. Disclosure and Confidentiality</w:t>
      </w:r>
    </w:p>
    <w:p>
      <w:pPr>
        <w:spacing w:after="0" w:line="20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spacing w:after="0" w:line="156" w:lineRule="exact"/>
        <w:rPr>
          <w:sz w:val="20"/>
          <w:szCs w:val="20"/>
          <w:color w:val="auto"/>
        </w:rPr>
      </w:pPr>
    </w:p>
    <w:p>
      <w:pPr>
        <w:ind w:left="520" w:hanging="235"/>
        <w:spacing w:after="0"/>
        <w:tabs>
          <w:tab w:leader="none" w:pos="5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required by applicable laws and regulations;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required by judicial departments or regulatory agencies in accordance with the law;</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5"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implementation of other actions to safeguard public interests or the legitimate rights and interests of borrowers;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or authorizes the lender to disclose.</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13.2 The borrower confirms that it has signed the </w:t>
      </w:r>
      <w:r>
        <w:rPr>
          <w:rFonts w:ascii="Times New Roman" w:cs="Times New Roman" w:eastAsia="Times New Roman" w:hAnsi="Times New Roman"/>
          <w:sz w:val="16"/>
          <w:szCs w:val="16"/>
          <w:i w:val="1"/>
          <w:iCs w:val="1"/>
          <w:color w:val="auto"/>
        </w:rPr>
        <w:t>Credit Information Inquiry and Provision Authorization</w:t>
      </w:r>
      <w:r>
        <w:rPr>
          <w:rFonts w:ascii="Times New Roman" w:cs="Times New Roman" w:eastAsia="Times New Roman" w:hAnsi="Times New Roman"/>
          <w:sz w:val="16"/>
          <w:szCs w:val="16"/>
          <w:color w:val="auto"/>
        </w:rPr>
        <w:t>. The loaner may inquire, use and keep the credit information of the borrower within the scope regulated by the authorization.</w:t>
      </w:r>
    </w:p>
    <w:p>
      <w:pPr>
        <w:spacing w:after="0" w:line="14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156" w:lineRule="exact"/>
        <w:rPr>
          <w:sz w:val="20"/>
          <w:szCs w:val="20"/>
          <w:color w:val="auto"/>
        </w:rPr>
      </w:pPr>
    </w:p>
    <w:p>
      <w:pPr>
        <w:jc w:val="both"/>
        <w:ind w:firstLine="289"/>
        <w:spacing w:after="0" w:line="196" w:lineRule="exact"/>
        <w:rPr>
          <w:sz w:val="20"/>
          <w:szCs w:val="20"/>
          <w:color w:val="auto"/>
        </w:rPr>
      </w:pPr>
      <w:r>
        <w:rPr>
          <w:rFonts w:ascii="Times New Roman" w:cs="Times New Roman" w:eastAsia="Times New Roman" w:hAnsi="Times New Roman"/>
          <w:sz w:val="16"/>
          <w:szCs w:val="16"/>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loaner provides or may provide the borrower with the new product or service, or further provides the service.</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Whether Article 13.3 is applicable should be subject to Article 24 of this contract.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6"/>
          <w:szCs w:val="16"/>
          <w:b w:val="1"/>
          <w:bCs w:val="1"/>
          <w:color w:val="auto"/>
        </w:rPr>
        <w:t>Article 14. Applicable Laws and Dispute Solution</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15. Effectiveness of the contract, loan nature and contract composition</w:t>
      </w:r>
    </w:p>
    <w:p>
      <w:pPr>
        <w:spacing w:after="0" w:line="20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15.2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and other relevant documents and materials signed under this contract are indispensable parts of this contract.</w:t>
      </w:r>
    </w:p>
    <w:p>
      <w:pPr>
        <w:spacing w:after="0" w:line="201"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15.3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the supplement to this contract. Unless otherwise regulated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rights, obligations and other matters of the borrower and the loaner should still be subject to this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16. Specific Content of Line of Credit</w:t>
      </w:r>
    </w:p>
    <w:p>
      <w:pPr>
        <w:spacing w:after="0" w:line="167" w:lineRule="exact"/>
        <w:rPr>
          <w:sz w:val="20"/>
          <w:szCs w:val="20"/>
          <w:color w:val="auto"/>
        </w:rPr>
      </w:pPr>
    </w:p>
    <w:p>
      <w:pPr>
        <w:jc w:val="both"/>
        <w:ind w:right="20" w:firstLine="289"/>
        <w:spacing w:after="0" w:line="232" w:lineRule="exact"/>
        <w:rPr>
          <w:sz w:val="20"/>
          <w:szCs w:val="20"/>
          <w:color w:val="auto"/>
        </w:rPr>
      </w:pPr>
      <w:r>
        <w:rPr>
          <w:rFonts w:ascii="Times New Roman" w:cs="Times New Roman" w:eastAsia="Times New Roman" w:hAnsi="Times New Roman"/>
          <w:sz w:val="16"/>
          <w:szCs w:val="16"/>
          <w:color w:val="auto"/>
        </w:rPr>
        <w:t xml:space="preserve">16.1 Currency of line of credit: </w:t>
      </w:r>
      <w:r>
        <w:rPr>
          <w:rFonts w:ascii="Times New Roman" w:cs="Times New Roman" w:eastAsia="Times New Roman" w:hAnsi="Times New Roman"/>
          <w:sz w:val="16"/>
          <w:szCs w:val="16"/>
          <w:u w:val="single" w:color="auto"/>
          <w:color w:val="auto"/>
        </w:rPr>
        <w:t>RMB</w:t>
      </w:r>
      <w:r>
        <w:rPr>
          <w:rFonts w:ascii="Times New Roman" w:cs="Times New Roman" w:eastAsia="Times New Roman" w:hAnsi="Times New Roman"/>
          <w:sz w:val="16"/>
          <w:szCs w:val="16"/>
          <w:color w:val="auto"/>
        </w:rPr>
        <w:t xml:space="preserve">; Amount in words: </w:t>
      </w:r>
      <w:r>
        <w:rPr>
          <w:rFonts w:ascii="Times New Roman" w:cs="Times New Roman" w:eastAsia="Times New Roman" w:hAnsi="Times New Roman"/>
          <w:sz w:val="16"/>
          <w:szCs w:val="16"/>
          <w:u w:val="single" w:color="auto"/>
          <w:color w:val="auto"/>
        </w:rPr>
        <w:t>ten million yuan</w:t>
      </w:r>
      <w:r>
        <w:rPr>
          <w:rFonts w:ascii="Times New Roman" w:cs="Times New Roman" w:eastAsia="Times New Roman" w:hAnsi="Times New Roman"/>
          <w:sz w:val="16"/>
          <w:szCs w:val="16"/>
          <w:color w:val="auto"/>
        </w:rPr>
        <w:t xml:space="preserve">; It can be used in √ currency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line currency and other currencies acceptable to the lender; This line belongs to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Revolving line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One time line (can be used for many times) √ One time line (only used once).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16.2 Purpose of credit line: </w:t>
      </w:r>
      <w:r>
        <w:rPr>
          <w:rFonts w:ascii="Times New Roman" w:cs="Times New Roman" w:eastAsia="Times New Roman" w:hAnsi="Times New Roman"/>
          <w:sz w:val="16"/>
          <w:szCs w:val="16"/>
          <w:u w:val="single" w:color="auto"/>
          <w:color w:val="auto"/>
        </w:rPr>
        <w:t>business turnover</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16.3 The credit term is from </w:t>
      </w:r>
      <w:r>
        <w:rPr>
          <w:rFonts w:ascii="Times New Roman" w:cs="Times New Roman" w:eastAsia="Times New Roman" w:hAnsi="Times New Roman"/>
          <w:sz w:val="16"/>
          <w:szCs w:val="16"/>
          <w:u w:val="single" w:color="auto"/>
          <w:color w:val="auto"/>
        </w:rPr>
        <w:t>July 5, 2024</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July 5, 2025</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Article 17. Interest Rate</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spacing w:after="0" w:line="1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-6350</wp:posOffset>
            </wp:positionV>
            <wp:extent cx="374269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2">
                      <a:extLst>
                        <a:ext uri="{28A0092B-C50C-407E-A947-70E740481C1C}"/>
                      </a:extLst>
                    </a:blip>
                    <a:srcRect/>
                    <a:stretch>
                      <a:fillRect/>
                    </a:stretch>
                  </pic:blipFill>
                  <pic:spPr bwMode="auto">
                    <a:xfrm>
                      <a:off x="0" y="0"/>
                      <a:ext cx="3742690" cy="762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6"/>
          <w:szCs w:val="16"/>
          <w:b w:val="1"/>
          <w:bCs w:val="1"/>
          <w:color w:val="auto"/>
        </w:rPr>
        <w:t>Article 18. Account</w:t>
      </w:r>
    </w:p>
    <w:p>
      <w:pPr>
        <w:spacing w:after="0" w:line="107" w:lineRule="exact"/>
        <w:rPr>
          <w:sz w:val="20"/>
          <w:szCs w:val="20"/>
          <w:color w:val="auto"/>
        </w:rPr>
      </w:pPr>
    </w:p>
    <w:p>
      <w:pPr>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18.1 The borrower appoints the following account to be the issuance account. The account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is √is not the dedicated loan issuance account opened at the loaner. If both parties otherwise regulate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such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should prevail.</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 CLPS Shanghai Co., Ltd.</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18.2 The borrower appoints that:</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repayment account:</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 CLPS Shanghai Co., Ltd.</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141" w:lineRule="exact"/>
        <w:rPr>
          <w:sz w:val="20"/>
          <w:szCs w:val="20"/>
          <w:color w:val="auto"/>
        </w:rPr>
      </w:pPr>
    </w:p>
    <w:p>
      <w:pPr>
        <w:ind w:left="280" w:right="8120" w:firstLine="5"/>
        <w:spacing w:after="0" w:line="423" w:lineRule="auto"/>
        <w:tabs>
          <w:tab w:leader="none" w:pos="507"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collection account: Account name: CLPS Shanghai Co., Ltd. Account number: 310066865018010213932</w:t>
      </w:r>
    </w:p>
    <w:p>
      <w:pPr>
        <w:spacing w:after="0" w:line="1"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of deposit: Bank of Communications Zhangjiang Sub-branch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19. Issuance, Payment and Repayment of Loan</w:t>
      </w:r>
    </w:p>
    <w:p>
      <w:pPr>
        <w:spacing w:after="0" w:line="107" w:lineRule="exact"/>
        <w:rPr>
          <w:sz w:val="20"/>
          <w:szCs w:val="20"/>
          <w:color w:val="auto"/>
        </w:rPr>
      </w:pPr>
    </w:p>
    <w:p>
      <w:pPr>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19.1 The period of each loan withdrawn under this contract should be no longer than 12√months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days, and the maturity date of all the loan should be no later than </w:t>
      </w:r>
      <w:r>
        <w:rPr>
          <w:rFonts w:ascii="Times New Roman" w:cs="Times New Roman" w:eastAsia="Times New Roman" w:hAnsi="Times New Roman"/>
          <w:sz w:val="16"/>
          <w:szCs w:val="16"/>
          <w:u w:val="single" w:color="auto"/>
          <w:color w:val="auto"/>
        </w:rPr>
        <w:t>November 6, 2025</w:t>
      </w:r>
      <w:r>
        <w:rPr>
          <w:rFonts w:ascii="Times New Roman" w:cs="Times New Roman" w:eastAsia="Times New Roman" w:hAnsi="Times New Roman"/>
          <w:sz w:val="16"/>
          <w:szCs w:val="16"/>
          <w:color w:val="auto"/>
        </w:rPr>
        <w:t>.</w:t>
      </w:r>
    </w:p>
    <w:p>
      <w:pPr>
        <w:spacing w:after="0" w:line="80"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19.2 The limit of independent payment under the Contract is: √ RMB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/(foreign currency) </w:t>
      </w:r>
      <w:r>
        <w:rPr>
          <w:rFonts w:ascii="Times New Roman" w:cs="Times New Roman" w:eastAsia="Times New Roman" w:hAnsi="Times New Roman"/>
          <w:sz w:val="16"/>
          <w:szCs w:val="16"/>
          <w:u w:val="single" w:color="auto"/>
          <w:color w:val="auto"/>
        </w:rPr>
        <w:t>zero</w:t>
      </w:r>
      <w:r>
        <w:rPr>
          <w:rFonts w:ascii="Times New Roman" w:cs="Times New Roman" w:eastAsia="Times New Roman" w:hAnsi="Times New Roman"/>
          <w:sz w:val="16"/>
          <w:szCs w:val="16"/>
          <w:color w:val="auto"/>
        </w:rPr>
        <w:t xml:space="preserve"> thousand yuan or equivalent in other currencies.</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19.3 The entrusted payment by loaner is compulsory once any condition below is met:</w:t>
      </w:r>
    </w:p>
    <w:p>
      <w:pPr>
        <w:spacing w:after="0" w:line="14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-6350</wp:posOffset>
            </wp:positionV>
            <wp:extent cx="29794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4">
                      <a:extLst>
                        <a:ext uri="{28A0092B-C50C-407E-A947-70E740481C1C}"/>
                      </a:extLst>
                    </a:blip>
                    <a:srcRect/>
                    <a:stretch>
                      <a:fillRect/>
                    </a:stretch>
                  </pic:blipFill>
                  <pic:spPr bwMode="auto">
                    <a:xfrm>
                      <a:off x="0" y="0"/>
                      <a:ext cx="2979420"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199390</wp:posOffset>
            </wp:positionV>
            <wp:extent cx="297688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5">
                      <a:extLst>
                        <a:ext uri="{28A0092B-C50C-407E-A947-70E740481C1C}"/>
                      </a:extLst>
                    </a:blip>
                    <a:srcRect/>
                    <a:stretch>
                      <a:fillRect/>
                    </a:stretch>
                  </pic:blipFill>
                  <pic:spPr bwMode="auto">
                    <a:xfrm>
                      <a:off x="0" y="0"/>
                      <a:ext cx="2976880"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240" w:firstLine="289"/>
        <w:spacing w:after="0" w:line="423" w:lineRule="auto"/>
        <w:rPr>
          <w:sz w:val="20"/>
          <w:szCs w:val="20"/>
          <w:color w:val="auto"/>
        </w:rPr>
      </w:pPr>
      <w:r>
        <w:rPr>
          <w:rFonts w:ascii="Times New Roman" w:cs="Times New Roman" w:eastAsia="Times New Roman" w:hAnsi="Times New Roman"/>
          <w:sz w:val="16"/>
          <w:szCs w:val="16"/>
          <w:color w:val="auto"/>
        </w:rPr>
        <w:t xml:space="preserve">19.4 In the mode of independent payment by the borrower, the borrower should report the payment of loan fund to the loaner within 15 days since the issuance of loan. </w:t>
      </w:r>
      <w:r>
        <w:rPr>
          <w:rFonts w:ascii="Times New Roman" w:cs="Times New Roman" w:eastAsia="Times New Roman" w:hAnsi="Times New Roman"/>
          <w:sz w:val="16"/>
          <w:szCs w:val="16"/>
          <w:b w:val="1"/>
          <w:bCs w:val="1"/>
          <w:color w:val="auto"/>
        </w:rPr>
        <w:t>Article 20. Financial Restriction, External Rating, Production and Operation Qualification/License</w:t>
      </w:r>
    </w:p>
    <w:p>
      <w:pPr>
        <w:spacing w:after="0" w:line="1"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 xml:space="preserve">20.1 Limit on the external investment by the borrower is RMB </w:t>
      </w:r>
      <w:r>
        <w:rPr>
          <w:rFonts w:ascii="Times New Roman" w:cs="Times New Roman" w:eastAsia="Times New Roman" w:hAnsi="Times New Roman"/>
          <w:sz w:val="16"/>
          <w:szCs w:val="16"/>
          <w:u w:val="single" w:color="auto"/>
          <w:color w:val="auto"/>
        </w:rPr>
        <w:t>30 million</w:t>
      </w:r>
      <w:r>
        <w:rPr>
          <w:rFonts w:ascii="Times New Roman" w:cs="Times New Roman" w:eastAsia="Times New Roman" w:hAnsi="Times New Roman"/>
          <w:sz w:val="16"/>
          <w:szCs w:val="16"/>
          <w:color w:val="auto"/>
        </w:rPr>
        <w:t xml:space="preserve">; limit for providing external guarantees is RMB 30 million; limit on the increase of debt financing is </w:t>
      </w:r>
      <w:r>
        <w:rPr>
          <w:rFonts w:ascii="Times New Roman" w:cs="Times New Roman" w:eastAsia="Times New Roman" w:hAnsi="Times New Roman"/>
          <w:sz w:val="16"/>
          <w:szCs w:val="16"/>
          <w:u w:val="single" w:color="auto"/>
          <w:color w:val="auto"/>
        </w:rPr>
        <w:t>RMB 30 million</w:t>
      </w:r>
      <w:r>
        <w:rPr>
          <w:rFonts w:ascii="Times New Roman" w:cs="Times New Roman" w:eastAsia="Times New Roman" w:hAnsi="Times New Roman"/>
          <w:sz w:val="16"/>
          <w:szCs w:val="16"/>
          <w:color w:val="auto"/>
        </w:rPr>
        <w:t>.</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20.2 Specific regulations on the financial indexes of the borrower:</w:t>
      </w:r>
    </w:p>
    <w:p>
      <w:pPr>
        <w:spacing w:after="0" w:line="141" w:lineRule="exact"/>
        <w:rPr>
          <w:sz w:val="20"/>
          <w:szCs w:val="20"/>
          <w:color w:val="auto"/>
        </w:rPr>
      </w:pPr>
    </w:p>
    <w:p>
      <w:pPr>
        <w:ind w:left="280"/>
        <w:spacing w:after="0"/>
        <w:tabs>
          <w:tab w:leader="none" w:pos="28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297942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6">
                      <a:extLst>
                        <a:ext uri="{28A0092B-C50C-407E-A947-70E740481C1C}"/>
                      </a:extLst>
                    </a:blip>
                    <a:srcRect/>
                    <a:stretch>
                      <a:fillRect/>
                    </a:stretch>
                  </pic:blipFill>
                  <pic:spPr bwMode="auto">
                    <a:xfrm>
                      <a:off x="0" y="0"/>
                      <a:ext cx="2979420" cy="762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300228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7">
                      <a:extLst>
                        <a:ext uri="{28A0092B-C50C-407E-A947-70E740481C1C}"/>
                      </a:extLst>
                    </a:blip>
                    <a:srcRect/>
                    <a:stretch>
                      <a:fillRect/>
                    </a:stretch>
                  </pic:blipFill>
                  <pic:spPr bwMode="auto">
                    <a:xfrm>
                      <a:off x="0" y="0"/>
                      <a:ext cx="3002280" cy="762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300228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8">
                      <a:extLst>
                        <a:ext uri="{28A0092B-C50C-407E-A947-70E740481C1C}"/>
                      </a:extLst>
                    </a:blip>
                    <a:srcRect/>
                    <a:stretch>
                      <a:fillRect/>
                    </a:stretch>
                  </pic:blipFill>
                  <pic:spPr bwMode="auto">
                    <a:xfrm>
                      <a:off x="0" y="0"/>
                      <a:ext cx="3002280" cy="762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20.3 Specific regulations on the external rating:</w:t>
      </w:r>
    </w:p>
    <w:p>
      <w:pPr>
        <w:spacing w:after="0" w:line="141" w:lineRule="exact"/>
        <w:rPr>
          <w:sz w:val="20"/>
          <w:szCs w:val="20"/>
          <w:color w:val="auto"/>
        </w:rPr>
      </w:pPr>
    </w:p>
    <w:p>
      <w:pPr>
        <w:ind w:left="280"/>
        <w:spacing w:after="0"/>
        <w:tabs>
          <w:tab w:leader="none" w:pos="28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297942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9">
                      <a:extLst>
                        <a:ext uri="{28A0092B-C50C-407E-A947-70E740481C1C}"/>
                      </a:extLst>
                    </a:blip>
                    <a:srcRect/>
                    <a:stretch>
                      <a:fillRect/>
                    </a:stretch>
                  </pic:blipFill>
                  <pic:spPr bwMode="auto">
                    <a:xfrm>
                      <a:off x="0" y="0"/>
                      <a:ext cx="2979420" cy="762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300228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0">
                      <a:extLst>
                        <a:ext uri="{28A0092B-C50C-407E-A947-70E740481C1C}"/>
                      </a:extLst>
                    </a:blip>
                    <a:srcRect/>
                    <a:stretch>
                      <a:fillRect/>
                    </a:stretch>
                  </pic:blipFill>
                  <pic:spPr bwMode="auto">
                    <a:xfrm>
                      <a:off x="0" y="0"/>
                      <a:ext cx="3002280" cy="762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20.4 Specific regulations on the production and operation qualification/license of the borrower:</w:t>
      </w:r>
    </w:p>
    <w:p>
      <w:pPr>
        <w:spacing w:after="0" w:line="141" w:lineRule="exact"/>
        <w:rPr>
          <w:sz w:val="20"/>
          <w:szCs w:val="20"/>
          <w:color w:val="auto"/>
        </w:rPr>
      </w:pPr>
    </w:p>
    <w:p>
      <w:pPr>
        <w:ind w:left="280"/>
        <w:spacing w:after="0"/>
        <w:tabs>
          <w:tab w:leader="none" w:pos="262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30048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1">
                      <a:extLst>
                        <a:ext uri="{28A0092B-C50C-407E-A947-70E740481C1C}"/>
                      </a:extLst>
                    </a:blip>
                    <a:srcRect/>
                    <a:stretch>
                      <a:fillRect/>
                    </a:stretch>
                  </pic:blipFill>
                  <pic:spPr bwMode="auto">
                    <a:xfrm>
                      <a:off x="0" y="0"/>
                      <a:ext cx="3004820" cy="7620"/>
                    </a:xfrm>
                    <a:prstGeom prst="rect">
                      <a:avLst/>
                    </a:prstGeom>
                    <a:noFill/>
                  </pic:spPr>
                </pic:pic>
              </a:graphicData>
            </a:graphic>
          </wp:anchor>
        </w:drawing>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302768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2">
                      <a:extLst>
                        <a:ext uri="{28A0092B-C50C-407E-A947-70E740481C1C}"/>
                      </a:extLst>
                    </a:blip>
                    <a:srcRect/>
                    <a:stretch>
                      <a:fillRect/>
                    </a:stretch>
                  </pic:blipFill>
                  <pic:spPr bwMode="auto">
                    <a:xfrm>
                      <a:off x="0" y="0"/>
                      <a:ext cx="3027680" cy="762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6"/>
          <w:szCs w:val="16"/>
          <w:b w:val="1"/>
          <w:bCs w:val="1"/>
          <w:color w:val="auto"/>
        </w:rPr>
        <w:t>▲▲Article 21. Repricing of Risk</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21.1 This contract adopts the first repricing mode below: (1) Repricing through negotiations; (2) Direct raising the loan interest rate.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21.2 Once the “direct raising the loan interest rate” is adopted:</w:t>
      </w:r>
    </w:p>
    <w:p>
      <w:pPr>
        <w:spacing w:after="0" w:line="165" w:lineRule="exact"/>
        <w:rPr>
          <w:sz w:val="20"/>
          <w:szCs w:val="20"/>
          <w:color w:val="auto"/>
        </w:rPr>
      </w:pPr>
    </w:p>
    <w:p>
      <w:pPr>
        <w:jc w:val="both"/>
        <w:ind w:right="20" w:firstLine="289"/>
        <w:spacing w:after="0" w:line="210" w:lineRule="exact"/>
        <w:rPr>
          <w:sz w:val="20"/>
          <w:szCs w:val="20"/>
          <w:color w:val="auto"/>
        </w:rPr>
      </w:pPr>
      <w:r>
        <w:rPr>
          <w:rFonts w:ascii="Times New Roman" w:cs="Times New Roman" w:eastAsia="Times New Roman" w:hAnsi="Times New Roman"/>
          <w:sz w:val="16"/>
          <w:szCs w:val="16"/>
          <w:color w:val="auto"/>
        </w:rPr>
        <w:t xml:space="preserve">21.2.1 If the loan currency is RMB, US dollar, Euro, Hong Kong dollar, Japanese yen and British pound,, the increased interest rate plus (minus) points shall be: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point plus or minus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plus percentage points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minus </w:t>
      </w:r>
      <w:r>
        <w:rPr>
          <w:rFonts w:ascii="Times New Roman" w:cs="Times New Roman" w:eastAsia="Times New Roman" w:hAnsi="Times New Roman"/>
          <w:sz w:val="16"/>
          <w:szCs w:val="16"/>
          <w:i w:val="1"/>
          <w:iCs w:val="1"/>
          <w:u w:val="single" w:color="auto"/>
          <w:color w:val="auto"/>
        </w:rPr>
        <w:t>/</w:t>
      </w:r>
      <w:r>
        <w:rPr>
          <w:rFonts w:ascii="Times New Roman" w:cs="Times New Roman" w:eastAsia="Times New Roman" w:hAnsi="Times New Roman"/>
          <w:sz w:val="16"/>
          <w:szCs w:val="16"/>
          <w:color w:val="auto"/>
        </w:rPr>
        <w:t xml:space="preserve"> percentage points. If a loan is otherwise agreed, the increase (decrease) value of the interest rate after the increase of the loan shall be subject to the records in the application for the use of the applicable limit.</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21.2.2 If the loan currency is other than RMB, US dollar, Euro, Hong Kong dollar, Japanese yen and British pound, the loan interest rate after the increase is:</w:t>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-6350</wp:posOffset>
            </wp:positionV>
            <wp:extent cx="168211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4">
                      <a:extLst>
                        <a:ext uri="{28A0092B-C50C-407E-A947-70E740481C1C}"/>
                      </a:extLst>
                    </a:blip>
                    <a:srcRect/>
                    <a:stretch>
                      <a:fillRect/>
                    </a:stretch>
                  </pic:blipFill>
                  <pic:spPr bwMode="auto">
                    <a:xfrm>
                      <a:off x="0" y="0"/>
                      <a:ext cx="1682115"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22. Contact Details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Contact details of the borrower to receive the notice specified in Article 12:</w:t>
      </w:r>
    </w:p>
    <w:p>
      <w:pPr>
        <w:spacing w:after="0" w:line="19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11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Mailing address:</w:t>
            </w:r>
          </w:p>
        </w:tc>
        <w:tc>
          <w:tcPr>
            <w:tcW w:w="30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color w:val="auto"/>
              </w:rPr>
              <w:t>2F, Building 18, 498 Guoshoujing Road</w:t>
            </w:r>
          </w:p>
        </w:tc>
        <w:tc>
          <w:tcPr>
            <w:tcW w:w="160" w:type="dxa"/>
            <w:vAlign w:val="bottom"/>
          </w:tcPr>
          <w:p>
            <w:pPr>
              <w:spacing w:after="0"/>
              <w:rPr>
                <w:sz w:val="16"/>
                <w:szCs w:val="16"/>
                <w:color w:val="auto"/>
              </w:rPr>
            </w:pPr>
          </w:p>
        </w:tc>
      </w:tr>
      <w:tr>
        <w:trPr>
          <w:trHeight w:val="365"/>
        </w:trPr>
        <w:tc>
          <w:tcPr>
            <w:tcW w:w="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Addressee:</w:t>
            </w: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color w:val="auto"/>
              </w:rPr>
              <w:t>Yang Xiaofeng</w:t>
            </w:r>
          </w:p>
        </w:tc>
        <w:tc>
          <w:tcPr>
            <w:tcW w:w="160" w:type="dxa"/>
            <w:vAlign w:val="bottom"/>
            <w:tcBorders>
              <w:bottom w:val="single" w:sz="8" w:color="auto"/>
            </w:tcBorders>
          </w:tcPr>
          <w:p>
            <w:pPr>
              <w:spacing w:after="0"/>
              <w:rPr>
                <w:sz w:val="24"/>
                <w:szCs w:val="24"/>
                <w:color w:val="auto"/>
              </w:rPr>
            </w:pPr>
          </w:p>
        </w:tc>
      </w:tr>
      <w:tr>
        <w:trPr>
          <w:trHeight w:val="365"/>
        </w:trPr>
        <w:tc>
          <w:tcPr>
            <w:tcW w:w="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Post code:</w:t>
            </w:r>
          </w:p>
        </w:tc>
        <w:tc>
          <w:tcPr>
            <w:tcW w:w="420" w:type="dxa"/>
            <w:vAlign w:val="bottom"/>
            <w:tcBorders>
              <w:bottom w:val="single" w:sz="8" w:color="auto"/>
            </w:tcBorders>
            <w:gridSpan w:val="2"/>
          </w:tcPr>
          <w:p>
            <w:pPr>
              <w:spacing w:after="0"/>
              <w:rPr>
                <w:sz w:val="24"/>
                <w:szCs w:val="24"/>
                <w:color w:val="auto"/>
              </w:rPr>
            </w:pPr>
          </w:p>
        </w:tc>
        <w:tc>
          <w:tcPr>
            <w:tcW w:w="208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16"/>
                <w:szCs w:val="16"/>
                <w:color w:val="auto"/>
              </w:rPr>
              <w:t>201203</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Tel:</w:t>
            </w:r>
          </w:p>
        </w:tc>
        <w:tc>
          <w:tcPr>
            <w:tcW w:w="820" w:type="dxa"/>
            <w:vAlign w:val="bottom"/>
            <w:tcBorders>
              <w:bottom w:val="single" w:sz="8" w:color="auto"/>
            </w:tcBorders>
            <w:gridSpan w:val="4"/>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Mobile:</w:t>
            </w:r>
          </w:p>
        </w:tc>
        <w:tc>
          <w:tcPr>
            <w:tcW w:w="560" w:type="dxa"/>
            <w:vAlign w:val="bottom"/>
            <w:tcBorders>
              <w:bottom w:val="single" w:sz="8" w:color="auto"/>
            </w:tcBorders>
            <w:gridSpan w:val="3"/>
          </w:tcPr>
          <w:p>
            <w:pPr>
              <w:spacing w:after="0"/>
              <w:rPr>
                <w:sz w:val="24"/>
                <w:szCs w:val="24"/>
                <w:color w:val="auto"/>
              </w:rPr>
            </w:pPr>
          </w:p>
        </w:tc>
        <w:tc>
          <w:tcPr>
            <w:tcW w:w="2080" w:type="dxa"/>
            <w:vAlign w:val="bottom"/>
            <w:tcBorders>
              <w:bottom w:val="single" w:sz="8" w:color="auto"/>
            </w:tcBorders>
          </w:tcPr>
          <w:p>
            <w:pPr>
              <w:jc w:val="right"/>
              <w:ind w:right="16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ind w:left="280"/>
        <w:spacing w:after="0"/>
        <w:tabs>
          <w:tab w:leader="none" w:pos="1480" w:val="left"/>
        </w:tabs>
        <w:rPr>
          <w:sz w:val="20"/>
          <w:szCs w:val="20"/>
          <w:color w:val="auto"/>
        </w:rPr>
      </w:pPr>
      <w:r>
        <w:rPr>
          <w:rFonts w:ascii="Times New Roman" w:cs="Times New Roman" w:eastAsia="Times New Roman" w:hAnsi="Times New Roman"/>
          <w:sz w:val="16"/>
          <w:szCs w:val="16"/>
          <w:color w:val="auto"/>
        </w:rPr>
        <w:t>Fax:</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-6350</wp:posOffset>
            </wp:positionV>
            <wp:extent cx="1682115"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5">
                      <a:extLst>
                        <a:ext uri="{28A0092B-C50C-407E-A947-70E740481C1C}"/>
                      </a:extLst>
                    </a:blip>
                    <a:srcRect/>
                    <a:stretch>
                      <a:fillRect/>
                    </a:stretch>
                  </pic:blipFill>
                  <pic:spPr bwMode="auto">
                    <a:xfrm>
                      <a:off x="0" y="0"/>
                      <a:ext cx="1682115" cy="7620"/>
                    </a:xfrm>
                    <a:prstGeom prst="rect">
                      <a:avLst/>
                    </a:prstGeom>
                    <a:noFill/>
                  </pic:spPr>
                </pic:pic>
              </a:graphicData>
            </a:graphic>
          </wp:anchor>
        </w:drawing>
      </w:r>
    </w:p>
    <w:p>
      <w:pPr>
        <w:spacing w:after="0" w:line="181" w:lineRule="exact"/>
        <w:rPr>
          <w:sz w:val="20"/>
          <w:szCs w:val="20"/>
          <w:color w:val="auto"/>
        </w:rPr>
      </w:pPr>
    </w:p>
    <w:p>
      <w:pPr>
        <w:ind w:left="280"/>
        <w:spacing w:after="0"/>
        <w:tabs>
          <w:tab w:leader="none" w:pos="166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-6350</wp:posOffset>
            </wp:positionV>
            <wp:extent cx="1682115"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6">
                      <a:extLst>
                        <a:ext uri="{28A0092B-C50C-407E-A947-70E740481C1C}"/>
                      </a:extLst>
                    </a:blip>
                    <a:srcRect/>
                    <a:stretch>
                      <a:fillRect/>
                    </a:stretch>
                  </pic:blipFill>
                  <pic:spPr bwMode="auto">
                    <a:xfrm>
                      <a:off x="0" y="0"/>
                      <a:ext cx="1682115"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23. Counterparts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This contract is made with </w:t>
      </w:r>
      <w:r>
        <w:rPr>
          <w:rFonts w:ascii="Times New Roman" w:cs="Times New Roman" w:eastAsia="Times New Roman" w:hAnsi="Times New Roman"/>
          <w:sz w:val="16"/>
          <w:szCs w:val="16"/>
          <w:u w:val="single" w:color="auto"/>
          <w:color w:val="auto"/>
        </w:rPr>
        <w:t>Three</w:t>
      </w:r>
      <w:r>
        <w:rPr>
          <w:rFonts w:ascii="Times New Roman" w:cs="Times New Roman" w:eastAsia="Times New Roman" w:hAnsi="Times New Roman"/>
          <w:sz w:val="16"/>
          <w:szCs w:val="16"/>
          <w:color w:val="auto"/>
        </w:rPr>
        <w:t xml:space="preserve"> copies. Both parties and the guarantor (if any) holds </w:t>
      </w:r>
      <w:r>
        <w:rPr>
          <w:rFonts w:ascii="Times New Roman" w:cs="Times New Roman" w:eastAsia="Times New Roman" w:hAnsi="Times New Roman"/>
          <w:sz w:val="16"/>
          <w:szCs w:val="16"/>
          <w:u w:val="single" w:color="auto"/>
          <w:color w:val="auto"/>
        </w:rPr>
        <w:t>one</w:t>
      </w:r>
      <w:r>
        <w:rPr>
          <w:rFonts w:ascii="Times New Roman" w:cs="Times New Roman" w:eastAsia="Times New Roman" w:hAnsi="Times New Roman"/>
          <w:sz w:val="16"/>
          <w:szCs w:val="16"/>
          <w:color w:val="auto"/>
        </w:rPr>
        <w:t xml:space="preserve"> copy (ies)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24. Miscellaneous</w:t>
      </w:r>
    </w:p>
    <w:p>
      <w:pPr>
        <w:spacing w:after="0" w:line="167"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24.1 Both parties agree that Article 13.3 √ applies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does not apply to this contract.</w:t>
      </w:r>
    </w:p>
    <w:p>
      <w:pPr>
        <w:spacing w:after="0" w:line="201" w:lineRule="exact"/>
        <w:rPr>
          <w:sz w:val="20"/>
          <w:szCs w:val="20"/>
          <w:color w:val="auto"/>
        </w:rPr>
      </w:pPr>
    </w:p>
    <w:p>
      <w:pPr>
        <w:ind w:right="20" w:firstLine="289"/>
        <w:spacing w:after="0" w:line="219" w:lineRule="exact"/>
        <w:rPr>
          <w:sz w:val="20"/>
          <w:szCs w:val="20"/>
          <w:color w:val="auto"/>
        </w:rPr>
      </w:pPr>
      <w:r>
        <w:rPr>
          <w:rFonts w:ascii="Times New Roman" w:cs="Times New Roman" w:eastAsia="Times New Roman" w:hAnsi="Times New Roman"/>
          <w:sz w:val="16"/>
          <w:szCs w:val="16"/>
          <w:color w:val="auto"/>
        </w:rPr>
        <w:t xml:space="preserve">24.2 According to the lender’s environmental and social risk assessment standards, the borrower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belongs to a customer √ not classified as A or B in terms of environmental and social risks.</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24.3 The payment method of the loan under the Contract shall be subject to the </w:t>
      </w:r>
      <w:r>
        <w:rPr>
          <w:rFonts w:ascii="Times New Roman" w:cs="Times New Roman" w:eastAsia="Times New Roman" w:hAnsi="Times New Roman"/>
          <w:sz w:val="16"/>
          <w:szCs w:val="16"/>
          <w:i w:val="1"/>
          <w:iCs w:val="1"/>
          <w:color w:val="auto"/>
        </w:rPr>
        <w:t>Application for Use of Quota</w:t>
      </w:r>
      <w:r>
        <w:rPr>
          <w:rFonts w:ascii="Times New Roman" w:cs="Times New Roman" w:eastAsia="Times New Roman" w:hAnsi="Times New Roman"/>
          <w:sz w:val="16"/>
          <w:szCs w:val="16"/>
          <w:color w:val="auto"/>
        </w:rPr>
        <w:t xml:space="preserve"> signed by the Lender.</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Borrower: </w:t>
      </w:r>
      <w:r>
        <w:rPr>
          <w:rFonts w:ascii="Times New Roman" w:cs="Times New Roman" w:eastAsia="Times New Roman" w:hAnsi="Times New Roman"/>
          <w:sz w:val="16"/>
          <w:szCs w:val="16"/>
          <w:u w:val="single" w:color="auto"/>
          <w:color w:val="auto"/>
        </w:rPr>
        <w:t>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Legal representative (responsible person): </w:t>
      </w:r>
      <w:r>
        <w:rPr>
          <w:rFonts w:ascii="Times New Roman" w:cs="Times New Roman" w:eastAsia="Times New Roman" w:hAnsi="Times New Roman"/>
          <w:sz w:val="16"/>
          <w:szCs w:val="16"/>
          <w:u w:val="single" w:color="auto"/>
          <w:color w:val="auto"/>
        </w:rPr>
        <w:t>Yang Xiaofeng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Address: </w:t>
      </w:r>
      <w:r>
        <w:rPr>
          <w:rFonts w:ascii="Times New Roman" w:cs="Times New Roman" w:eastAsia="Times New Roman" w:hAnsi="Times New Roman"/>
          <w:sz w:val="16"/>
          <w:szCs w:val="16"/>
          <w:u w:val="single" w:color="auto"/>
          <w:color w:val="auto"/>
        </w:rPr>
        <w:t>Room 26C01, 828-838 Zhangyang Road, China (Shanghai) Free Trade Area</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Loaner: Bank of Communications Co., Ltd. Shanghai Zhangjiang Branch (Sub-branch)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Responsible person:</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Zhu Lei</w:t>
            </w:r>
          </w:p>
        </w:tc>
        <w:tc>
          <w:tcPr>
            <w:tcW w:w="6240" w:type="dxa"/>
            <w:vAlign w:val="bottom"/>
            <w:gridSpan w:val="2"/>
          </w:tcPr>
          <w:p>
            <w:pPr>
              <w:spacing w:after="0"/>
              <w:rPr>
                <w:sz w:val="16"/>
                <w:szCs w:val="16"/>
                <w:color w:val="auto"/>
              </w:rPr>
            </w:pPr>
          </w:p>
        </w:tc>
        <w:tc>
          <w:tcPr>
            <w:tcW w:w="1680" w:type="dxa"/>
            <w:vAlign w:val="bottom"/>
          </w:tcPr>
          <w:p>
            <w:pPr>
              <w:spacing w:after="0"/>
              <w:rPr>
                <w:sz w:val="16"/>
                <w:szCs w:val="16"/>
                <w:color w:val="auto"/>
              </w:rPr>
            </w:pPr>
          </w:p>
        </w:tc>
      </w:tr>
      <w:tr>
        <w:trPr>
          <w:trHeight w:val="365"/>
        </w:trPr>
        <w:tc>
          <w:tcPr>
            <w:tcW w:w="172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Mailing address:</w:t>
            </w:r>
          </w:p>
        </w:tc>
        <w:tc>
          <w:tcPr>
            <w:tcW w:w="7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560 Songtao Road, Pudong New Area, Shanghai, China</w:t>
            </w:r>
          </w:p>
        </w:tc>
        <w:tc>
          <w:tcPr>
            <w:tcW w:w="1680" w:type="dxa"/>
            <w:vAlign w:val="bottom"/>
          </w:tcPr>
          <w:p>
            <w:pPr>
              <w:spacing w:after="0"/>
              <w:rPr>
                <w:sz w:val="24"/>
                <w:szCs w:val="24"/>
                <w:color w:val="auto"/>
              </w:rPr>
            </w:pPr>
          </w:p>
        </w:tc>
      </w:tr>
      <w:tr>
        <w:trPr>
          <w:trHeight w:val="208"/>
        </w:trPr>
        <w:tc>
          <w:tcPr>
            <w:tcW w:w="1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252"/>
        </w:trPr>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786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The borrower has read this contract and the loaner has made detailed descriptions as required by the borrower. The</w:t>
            </w:r>
          </w:p>
        </w:tc>
        <w:tc>
          <w:tcPr>
            <w:tcW w:w="1680" w:type="dxa"/>
            <w:vAlign w:val="bottom"/>
          </w:tcPr>
          <w:p>
            <w:pPr>
              <w:spacing w:after="0"/>
              <w:rPr>
                <w:sz w:val="21"/>
                <w:szCs w:val="21"/>
                <w:color w:val="auto"/>
              </w:rPr>
            </w:pPr>
          </w:p>
        </w:tc>
      </w:tr>
      <w:tr>
        <w:trPr>
          <w:trHeight w:val="192"/>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86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borrower possesses no objection or doubt when signing this contract and understands all the articles, especially the</w:t>
            </w:r>
          </w:p>
        </w:tc>
        <w:tc>
          <w:tcPr>
            <w:tcW w:w="1680" w:type="dxa"/>
            <w:vAlign w:val="bottom"/>
          </w:tcPr>
          <w:p>
            <w:pPr>
              <w:spacing w:after="0"/>
              <w:rPr>
                <w:sz w:val="16"/>
                <w:szCs w:val="16"/>
                <w:color w:val="auto"/>
              </w:rPr>
            </w:pPr>
          </w:p>
        </w:tc>
      </w:tr>
      <w:tr>
        <w:trPr>
          <w:trHeight w:val="209"/>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8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color w:val="auto"/>
              </w:rPr>
              <w:t>meaning and legal consequence of those marked with ▲▲.</w:t>
            </w:r>
          </w:p>
        </w:tc>
        <w:tc>
          <w:tcPr>
            <w:tcW w:w="1680" w:type="dxa"/>
            <w:vAlign w:val="bottom"/>
          </w:tcPr>
          <w:p>
            <w:pPr>
              <w:spacing w:after="0"/>
              <w:rPr>
                <w:sz w:val="18"/>
                <w:szCs w:val="18"/>
                <w:color w:val="auto"/>
              </w:rPr>
            </w:pPr>
          </w:p>
        </w:tc>
      </w:tr>
      <w:tr>
        <w:trPr>
          <w:trHeight w:val="84"/>
        </w:trPr>
        <w:tc>
          <w:tcPr>
            <w:tcW w:w="1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000" w:type="dxa"/>
            <w:vAlign w:val="bottom"/>
            <w:tcBorders>
              <w:bottom w:val="single" w:sz="8" w:color="auto"/>
              <w:right w:val="single" w:sz="8" w:color="auto"/>
            </w:tcBorders>
          </w:tcPr>
          <w:p>
            <w:pPr>
              <w:spacing w:after="0"/>
              <w:rPr>
                <w:sz w:val="7"/>
                <w:szCs w:val="7"/>
                <w:color w:val="auto"/>
              </w:rPr>
            </w:pPr>
          </w:p>
        </w:tc>
        <w:tc>
          <w:tcPr>
            <w:tcW w:w="1680" w:type="dxa"/>
            <w:vAlign w:val="bottom"/>
          </w:tcPr>
          <w:p>
            <w:pPr>
              <w:spacing w:after="0"/>
              <w:rPr>
                <w:sz w:val="7"/>
                <w:szCs w:val="7"/>
                <w:color w:val="auto"/>
              </w:rPr>
            </w:pPr>
          </w:p>
        </w:tc>
      </w:tr>
      <w:tr>
        <w:trPr>
          <w:trHeight w:val="377"/>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w w:val="99"/>
              </w:rPr>
              <w:t>(This page is the signature page of the Working Capital Loan Contract, and there is no text below)</w:t>
            </w:r>
          </w:p>
        </w:tc>
        <w:tc>
          <w:tcPr>
            <w:tcW w:w="1680" w:type="dxa"/>
            <w:vAlign w:val="bottom"/>
          </w:tcPr>
          <w:p>
            <w:pPr>
              <w:spacing w:after="0"/>
              <w:rPr>
                <w:sz w:val="24"/>
                <w:szCs w:val="24"/>
                <w:color w:val="auto"/>
              </w:rPr>
            </w:pPr>
          </w:p>
        </w:tc>
      </w:tr>
      <w:tr>
        <w:trPr>
          <w:trHeight w:val="581"/>
        </w:trPr>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w w:val="99"/>
              </w:rPr>
              <w:t>20</w:t>
            </w: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8" w:right="319" w:bottom="1440" w:gutter="0" w:footer="0" w:header="0"/>
        </w:sectPr>
      </w:pPr>
    </w:p>
    <w:bookmarkStart w:id="447" w:name="page448"/>
    <w:bookmarkEnd w:id="447"/>
    <w:p>
      <w:pPr>
        <w:spacing w:after="0"/>
        <w:tabs>
          <w:tab w:leader="none" w:pos="6060" w:val="left"/>
        </w:tabs>
        <w:rPr>
          <w:sz w:val="20"/>
          <w:szCs w:val="20"/>
          <w:color w:val="auto"/>
        </w:rPr>
      </w:pPr>
      <w:r>
        <w:rPr>
          <w:rFonts w:ascii="Times New Roman" w:cs="Times New Roman" w:eastAsia="Times New Roman" w:hAnsi="Times New Roman"/>
          <w:sz w:val="16"/>
          <w:szCs w:val="16"/>
          <w:color w:val="auto"/>
        </w:rPr>
        <w:t>Borrower: (Seal)</w:t>
      </w:r>
      <w:r>
        <w:rPr>
          <w:sz w:val="20"/>
          <w:szCs w:val="20"/>
          <w:color w:val="auto"/>
        </w:rPr>
        <w:tab/>
      </w:r>
      <w:r>
        <w:rPr>
          <w:rFonts w:ascii="Times New Roman" w:cs="Times New Roman" w:eastAsia="Times New Roman" w:hAnsi="Times New Roman"/>
          <w:sz w:val="15"/>
          <w:szCs w:val="15"/>
          <w:color w:val="auto"/>
        </w:rPr>
        <w:t>Loaner: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967105</wp:posOffset>
            </wp:positionH>
            <wp:positionV relativeFrom="paragraph">
              <wp:posOffset>15875</wp:posOffset>
            </wp:positionV>
            <wp:extent cx="1397635" cy="12065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7">
                      <a:extLst>
                        <a:ext uri="{28A0092B-C50C-407E-A947-70E740481C1C}"/>
                      </a:extLst>
                    </a:blip>
                    <a:srcRect/>
                    <a:stretch>
                      <a:fillRect/>
                    </a:stretch>
                  </pic:blipFill>
                  <pic:spPr bwMode="auto">
                    <a:xfrm>
                      <a:off x="0" y="0"/>
                      <a:ext cx="1397635" cy="120650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15875</wp:posOffset>
            </wp:positionV>
            <wp:extent cx="1794510" cy="9086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8">
                      <a:extLst>
                        <a:ext uri="{28A0092B-C50C-407E-A947-70E740481C1C}"/>
                      </a:extLst>
                    </a:blip>
                    <a:srcRect/>
                    <a:stretch>
                      <a:fillRect/>
                    </a:stretch>
                  </pic:blipFill>
                  <pic:spPr bwMode="auto">
                    <a:xfrm>
                      <a:off x="0" y="0"/>
                      <a:ext cx="179451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(Seal: ChinaLink Professional Services Co., Ltd.)</w:t>
            </w:r>
          </w:p>
        </w:tc>
        <w:tc>
          <w:tcPr>
            <w:tcW w:w="62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(Seal: Line of Credit Business Contract Seal of Shanghai Zhangjiang Sub-</w:t>
            </w:r>
          </w:p>
        </w:tc>
      </w:tr>
      <w:tr>
        <w:trPr>
          <w:trHeight w:val="192"/>
        </w:trPr>
        <w:tc>
          <w:tcPr>
            <w:tcW w:w="5000" w:type="dxa"/>
            <w:vAlign w:val="bottom"/>
          </w:tcPr>
          <w:p>
            <w:pPr>
              <w:spacing w:after="0"/>
              <w:rPr>
                <w:sz w:val="16"/>
                <w:szCs w:val="16"/>
                <w:color w:val="auto"/>
              </w:rPr>
            </w:pPr>
          </w:p>
        </w:tc>
        <w:tc>
          <w:tcPr>
            <w:tcW w:w="62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branch of Bank of Communications Co., Ltd.)</w:t>
            </w: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Legal representative (responsible person) or authorized representative</w:t>
            </w:r>
          </w:p>
        </w:tc>
        <w:tc>
          <w:tcPr>
            <w:tcW w:w="62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Legal representative (responsible person) or authorized representative</w:t>
            </w:r>
          </w:p>
        </w:tc>
      </w:tr>
      <w:tr>
        <w:trPr>
          <w:trHeight w:val="1034"/>
        </w:trPr>
        <w:tc>
          <w:tcPr>
            <w:tcW w:w="5000" w:type="dxa"/>
            <w:vAlign w:val="bottom"/>
          </w:tcPr>
          <w:p>
            <w:pPr>
              <w:spacing w:after="0"/>
              <w:rPr>
                <w:sz w:val="24"/>
                <w:szCs w:val="24"/>
                <w:color w:val="auto"/>
              </w:rPr>
            </w:pPr>
          </w:p>
        </w:tc>
        <w:tc>
          <w:tcPr>
            <w:tcW w:w="62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(Signature or seal)</w:t>
            </w:r>
          </w:p>
        </w:tc>
      </w:tr>
      <w:tr>
        <w:trPr>
          <w:trHeight w:val="44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(Signature or seal)</w:t>
            </w:r>
          </w:p>
        </w:tc>
        <w:tc>
          <w:tcPr>
            <w:tcW w:w="6260" w:type="dxa"/>
            <w:vAlign w:val="bottom"/>
          </w:tcPr>
          <w:p>
            <w:pPr>
              <w:spacing w:after="0"/>
              <w:rPr>
                <w:sz w:val="24"/>
                <w:szCs w:val="24"/>
                <w:color w:val="auto"/>
              </w:rPr>
            </w:pPr>
          </w:p>
        </w:tc>
      </w:tr>
      <w:tr>
        <w:trPr>
          <w:trHeight w:val="38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6, 2024</w:t>
            </w:r>
          </w:p>
        </w:tc>
        <w:tc>
          <w:tcPr>
            <w:tcW w:w="62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Date: November 6, 2024</w:t>
            </w:r>
          </w:p>
        </w:tc>
      </w:tr>
      <w:tr>
        <w:trPr>
          <w:trHeight w:val="581"/>
        </w:trPr>
        <w:tc>
          <w:tcPr>
            <w:tcW w:w="50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-1442720</wp:posOffset>
            </wp:positionV>
            <wp:extent cx="931545" cy="78676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9">
                      <a:extLst>
                        <a:ext uri="{28A0092B-C50C-407E-A947-70E740481C1C}"/>
                      </a:extLst>
                    </a:blip>
                    <a:srcRect/>
                    <a:stretch>
                      <a:fillRect/>
                    </a:stretch>
                  </pic:blipFill>
                  <pic:spPr bwMode="auto">
                    <a:xfrm>
                      <a:off x="0" y="0"/>
                      <a:ext cx="931545" cy="786765"/>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-1442720</wp:posOffset>
            </wp:positionV>
            <wp:extent cx="1061720" cy="5041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0">
                      <a:extLst>
                        <a:ext uri="{28A0092B-C50C-407E-A947-70E740481C1C}"/>
                      </a:extLst>
                    </a:blip>
                    <a:srcRect/>
                    <a:stretch>
                      <a:fillRect/>
                    </a:stretch>
                  </pic:blipFill>
                  <pic:spPr bwMode="auto">
                    <a:xfrm>
                      <a:off x="0" y="0"/>
                      <a:ext cx="1061720" cy="50419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48" w:name="page449"/>
    <w:bookmarkEnd w:id="448"/>
    <w:p>
      <w:pPr>
        <w:jc w:val="right"/>
        <w:spacing w:after="0"/>
        <w:rPr>
          <w:sz w:val="20"/>
          <w:szCs w:val="20"/>
          <w:color w:val="auto"/>
        </w:rPr>
      </w:pPr>
      <w:r>
        <w:rPr>
          <w:rFonts w:ascii="Times New Roman" w:cs="Times New Roman" w:eastAsia="Times New Roman" w:hAnsi="Times New Roman"/>
          <w:sz w:val="19"/>
          <w:szCs w:val="19"/>
          <w:b w:val="1"/>
          <w:bCs w:val="1"/>
          <w:color w:val="auto"/>
        </w:rPr>
        <w:t>Exhibit 10.24</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No.: Z2444LN15658088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Contract for Loans of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521335</wp:posOffset>
            </wp:positionV>
            <wp:extent cx="7147560" cy="152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449" w:name="page450"/>
    <w:bookmarkEnd w:id="449"/>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No.: </w:t>
      </w:r>
      <w:r>
        <w:rPr>
          <w:rFonts w:ascii="Times New Roman" w:cs="Times New Roman" w:eastAsia="Times New Roman" w:hAnsi="Times New Roman"/>
          <w:sz w:val="16"/>
          <w:szCs w:val="16"/>
          <w:color w:val="auto"/>
        </w:rPr>
        <w:t>Z2444LN15658088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137795</wp:posOffset>
            </wp:positionV>
            <wp:extent cx="5001895" cy="5651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2">
                      <a:extLst>
                        <a:ext uri="{28A0092B-C50C-407E-A947-70E740481C1C}"/>
                      </a:extLst>
                    </a:blip>
                    <a:srcRect/>
                    <a:stretch>
                      <a:fillRect/>
                    </a:stretch>
                  </pic:blipFill>
                  <pic:spPr bwMode="auto">
                    <a:xfrm>
                      <a:off x="0" y="0"/>
                      <a:ext cx="5001895" cy="565150"/>
                    </a:xfrm>
                    <a:prstGeom prst="rect">
                      <a:avLst/>
                    </a:prstGeom>
                    <a:noFill/>
                  </pic:spPr>
                </pic:pic>
              </a:graphicData>
            </a:graphic>
          </wp:anchor>
        </w:drawing>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Important Notes</w:t>
      </w:r>
    </w:p>
    <w:p>
      <w:pPr>
        <w:spacing w:after="0" w:line="201" w:lineRule="exact"/>
        <w:rPr>
          <w:sz w:val="20"/>
          <w:szCs w:val="20"/>
          <w:color w:val="auto"/>
        </w:rPr>
      </w:pPr>
    </w:p>
    <w:p>
      <w:pPr>
        <w:ind w:left="1740" w:right="1760"/>
        <w:spacing w:after="0" w:line="283" w:lineRule="auto"/>
        <w:rPr>
          <w:sz w:val="20"/>
          <w:szCs w:val="20"/>
          <w:color w:val="auto"/>
        </w:rPr>
      </w:pPr>
      <w:r>
        <w:rPr>
          <w:rFonts w:ascii="Times New Roman" w:cs="Times New Roman" w:eastAsia="Times New Roman" w:hAnsi="Times New Roman"/>
          <w:sz w:val="16"/>
          <w:szCs w:val="16"/>
          <w:color w:val="auto"/>
        </w:rPr>
        <w:t>Please read the full text of this contract carefully, especially those articles marked with ▲▲. Please inquire the loaner in case of any question.</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Whereas, the borrower applies to the loaner for the line of credit of current fund, both parties hereby enter into this contract through negotiations to clarify the obligations of each party.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 Definition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“Revolving line of credit” refers to the line of credit within which the borrower may apply for the loan for several times according to this contract.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“One time credit “refers to the borrower’s ability to apply for the use of the limit in one or multiple times as agreed in this contract to obtain a loan, but the cumulative amount of the loan withdrawn cannot exceed the agreed limit.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“Balance of loan” refers to the sum of principal of the outstanding loan that the borrower obtains under this contract.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“Balance of line of credit” refers to the balance of the line of credit deducted with the balance of loan (under the revolving line of credit) or total loan (under the one-time line of credit).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“Period of loan” refers to the period of each loan that both parties determine in the corresponding </w:t>
      </w:r>
      <w:r>
        <w:rPr>
          <w:rFonts w:ascii="Times New Roman" w:cs="Times New Roman" w:eastAsia="Times New Roman" w:hAnsi="Times New Roman"/>
          <w:sz w:val="16"/>
          <w:szCs w:val="16"/>
          <w:i w:val="1"/>
          <w:iCs w:val="1"/>
          <w:color w:val="auto"/>
        </w:rPr>
        <w:t>Application for Use of Line of Credit of Bank of Communications</w:t>
      </w:r>
      <w:r>
        <w:rPr>
          <w:rFonts w:ascii="Times New Roman" w:cs="Times New Roman" w:eastAsia="Times New Roman" w:hAnsi="Times New Roman"/>
          <w:sz w:val="16"/>
          <w:szCs w:val="16"/>
          <w:color w:val="auto"/>
        </w:rPr>
        <w:t xml:space="preserve"> (hereinafter referred to as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“Loan Market Quotation Rate (LPR)” refers to the loan market quotation rate applicable to RMB loans issued by the National Interbank Funding Center on the 20th day of each month (postponed in case of holidays).</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450" w:name="page451"/>
    <w:bookmarkEnd w:id="450"/>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56"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“Related person” refers to the authorized handler, agent, legal representative, responsible person, controlling shareholder or actual controller, beneficial owner and other direct or indirect related persons of the borrower.</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51" w:name="page452"/>
    <w:bookmarkEnd w:id="451"/>
    <w:p>
      <w:pPr>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Terms including affiliate, affiliate transaction and major investor should contain the same meaning with those contained in the </w:t>
      </w:r>
      <w:r>
        <w:rPr>
          <w:rFonts w:ascii="Times New Roman" w:cs="Times New Roman" w:eastAsia="Times New Roman" w:hAnsi="Times New Roman"/>
          <w:sz w:val="16"/>
          <w:szCs w:val="16"/>
          <w:i w:val="1"/>
          <w:iCs w:val="1"/>
          <w:color w:val="auto"/>
        </w:rPr>
        <w:t>Accounting Standards for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Enterprises No.36 – Disclosure of Affiliates </w:t>
      </w:r>
      <w:r>
        <w:rPr>
          <w:rFonts w:ascii="Times New Roman" w:cs="Times New Roman" w:eastAsia="Times New Roman" w:hAnsi="Times New Roman"/>
          <w:sz w:val="16"/>
          <w:szCs w:val="16"/>
          <w:color w:val="auto"/>
        </w:rPr>
        <w:t>(CK [2006] No.3) published by the Ministry of Finance, as well as its subsequent revisions.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ESG risks: environmental, social, and governance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 Use of Line of Credit</w:t>
      </w:r>
    </w:p>
    <w:p>
      <w:pPr>
        <w:spacing w:after="0" w:line="20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2.1 Each time when needing to use the line of credit, the borrower should submit the application to the loaner at least 5 business days in advance. The borrower should fill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to obtain the approval by the loaner before using the line of credit.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▲▲2.2 Use of the line of credit must meet following conditions:</w:t>
      </w:r>
    </w:p>
    <w:p>
      <w:pPr>
        <w:spacing w:after="0" w:line="201" w:lineRule="exact"/>
        <w:rPr>
          <w:sz w:val="20"/>
          <w:szCs w:val="20"/>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of loan (under the revolving line of credit) or total loan (under the one-time line of credit) is within the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of applied loan is within the balance of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date and issuance date are within the period of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 of loan and maturity date of loan comply with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2"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 contract (if any) under this contract is effective and surviving, and while the guarantee contract is in the form of mortgage contract and/or pledge contract, the secured real right is already set and surviving;</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19"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handled procedures to obtain licenses, approvals and registrations from the government necessary for the application for the loan, and such licenses, approvals or registrations are surviving;</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serious adverse change occurs in the operation status or financial status of the borrower after this contract takes effect;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by the borrower meets relevant rules and regulations of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does not violate this contract;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mode of the loan meets this contract and if the loaner is entrusted to make the payment, the loaner should agree with the payment;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6"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appointed the dedicated fund withdrawal account as required by the loaner and has signed the account management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452" w:name="page453"/>
    <w:bookmarkEnd w:id="452"/>
    <w:p>
      <w:pPr>
        <w:ind w:left="280"/>
        <w:spacing w:after="0"/>
        <w:rPr>
          <w:sz w:val="20"/>
          <w:szCs w:val="20"/>
          <w:color w:val="auto"/>
        </w:rPr>
      </w:pPr>
      <w:r>
        <w:rPr>
          <w:rFonts w:ascii="Times New Roman" w:cs="Times New Roman" w:eastAsia="Times New Roman" w:hAnsi="Times New Roman"/>
          <w:sz w:val="16"/>
          <w:szCs w:val="16"/>
          <w:color w:val="auto"/>
        </w:rPr>
        <w:t xml:space="preserve">▲▲2.3 If the loaner agrees to issue the loan, the final issuance information should be subject to the column of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printed by the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Application for Use of Line of Credit </w:t>
      </w:r>
      <w:r>
        <w:rPr>
          <w:rFonts w:ascii="Times New Roman" w:cs="Times New Roman" w:eastAsia="Times New Roman" w:hAnsi="Times New Roman"/>
          <w:sz w:val="16"/>
          <w:szCs w:val="16"/>
          <w:color w:val="auto"/>
        </w:rPr>
        <w:t>should be regarded as the</w:t>
      </w:r>
      <w:r>
        <w:rPr>
          <w:rFonts w:ascii="Times New Roman" w:cs="Times New Roman" w:eastAsia="Times New Roman" w:hAnsi="Times New Roman"/>
          <w:sz w:val="16"/>
          <w:szCs w:val="16"/>
          <w:i w:val="1"/>
          <w:iCs w:val="1"/>
          <w:color w:val="auto"/>
        </w:rPr>
        <w:t xml:space="preserve"> Loan Certificate</w:t>
      </w:r>
      <w:r>
        <w:rPr>
          <w:rFonts w:ascii="Times New Roman" w:cs="Times New Roman" w:eastAsia="Times New Roman" w:hAnsi="Times New Roman"/>
          <w:sz w:val="16"/>
          <w:szCs w:val="16"/>
          <w:color w:val="auto"/>
        </w:rPr>
        <w:t>.</w:t>
      </w:r>
    </w:p>
    <w:p>
      <w:pPr>
        <w:spacing w:after="0" w:line="182" w:lineRule="exact"/>
        <w:rPr>
          <w:sz w:val="20"/>
          <w:szCs w:val="20"/>
          <w:color w:val="auto"/>
        </w:rPr>
      </w:pPr>
    </w:p>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 xml:space="preserve">▲▲2.4 If the currency of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▲▲2.5 After the borrower becomes the shareholder of the guarantor or the “actual controller” defined by the </w:t>
      </w:r>
      <w:r>
        <w:rPr>
          <w:rFonts w:ascii="Times New Roman" w:cs="Times New Roman" w:eastAsia="Times New Roman" w:hAnsi="Times New Roman"/>
          <w:sz w:val="16"/>
          <w:szCs w:val="16"/>
          <w:i w:val="1"/>
          <w:iCs w:val="1"/>
          <w:color w:val="auto"/>
        </w:rPr>
        <w:t>Company Law</w:t>
      </w:r>
      <w:r>
        <w:rPr>
          <w:rFonts w:ascii="Times New Roman" w:cs="Times New Roman" w:eastAsia="Times New Roman" w:hAnsi="Times New Roman"/>
          <w:sz w:val="16"/>
          <w:szCs w:val="16"/>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3. Interest Rate and Payment of Interest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3.1 Basic regulations on determining the interest rate</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spacing w:after="0" w:line="156" w:lineRule="exact"/>
        <w:rPr>
          <w:sz w:val="20"/>
          <w:szCs w:val="20"/>
          <w:color w:val="auto"/>
        </w:rPr>
      </w:pPr>
    </w:p>
    <w:p>
      <w:pPr>
        <w:jc w:val="both"/>
        <w:ind w:right="20" w:firstLine="289"/>
        <w:spacing w:after="0" w:line="256" w:lineRule="auto"/>
        <w:rPr>
          <w:sz w:val="20"/>
          <w:szCs w:val="20"/>
          <w:color w:val="auto"/>
        </w:rPr>
      </w:pPr>
      <w:r>
        <w:rPr>
          <w:rFonts w:ascii="Times New Roman" w:cs="Times New Roman" w:eastAsia="Times New Roman" w:hAnsi="Times New Roman"/>
          <w:sz w:val="16"/>
          <w:szCs w:val="16"/>
          <w:color w:val="auto"/>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spacing w:after="0" w:line="165"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▲▲3.2 Interest rate of loan</w:t>
      </w:r>
    </w:p>
    <w:p>
      <w:pPr>
        <w:spacing w:after="0" w:line="201"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53" w:name="page454"/>
    <w:bookmarkEnd w:id="453"/>
    <w:p>
      <w:pPr>
        <w:ind w:left="280"/>
        <w:spacing w:after="0"/>
        <w:rPr>
          <w:sz w:val="20"/>
          <w:szCs w:val="20"/>
          <w:color w:val="auto"/>
        </w:rPr>
      </w:pPr>
      <w:r>
        <w:rPr>
          <w:rFonts w:ascii="Times New Roman" w:cs="Times New Roman" w:eastAsia="Times New Roman" w:hAnsi="Times New Roman"/>
          <w:sz w:val="16"/>
          <w:szCs w:val="16"/>
          <w:color w:val="auto"/>
        </w:rPr>
        <w:t>3.3 Adjustment of interest rate</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3.3.1 Once the interest rate is recorded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as fixed, such interest rate should apply to the loan within the period of loan.</w:t>
      </w:r>
    </w:p>
    <w:p>
      <w:pPr>
        <w:spacing w:after="0" w:line="20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▲▲3.3.2 Once the interest rate is recorded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and the adjusted interest rate should apply since the interest rate adjustment date.</w:t>
      </w:r>
    </w:p>
    <w:p>
      <w:pPr>
        <w:spacing w:after="0" w:line="155"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spacing w:after="0" w:line="165"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spacing w:after="0" w:line="16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▲▲3.3.4 Both parties may adjust the fluctuation extent or increase (decrease) value of the corresponding loan interest rate through negotiation at each adjustment date of loan interest rate.</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4" w:name="page455"/>
    <w:bookmarkEnd w:id="454"/>
    <w:p>
      <w:pPr>
        <w:ind w:left="280"/>
        <w:spacing w:after="0"/>
        <w:rPr>
          <w:sz w:val="20"/>
          <w:szCs w:val="20"/>
          <w:color w:val="auto"/>
        </w:rPr>
      </w:pPr>
      <w:r>
        <w:rPr>
          <w:rFonts w:ascii="Times New Roman" w:cs="Times New Roman" w:eastAsia="Times New Roman" w:hAnsi="Times New Roman"/>
          <w:sz w:val="16"/>
          <w:szCs w:val="16"/>
          <w:color w:val="auto"/>
        </w:rPr>
        <w:t>3.5 Calculation of interest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the pricing benchmark is the loan market quoted rate (LPR), the pricing benchmark value applicable to T day is the latest published loan market quoted rate (LPR) value before T day.</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spacing w:after="0" w:line="165"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spacing w:after="0" w:line="165"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3.5.2 Normal interest=interest rate agreed herein × Loan amount × Number of days occupied.</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5" w:name="page456"/>
    <w:bookmarkEnd w:id="455"/>
    <w:p>
      <w:pPr>
        <w:ind w:left="280"/>
        <w:spacing w:after="0"/>
        <w:rPr>
          <w:sz w:val="20"/>
          <w:szCs w:val="20"/>
          <w:color w:val="auto"/>
        </w:rPr>
      </w:pPr>
      <w:r>
        <w:rPr>
          <w:rFonts w:ascii="Times New Roman" w:cs="Times New Roman" w:eastAsia="Times New Roman" w:hAnsi="Times New Roman"/>
          <w:sz w:val="16"/>
          <w:szCs w:val="16"/>
          <w:color w:val="auto"/>
        </w:rPr>
        <w:t>3.5.4 If there are many decimal places of interest/penalty interest calculated, the lender will retain two decimal places according to the rounding method.</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▲▲3.6 If the borrower repays the loan in advance or the loaner withdraws the loan in advance according to this contract, the corresponding interest rate shall still be subject to that specified in this contract.</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4. Payment of Loan</w:t>
      </w:r>
    </w:p>
    <w:p>
      <w:pPr>
        <w:spacing w:after="0" w:line="20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4.2 When drawing the loan according to this contract, the borrower should clarify the payment mode (entrusted payment by loaner or independent payment by borrower) and only one mode is applicable in each time of drawing.</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amount of a single payment is beyond the limit of the independent payment or any condition specified in Article 19.3, the mode of entrusted payment should apply.</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When choosing the mode of entrusted payment by the loaner, the borrower should submit the loaner with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55" w:lineRule="exact"/>
        <w:rPr>
          <w:sz w:val="20"/>
          <w:szCs w:val="20"/>
          <w:color w:val="auto"/>
        </w:rPr>
      </w:pPr>
    </w:p>
    <w:p>
      <w:pPr>
        <w:ind w:right="20" w:firstLine="285"/>
        <w:spacing w:after="0" w:line="283" w:lineRule="auto"/>
        <w:tabs>
          <w:tab w:leader="none" w:pos="665"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43" w:lineRule="exact"/>
        <w:rPr>
          <w:rFonts w:ascii="Times New Roman" w:cs="Times New Roman" w:eastAsia="Times New Roman" w:hAnsi="Times New Roman"/>
          <w:sz w:val="16"/>
          <w:szCs w:val="16"/>
          <w:color w:val="auto"/>
        </w:rPr>
      </w:pPr>
    </w:p>
    <w:p>
      <w:pPr>
        <w:jc w:val="both"/>
        <w:ind w:firstLine="285"/>
        <w:spacing w:after="0" w:line="267" w:lineRule="auto"/>
        <w:tabs>
          <w:tab w:leader="none" w:pos="649" w:val="left"/>
        </w:tabs>
        <w:numPr>
          <w:ilvl w:val="0"/>
          <w:numId w:val="4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56"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6" w:name="page457"/>
    <w:bookmarkEnd w:id="456"/>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When choosing the mode of independent payment by the borrower, the borrower should submit the loaner with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5. Repayment of Loan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5.1 The borrower should make the repayment according to the date and amount specified in the corresponding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▲▲5.2 Without the written consent from the loaner, the borrower may not repay the loan in advance.</w:t>
      </w:r>
    </w:p>
    <w:p>
      <w:pPr>
        <w:spacing w:after="0" w:line="199"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▲▲5.3 The repayment schedule of principal and interest agreed by the borrower and the loaner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▲▲5.4 When the amount repaid by the borrower is insufficient to cover all the debt of the borrower:</w:t>
      </w:r>
    </w:p>
    <w:p>
      <w:pPr>
        <w:spacing w:after="0" w:line="201" w:lineRule="exact"/>
        <w:rPr>
          <w:sz w:val="20"/>
          <w:szCs w:val="20"/>
          <w:color w:val="auto"/>
        </w:rPr>
      </w:pPr>
    </w:p>
    <w:p>
      <w:pPr>
        <w:jc w:val="both"/>
        <w:ind w:right="20" w:firstLine="285"/>
        <w:spacing w:after="0" w:line="267" w:lineRule="auto"/>
        <w:tabs>
          <w:tab w:leader="none" w:pos="519"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532"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6. Representation and Guarantee of Borrower</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6.1 The borrower is legally incorporated and surviving, possesses all the necessary capacities, perform obligations under this contract it its own name and assumes civil liabilities.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6.2 Signing and performing this contract are the true intention of the borrower that they must obtain all the necessary approvals, permissions and authorizations to contain no legal defect.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57" w:name="page458"/>
    <w:bookmarkEnd w:id="457"/>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spacing w:after="0" w:line="156" w:lineRule="exact"/>
        <w:rPr>
          <w:sz w:val="20"/>
          <w:szCs w:val="20"/>
          <w:color w:val="auto"/>
        </w:rPr>
      </w:pPr>
    </w:p>
    <w:p>
      <w:pPr>
        <w:jc w:val="both"/>
        <w:ind w:firstLine="285"/>
        <w:spacing w:after="0" w:line="261" w:lineRule="auto"/>
        <w:tabs>
          <w:tab w:leader="none" w:pos="682" w:val="left"/>
        </w:tabs>
        <w:numPr>
          <w:ilvl w:val="0"/>
          <w:numId w:val="4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6.7 According to the ESG risks faced by the borrower’s industry, if the borrower belongs to Class A or Class B customers, the borrower promises:</w:t>
      </w:r>
    </w:p>
    <w:p>
      <w:pPr>
        <w:spacing w:after="0" w:line="201" w:lineRule="exact"/>
        <w:rPr>
          <w:sz w:val="20"/>
          <w:szCs w:val="20"/>
          <w:color w:val="auto"/>
        </w:rPr>
      </w:pPr>
    </w:p>
    <w:p>
      <w:pPr>
        <w:ind w:left="520" w:hanging="235"/>
        <w:spacing w:after="0"/>
        <w:tabs>
          <w:tab w:leader="none" w:pos="5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internal management documents related to ESG risks comply with laws and regulations and are effectively implemented;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 major litigation cases involving ESG risks;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behaviors and performances of the borrower related to ESG risks are compliant.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7. Rights and Obligations of Loaner</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56" w:lineRule="exact"/>
        <w:rPr>
          <w:sz w:val="20"/>
          <w:szCs w:val="20"/>
          <w:color w:val="auto"/>
        </w:rPr>
      </w:pPr>
    </w:p>
    <w:p>
      <w:pPr>
        <w:jc w:val="both"/>
        <w:ind w:firstLine="285"/>
        <w:spacing w:after="0" w:line="267" w:lineRule="auto"/>
        <w:tabs>
          <w:tab w:leader="none" w:pos="471" w:val="left"/>
        </w:tabs>
        <w:numPr>
          <w:ilvl w:val="0"/>
          <w:numId w:val="4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56" w:lineRule="exact"/>
        <w:rPr>
          <w:sz w:val="20"/>
          <w:szCs w:val="20"/>
          <w:color w:val="auto"/>
        </w:rPr>
      </w:pPr>
    </w:p>
    <w:p>
      <w:pPr>
        <w:jc w:val="both"/>
        <w:ind w:right="20" w:firstLine="285"/>
        <w:spacing w:after="0" w:line="267" w:lineRule="auto"/>
        <w:tabs>
          <w:tab w:leader="none" w:pos="647" w:val="left"/>
        </w:tabs>
        <w:numPr>
          <w:ilvl w:val="0"/>
          <w:numId w:val="4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8. Obligations of Borrower</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8.1 The borrower should repay the principal and interest of loan under this contract according to the time, amount, currency and interest rate specified in this contract and the corresponding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8" w:name="page459"/>
    <w:bookmarkEnd w:id="458"/>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8.2 The borrower should use the line of credit for the purpose specified in this contract and use the loan for the purpose specified in the corresponding </w:t>
      </w:r>
      <w:r>
        <w:rPr>
          <w:rFonts w:ascii="Times New Roman" w:cs="Times New Roman" w:eastAsia="Times New Roman" w:hAnsi="Times New Roman"/>
          <w:sz w:val="16"/>
          <w:szCs w:val="16"/>
          <w:i w:val="1"/>
          <w:iCs w:val="1"/>
          <w:color w:val="auto"/>
        </w:rPr>
        <w:t>Application for Use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of Line of Credit </w:t>
      </w:r>
      <w:r>
        <w:rPr>
          <w:rFonts w:ascii="Times New Roman" w:cs="Times New Roman" w:eastAsia="Times New Roman" w:hAnsi="Times New Roman"/>
          <w:sz w:val="16"/>
          <w:szCs w:val="16"/>
          <w:color w:val="auto"/>
        </w:rPr>
        <w:t>but may not embezzle the loan for any other purpose, or the investment in fixed assets, equity or any production or operation prohibited by the government.</w:t>
      </w:r>
    </w:p>
    <w:p>
      <w:pPr>
        <w:spacing w:after="0" w:line="14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56" w:lineRule="exact"/>
        <w:rPr>
          <w:sz w:val="20"/>
          <w:szCs w:val="20"/>
          <w:color w:val="auto"/>
        </w:rPr>
      </w:pPr>
    </w:p>
    <w:p>
      <w:pPr>
        <w:jc w:val="both"/>
        <w:ind w:firstLine="285"/>
        <w:spacing w:after="0" w:line="267" w:lineRule="auto"/>
        <w:tabs>
          <w:tab w:leader="none" w:pos="473" w:val="left"/>
        </w:tabs>
        <w:numPr>
          <w:ilvl w:val="0"/>
          <w:numId w:val="4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spacing w:after="0" w:line="156"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loan fund payment involves cross-border payment, the loan fund payment may be handled through the SWIFT system or other systems.</w:t>
      </w:r>
    </w:p>
    <w:p>
      <w:pPr>
        <w:spacing w:after="0" w:line="201"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6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43" w:lineRule="exact"/>
        <w:rPr>
          <w:sz w:val="20"/>
          <w:szCs w:val="20"/>
          <w:color w:val="auto"/>
        </w:rPr>
      </w:pPr>
    </w:p>
    <w:p>
      <w:pPr>
        <w:ind w:left="520" w:hanging="235"/>
        <w:spacing w:after="0"/>
        <w:tabs>
          <w:tab w:leader="none" w:pos="5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sells, presents, leases, lends, transfers, mortgages, pledges or disposes in any other manner all or a large part of the assets or important assets;</w:t>
      </w:r>
    </w:p>
    <w:p>
      <w:pPr>
        <w:spacing w:after="0" w:line="200" w:lineRule="exact"/>
        <w:rPr>
          <w:rFonts w:ascii="Times New Roman" w:cs="Times New Roman" w:eastAsia="Times New Roman" w:hAnsi="Times New Roman"/>
          <w:sz w:val="16"/>
          <w:szCs w:val="16"/>
          <w:color w:val="auto"/>
        </w:rPr>
      </w:pPr>
    </w:p>
    <w:p>
      <w:pPr>
        <w:jc w:val="both"/>
        <w:ind w:firstLine="285"/>
        <w:spacing w:after="0" w:line="267" w:lineRule="auto"/>
        <w:tabs>
          <w:tab w:leader="none" w:pos="529"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external investment or increase of debt financing of the borrower exceeds the agreed limit.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59" w:name="page460"/>
    <w:bookmarkEnd w:id="459"/>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spacing w:after="0" w:line="143" w:lineRule="exact"/>
        <w:rPr>
          <w:sz w:val="20"/>
          <w:szCs w:val="20"/>
          <w:color w:val="auto"/>
        </w:rPr>
      </w:pPr>
    </w:p>
    <w:p>
      <w:pPr>
        <w:ind w:right="20" w:firstLine="285"/>
        <w:spacing w:after="0" w:line="283" w:lineRule="auto"/>
        <w:tabs>
          <w:tab w:leader="none" w:pos="54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its affiliate or guarantor plans to apply for bankruptcy or may be or has been applied by the creditor for bankruptcy;</w:t>
      </w:r>
    </w:p>
    <w:p>
      <w:pPr>
        <w:spacing w:after="0" w:line="200"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16"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55"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provides any guarantee to any third party to affect its economic status, financial status or capability in performing obligations under this contract significantly;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enters into any contract with significant influence on its operation and financial status;</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8"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its affiliate or guarantor is shut down, closed, dissolved, suspended, cancelled, or the business license is withdrawn;</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7"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18"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any affiliated transaction and its amount reaches or exceeds 10% of the latest audited net assets;</w:t>
      </w:r>
    </w:p>
    <w:p>
      <w:pPr>
        <w:spacing w:after="0" w:line="198" w:lineRule="exact"/>
        <w:rPr>
          <w:rFonts w:ascii="Times New Roman" w:cs="Times New Roman" w:eastAsia="Times New Roman" w:hAnsi="Times New Roman"/>
          <w:sz w:val="16"/>
          <w:szCs w:val="16"/>
          <w:color w:val="auto"/>
        </w:rPr>
      </w:pPr>
    </w:p>
    <w:p>
      <w:pPr>
        <w:ind w:right="20" w:firstLine="285"/>
        <w:spacing w:after="0" w:line="285" w:lineRule="auto"/>
        <w:tabs>
          <w:tab w:leader="none" w:pos="591"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Before repaying all the debts under this contract, the borrower becomes or may become the shareholder or the “actual controller” defined by the </w:t>
      </w:r>
      <w:r>
        <w:rPr>
          <w:rFonts w:ascii="Times New Roman" w:cs="Times New Roman" w:eastAsia="Times New Roman" w:hAnsi="Times New Roman"/>
          <w:sz w:val="16"/>
          <w:szCs w:val="16"/>
          <w:i w:val="1"/>
          <w:iCs w:val="1"/>
          <w:color w:val="auto"/>
        </w:rPr>
        <w:t>Company Law</w:t>
      </w:r>
      <w:r>
        <w:rPr>
          <w:rFonts w:ascii="Times New Roman" w:cs="Times New Roman" w:eastAsia="Times New Roman" w:hAnsi="Times New Roman"/>
          <w:sz w:val="16"/>
          <w:szCs w:val="16"/>
          <w:color w:val="auto"/>
        </w:rPr>
        <w:t xml:space="preserve"> of the guarantor;</w:t>
      </w:r>
    </w:p>
    <w:p>
      <w:pPr>
        <w:spacing w:after="0" w:line="142"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causes any liability accident or is made public by the media by violating any law, rule, regulation, national policy or industrial standard;</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encounters any safety or environment protection accident;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relationship between the affiliate and the borrower is changed;</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encounters any significant equity change;</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opinion issued by the external audit of the borrower on its financial statements is not the standard unreserved opinion;</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9"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or may be investigated, punished or taken with other similar measures by the competent authority as it violates the law or rule and/or regulatory requirement;</w:t>
      </w:r>
    </w:p>
    <w:p>
      <w:pPr>
        <w:spacing w:after="0" w:line="143" w:lineRule="exact"/>
        <w:rPr>
          <w:rFonts w:ascii="Times New Roman" w:cs="Times New Roman" w:eastAsia="Times New Roman" w:hAnsi="Times New Roman"/>
          <w:sz w:val="16"/>
          <w:szCs w:val="16"/>
          <w:color w:val="auto"/>
        </w:rPr>
      </w:pPr>
    </w:p>
    <w:p>
      <w:pPr>
        <w:ind w:left="20" w:right="20" w:firstLine="288"/>
        <w:spacing w:after="0" w:line="283" w:lineRule="auto"/>
        <w:tabs>
          <w:tab w:leader="none" w:pos="635" w:val="left"/>
        </w:tabs>
        <w:numPr>
          <w:ilvl w:val="1"/>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is listed to be sanctioned by the UN, EU or US, or the country or area where the borrower or its affiliate resides in is listed to be sanctioned by the UN, EU or 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0" w:name="page461"/>
    <w:bookmarkEnd w:id="460"/>
    <w:p>
      <w:pPr>
        <w:ind w:left="600" w:hanging="315"/>
        <w:spacing w:after="0"/>
        <w:tabs>
          <w:tab w:leader="none" w:pos="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any other event with serious adverse influence on the solvency of the borrower or its affiliate.</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0" w:val="left"/>
        </w:tabs>
        <w:numPr>
          <w:ilvl w:val="0"/>
          <w:numId w:val="4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lender’s environmental and social risk assessment standards, if the borrower is a customer with environmental and social risks classified as A or B, the borrower has or may have any of the following events:</w:t>
      </w:r>
    </w:p>
    <w:p>
      <w:pPr>
        <w:spacing w:after="0" w:line="143" w:lineRule="exact"/>
        <w:rPr>
          <w:sz w:val="20"/>
          <w:szCs w:val="20"/>
          <w:color w:val="auto"/>
        </w:rPr>
      </w:pPr>
    </w:p>
    <w:p>
      <w:pPr>
        <w:ind w:left="460" w:hanging="175"/>
        <w:spacing w:after="0"/>
        <w:tabs>
          <w:tab w:leader="none" w:pos="460" w:val="left"/>
        </w:tabs>
        <w:numPr>
          <w:ilvl w:val="0"/>
          <w:numId w:val="4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Various permits, approvals and approvals related to environment, society and risks during commencement, construction, operation and shutdown;</w:t>
      </w:r>
    </w:p>
    <w:p>
      <w:pPr>
        <w:spacing w:after="0" w:line="201" w:lineRule="exact"/>
        <w:rPr>
          <w:sz w:val="20"/>
          <w:szCs w:val="20"/>
          <w:color w:val="auto"/>
        </w:rPr>
      </w:pPr>
    </w:p>
    <w:p>
      <w:pPr>
        <w:ind w:right="20" w:firstLine="285"/>
        <w:spacing w:after="0" w:line="283" w:lineRule="auto"/>
        <w:tabs>
          <w:tab w:leader="none" w:pos="506" w:val="left"/>
        </w:tabs>
        <w:numPr>
          <w:ilvl w:val="0"/>
          <w:numId w:val="43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assessment and inspection of the environmental and social risks of the borrower by the environmental and social risk regulatory authority or its recognized institution;</w:t>
      </w:r>
    </w:p>
    <w:p>
      <w:pPr>
        <w:spacing w:after="0" w:line="143" w:lineRule="exact"/>
        <w:rPr>
          <w:sz w:val="20"/>
          <w:szCs w:val="20"/>
          <w:color w:val="auto"/>
        </w:rPr>
      </w:pPr>
    </w:p>
    <w:p>
      <w:pPr>
        <w:ind w:left="460" w:hanging="175"/>
        <w:spacing w:after="0"/>
        <w:tabs>
          <w:tab w:leader="none" w:pos="460" w:val="left"/>
        </w:tabs>
        <w:numPr>
          <w:ilvl w:val="0"/>
          <w:numId w:val="44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Supporting construction and operation of environmental facilities;</w:t>
      </w:r>
    </w:p>
    <w:p>
      <w:pPr>
        <w:spacing w:after="0" w:line="201" w:lineRule="exact"/>
        <w:rPr>
          <w:sz w:val="20"/>
          <w:szCs w:val="20"/>
          <w:color w:val="auto"/>
        </w:rPr>
      </w:pPr>
    </w:p>
    <w:p>
      <w:pPr>
        <w:ind w:left="460" w:hanging="175"/>
        <w:spacing w:after="0"/>
        <w:tabs>
          <w:tab w:leader="none" w:pos="460" w:val="left"/>
        </w:tabs>
        <w:numPr>
          <w:ilvl w:val="0"/>
          <w:numId w:val="4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Discharge and compliance of pollutants;</w:t>
      </w:r>
    </w:p>
    <w:p>
      <w:pPr>
        <w:spacing w:after="0" w:line="201" w:lineRule="exact"/>
        <w:rPr>
          <w:sz w:val="20"/>
          <w:szCs w:val="20"/>
          <w:color w:val="auto"/>
        </w:rPr>
      </w:pPr>
    </w:p>
    <w:p>
      <w:pPr>
        <w:ind w:left="460" w:hanging="175"/>
        <w:spacing w:after="0"/>
        <w:tabs>
          <w:tab w:leader="none" w:pos="460" w:val="left"/>
        </w:tabs>
        <w:numPr>
          <w:ilvl w:val="0"/>
          <w:numId w:val="4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Safety and health of employees;</w:t>
      </w:r>
    </w:p>
    <w:p>
      <w:pPr>
        <w:spacing w:after="0" w:line="201" w:lineRule="exact"/>
        <w:rPr>
          <w:sz w:val="20"/>
          <w:szCs w:val="20"/>
          <w:color w:val="auto"/>
        </w:rPr>
      </w:pPr>
    </w:p>
    <w:p>
      <w:pPr>
        <w:ind w:left="460" w:hanging="175"/>
        <w:spacing w:after="0"/>
        <w:tabs>
          <w:tab w:leader="none" w:pos="460" w:val="left"/>
        </w:tabs>
        <w:numPr>
          <w:ilvl w:val="0"/>
          <w:numId w:val="4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Major complaints and protests from neighboring communities against the borrower;</w:t>
      </w:r>
    </w:p>
    <w:p>
      <w:pPr>
        <w:spacing w:after="0" w:line="201" w:lineRule="exact"/>
        <w:rPr>
          <w:sz w:val="20"/>
          <w:szCs w:val="20"/>
          <w:color w:val="auto"/>
        </w:rPr>
      </w:pPr>
    </w:p>
    <w:p>
      <w:pPr>
        <w:ind w:left="460" w:hanging="175"/>
        <w:spacing w:after="0"/>
        <w:tabs>
          <w:tab w:leader="none" w:pos="460" w:val="left"/>
        </w:tabs>
        <w:numPr>
          <w:ilvl w:val="0"/>
          <w:numId w:val="44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Major environmental and social claims;</w:t>
      </w:r>
    </w:p>
    <w:p>
      <w:pPr>
        <w:spacing w:after="0" w:line="201" w:lineRule="exact"/>
        <w:rPr>
          <w:sz w:val="20"/>
          <w:szCs w:val="20"/>
          <w:color w:val="auto"/>
        </w:rPr>
      </w:pPr>
    </w:p>
    <w:p>
      <w:pPr>
        <w:ind w:left="460" w:hanging="175"/>
        <w:spacing w:after="0"/>
        <w:tabs>
          <w:tab w:leader="none" w:pos="460" w:val="left"/>
        </w:tabs>
        <w:numPr>
          <w:ilvl w:val="0"/>
          <w:numId w:val="44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major circumstances that the lender considers relevant to ESG risks.</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▲▲8.7 In case of any change of guarantee under this contract that is adverse to the creditor’s right of the loaner, the borrower should provide other guarantee recognized by the loaner in time.</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8"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61" w:name="page462"/>
    <w:bookmarkEnd w:id="461"/>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8.10 According to the lender’s environmental and social risk assessment standards, if the borrower is a customer with environmental and social risks classified as A or B, the borrower shall assume the following obligations:</w:t>
      </w:r>
    </w:p>
    <w:p>
      <w:pPr>
        <w:spacing w:after="0" w:line="143" w:lineRule="exact"/>
        <w:rPr>
          <w:sz w:val="20"/>
          <w:szCs w:val="20"/>
          <w:color w:val="auto"/>
        </w:rPr>
      </w:pPr>
    </w:p>
    <w:p>
      <w:pPr>
        <w:ind w:right="20" w:firstLine="285"/>
        <w:spacing w:after="0" w:line="283" w:lineRule="auto"/>
        <w:tabs>
          <w:tab w:leader="none" w:pos="53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improve the internal management system of environmental and social risks, and specify the responsibilities, obligations and punishment measures of relevant responsible personnel of the borrower;</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improve the emergency response mechanism and measures for environmental and social risk emergencies;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special departments and/or designate special personnel to be responsible for environmental and social risks;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lender or a third party recognized by the lender in the assessment and inspection of the borrower’s environmental and social risks;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46"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 appropriately or take other necessary actions when the public or other interested parties strongly question the borrower’s performance in controlling environmental and social risks;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32"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Urge the borrower’s vital related parties to strengthen management and prevent the environmental and social risks of related parties from being transmitted to the borrower;</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 other obligations that the lender considers relevant to the control of environmental and social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9. Adjustment of Line of Credit, Acceleration of Maturity and Repricing of Risk</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9.1 Any event below should be deemed as the “early maturity event” of this contract:</w:t>
      </w:r>
    </w:p>
    <w:p>
      <w:pPr>
        <w:spacing w:after="0" w:line="199" w:lineRule="exact"/>
        <w:rPr>
          <w:sz w:val="20"/>
          <w:szCs w:val="20"/>
          <w:color w:val="auto"/>
        </w:rPr>
      </w:pPr>
    </w:p>
    <w:p>
      <w:pPr>
        <w:ind w:left="520" w:hanging="235"/>
        <w:spacing w:after="0"/>
        <w:tabs>
          <w:tab w:leader="none" w:pos="5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does not repay the principal or interest of the loan according to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under this contract;</w:t>
      </w:r>
    </w:p>
    <w:p>
      <w:pPr>
        <w:spacing w:after="0" w:line="202"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makes any false representation or guarantee under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should be notified as specified in Article 8.6 occurs and influences or may influence the security of the creditor’s right of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 rule or regulatory policy is changed to the extent that the loaner will or may violate the law or rule if it issues the loan according to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performing the contract with the loaner or any third party, the borrower conducts any breach or the debt may be or has been announced to be mature in advance;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breaches any other article of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lender’s environmental and social risk assessment standards, if the borrower’s environmental and social risks are classified as A or B, the borrower has any of the following events:</w:t>
      </w:r>
    </w:p>
    <w:p>
      <w:pPr>
        <w:spacing w:after="0" w:line="143" w:lineRule="exact"/>
        <w:rPr>
          <w:sz w:val="20"/>
          <w:szCs w:val="20"/>
          <w:color w:val="auto"/>
        </w:rPr>
      </w:pPr>
    </w:p>
    <w:p>
      <w:pPr>
        <w:ind w:left="460" w:hanging="175"/>
        <w:spacing w:after="0"/>
        <w:tabs>
          <w:tab w:leader="none" w:pos="460" w:val="left"/>
        </w:tabs>
        <w:numPr>
          <w:ilvl w:val="0"/>
          <w:numId w:val="44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is punished by relevant government departments due to poor environmental and social risk management;</w:t>
      </w:r>
    </w:p>
    <w:p>
      <w:pPr>
        <w:spacing w:after="0" w:line="201" w:lineRule="exact"/>
        <w:rPr>
          <w:sz w:val="20"/>
          <w:szCs w:val="20"/>
          <w:color w:val="auto"/>
        </w:rPr>
      </w:pPr>
    </w:p>
    <w:p>
      <w:pPr>
        <w:ind w:firstLine="285"/>
        <w:spacing w:after="0" w:line="283" w:lineRule="auto"/>
        <w:tabs>
          <w:tab w:leader="none" w:pos="495" w:val="left"/>
        </w:tabs>
        <w:numPr>
          <w:ilvl w:val="0"/>
          <w:numId w:val="44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is strongly questioned by the public and/or the media due to poor environmental and social risk management, and it is verified that there are relevant situations;</w:t>
      </w:r>
    </w:p>
    <w:p>
      <w:pPr>
        <w:spacing w:after="0" w:line="143" w:lineRule="exact"/>
        <w:rPr>
          <w:sz w:val="20"/>
          <w:szCs w:val="20"/>
          <w:color w:val="auto"/>
        </w:rPr>
      </w:pPr>
    </w:p>
    <w:p>
      <w:pPr>
        <w:ind w:left="5540" w:right="2300" w:hanging="5255"/>
        <w:spacing w:after="0" w:line="785" w:lineRule="auto"/>
        <w:tabs>
          <w:tab w:leader="none" w:pos="462" w:val="left"/>
        </w:tabs>
        <w:numPr>
          <w:ilvl w:val="0"/>
          <w:numId w:val="45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violates the obligations related to environmental and social risk management agreed with the lender in other contracts.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147560" cy="152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62" w:name="page463"/>
    <w:bookmarkEnd w:id="462"/>
    <w:p>
      <w:pPr>
        <w:ind w:left="280"/>
        <w:spacing w:after="0"/>
        <w:rPr>
          <w:sz w:val="20"/>
          <w:szCs w:val="20"/>
          <w:color w:val="auto"/>
        </w:rPr>
      </w:pPr>
      <w:r>
        <w:rPr>
          <w:rFonts w:ascii="Times New Roman" w:cs="Times New Roman" w:eastAsia="Times New Roman" w:hAnsi="Times New Roman"/>
          <w:sz w:val="16"/>
          <w:szCs w:val="16"/>
          <w:color w:val="auto"/>
        </w:rPr>
        <w:t>9.2 In case of any “early maturity event”, the loaner may take any one, several or all measures below:</w:t>
      </w:r>
    </w:p>
    <w:p>
      <w:pPr>
        <w:spacing w:after="0" w:line="201" w:lineRule="exact"/>
        <w:rPr>
          <w:sz w:val="20"/>
          <w:szCs w:val="20"/>
          <w:color w:val="auto"/>
        </w:rPr>
      </w:pPr>
    </w:p>
    <w:p>
      <w:pPr>
        <w:ind w:left="520" w:hanging="235"/>
        <w:spacing w:after="0"/>
        <w:tabs>
          <w:tab w:leader="none" w:pos="5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lower, suspend or cancel the line of credit under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stop issuing the loan unused by the borrower;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stop paying the loan unused but already withdrawn by the borrower;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require the borrower to supplement the issuance and payment conditions of loan to the loaner with the regulated period;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require the borrower to change the payment mode as required by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reprice against the risk in executing the loan according to Article 9.3;</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19" w:val="left"/>
        </w:tabs>
        <w:numPr>
          <w:ilvl w:val="0"/>
          <w:numId w:val="4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announce that the principal of loan already issued under this contract becomes mature and require the borrower to repay the principal and interest of all the mature loan immediately.</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9.3.1 The repricing mentioned above consists of two modes, including repricing and directly raising the loan interest rate. The specific mode is agreed by both parties in Article 21.</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9.3.3 “Direct raise of loan interest rate” means that the loaner may directly raise the loan interest rate according to this article and Article 21.</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9.3.3.1 Since the loan sends a notice of “repricing date” to the borrower, the loan interest rate should be applied to each loan that the borrower has not repaid by the “repricing date”.</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9.3.3.3 If the loan currency is other than RMB, US dollar, Euro, Hong Kong dollar, Japanese yen and British pound, the increased loan interest rate shall be determined according to Article 21.2.2.</w:t>
      </w:r>
    </w:p>
    <w:p>
      <w:pPr>
        <w:spacing w:after="0" w:line="143"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6"/>
          <w:szCs w:val="16"/>
          <w:b w:val="1"/>
          <w:bCs w:val="1"/>
          <w:color w:val="auto"/>
        </w:rPr>
        <w:t>▲▲Article 10. Breach</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11. Deduction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11.2 After such deduction, the loaner should inform the borrower of relevant account number, contract number, number of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deduction amount and remaining debt.</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11.3 If the deducted fund is insufficient to repay all the debt of the borrower, the debt to be repaid by such fund should be determined according to this contract.</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12. Notice</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56" w:lineRule="exact"/>
        <w:rPr>
          <w:sz w:val="20"/>
          <w:szCs w:val="20"/>
          <w:color w:val="auto"/>
        </w:rPr>
      </w:pPr>
    </w:p>
    <w:p>
      <w:pPr>
        <w:ind w:right="20" w:firstLine="285"/>
        <w:spacing w:after="0" w:line="283" w:lineRule="auto"/>
        <w:tabs>
          <w:tab w:leader="none" w:pos="533"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announcement, the date at which the loaner publishes the announcement on its website, online bank, telephone bank or outlet should be deemed as the delivery date;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personal delivery, the date at which the borrower signs to confirm the reception should be deemed as the delivery date;</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2"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18"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64" w:name="page465"/>
    <w:bookmarkEnd w:id="464"/>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12.4 This clause is an independent dispute resolution clause in the contract. If the contract is invalid, canceled or terminated, the validity of this clause will not be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13. Disclosure and Confidentiality</w:t>
      </w:r>
    </w:p>
    <w:p>
      <w:pPr>
        <w:spacing w:after="0" w:line="20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spacing w:after="0" w:line="156" w:lineRule="exact"/>
        <w:rPr>
          <w:sz w:val="20"/>
          <w:szCs w:val="20"/>
          <w:color w:val="auto"/>
        </w:rPr>
      </w:pPr>
    </w:p>
    <w:p>
      <w:pPr>
        <w:ind w:left="520" w:hanging="235"/>
        <w:spacing w:after="0"/>
        <w:tabs>
          <w:tab w:leader="none" w:pos="520"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required by applicable laws and regulations;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required by judicial departments or regulatory agencies in accordance with the law;</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5"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implementation of other actions to safeguard public interests or the legitimate rights and interests of borrowers;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or authorizes the lender to disclose.</w:t>
      </w:r>
    </w:p>
    <w:p>
      <w:pPr>
        <w:spacing w:after="0" w:line="199" w:lineRule="exact"/>
        <w:rPr>
          <w:sz w:val="20"/>
          <w:szCs w:val="20"/>
          <w:color w:val="auto"/>
        </w:rPr>
      </w:pPr>
    </w:p>
    <w:p>
      <w:pPr>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13.2 The borrower confirms that it has signed the </w:t>
      </w:r>
      <w:r>
        <w:rPr>
          <w:rFonts w:ascii="Times New Roman" w:cs="Times New Roman" w:eastAsia="Times New Roman" w:hAnsi="Times New Roman"/>
          <w:sz w:val="16"/>
          <w:szCs w:val="16"/>
          <w:i w:val="1"/>
          <w:iCs w:val="1"/>
          <w:color w:val="auto"/>
        </w:rPr>
        <w:t>Credit Information Inquiry and Provision Authorization</w:t>
      </w:r>
      <w:r>
        <w:rPr>
          <w:rFonts w:ascii="Times New Roman" w:cs="Times New Roman" w:eastAsia="Times New Roman" w:hAnsi="Times New Roman"/>
          <w:sz w:val="16"/>
          <w:szCs w:val="16"/>
          <w:color w:val="auto"/>
        </w:rPr>
        <w:t>. The loaner may inquire, use and keep the credit information of the borrower within the scope regulated by the authorization.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5" w:name="page466"/>
    <w:bookmarkEnd w:id="465"/>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156" w:lineRule="exact"/>
        <w:rPr>
          <w:sz w:val="20"/>
          <w:szCs w:val="20"/>
          <w:color w:val="auto"/>
        </w:rPr>
      </w:pPr>
    </w:p>
    <w:p>
      <w:pPr>
        <w:jc w:val="both"/>
        <w:ind w:firstLine="289"/>
        <w:spacing w:after="0" w:line="196" w:lineRule="exact"/>
        <w:rPr>
          <w:sz w:val="20"/>
          <w:szCs w:val="20"/>
          <w:color w:val="auto"/>
        </w:rPr>
      </w:pPr>
      <w:r>
        <w:rPr>
          <w:rFonts w:ascii="Times New Roman" w:cs="Times New Roman" w:eastAsia="Times New Roman" w:hAnsi="Times New Roman"/>
          <w:sz w:val="16"/>
          <w:szCs w:val="16"/>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loaner provides or may provide the borrower with the new product or service, or further provides the service.</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Whether Article 13.3 is applicable should be subject to Article 24 of this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14. Applicable Laws and Dispute Solution</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15. Effectiveness of the contract, loan nature and contract composition</w:t>
      </w:r>
    </w:p>
    <w:p>
      <w:pPr>
        <w:spacing w:after="0" w:line="20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15.2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and other relevant documents and materials signed under this contract are indispensable parts of this contract.</w:t>
      </w:r>
    </w:p>
    <w:p>
      <w:pPr>
        <w:spacing w:after="0" w:line="201"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15.3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the supplement to this contract. Unless otherwise regulated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rights, obligations and other matters of the borrower and the loaner should still be subject to this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16. Specific Content of Line of Credit</w:t>
      </w:r>
    </w:p>
    <w:p>
      <w:pPr>
        <w:spacing w:after="0" w:line="167" w:lineRule="exact"/>
        <w:rPr>
          <w:sz w:val="20"/>
          <w:szCs w:val="20"/>
          <w:color w:val="auto"/>
        </w:rPr>
      </w:pPr>
    </w:p>
    <w:p>
      <w:pPr>
        <w:jc w:val="both"/>
        <w:ind w:right="20" w:firstLine="289"/>
        <w:spacing w:after="0" w:line="232" w:lineRule="exact"/>
        <w:rPr>
          <w:sz w:val="20"/>
          <w:szCs w:val="20"/>
          <w:color w:val="auto"/>
        </w:rPr>
      </w:pPr>
      <w:r>
        <w:rPr>
          <w:rFonts w:ascii="Times New Roman" w:cs="Times New Roman" w:eastAsia="Times New Roman" w:hAnsi="Times New Roman"/>
          <w:sz w:val="16"/>
          <w:szCs w:val="16"/>
          <w:color w:val="auto"/>
        </w:rPr>
        <w:t xml:space="preserve">16.1 Currency of line of credit: </w:t>
      </w:r>
      <w:r>
        <w:rPr>
          <w:rFonts w:ascii="Times New Roman" w:cs="Times New Roman" w:eastAsia="Times New Roman" w:hAnsi="Times New Roman"/>
          <w:sz w:val="16"/>
          <w:szCs w:val="16"/>
          <w:u w:val="single" w:color="auto"/>
          <w:color w:val="auto"/>
        </w:rPr>
        <w:t>RMB</w:t>
      </w:r>
      <w:r>
        <w:rPr>
          <w:rFonts w:ascii="Times New Roman" w:cs="Times New Roman" w:eastAsia="Times New Roman" w:hAnsi="Times New Roman"/>
          <w:sz w:val="16"/>
          <w:szCs w:val="16"/>
          <w:color w:val="auto"/>
        </w:rPr>
        <w:t xml:space="preserve">; Amount in words: </w:t>
      </w:r>
      <w:r>
        <w:rPr>
          <w:rFonts w:ascii="Times New Roman" w:cs="Times New Roman" w:eastAsia="Times New Roman" w:hAnsi="Times New Roman"/>
          <w:sz w:val="16"/>
          <w:szCs w:val="16"/>
          <w:u w:val="single" w:color="auto"/>
          <w:color w:val="auto"/>
        </w:rPr>
        <w:t>ten million yuan;</w:t>
      </w:r>
      <w:r>
        <w:rPr>
          <w:rFonts w:ascii="Times New Roman" w:cs="Times New Roman" w:eastAsia="Times New Roman" w:hAnsi="Times New Roman"/>
          <w:sz w:val="16"/>
          <w:szCs w:val="16"/>
          <w:color w:val="auto"/>
        </w:rPr>
        <w:t xml:space="preserve"> It can be used in √ currency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line currency and other currencies acceptable to the lender; This line belongs to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Revolving line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One time line (can be used for many times) √ One time line (only used once).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16.2 Purpose of credit line: </w:t>
      </w:r>
      <w:r>
        <w:rPr>
          <w:rFonts w:ascii="Times New Roman" w:cs="Times New Roman" w:eastAsia="Times New Roman" w:hAnsi="Times New Roman"/>
          <w:sz w:val="16"/>
          <w:szCs w:val="16"/>
          <w:u w:val="single" w:color="auto"/>
          <w:color w:val="auto"/>
        </w:rPr>
        <w:t>business turnover.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16.3 The credit term is from </w:t>
      </w:r>
      <w:r>
        <w:rPr>
          <w:rFonts w:ascii="Times New Roman" w:cs="Times New Roman" w:eastAsia="Times New Roman" w:hAnsi="Times New Roman"/>
          <w:sz w:val="16"/>
          <w:szCs w:val="16"/>
          <w:u w:val="single" w:color="auto"/>
          <w:color w:val="auto"/>
        </w:rPr>
        <w:t>July 5, 2024</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July 5,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17. Interest Rate</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spacing w:after="0" w:line="15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15875</wp:posOffset>
            </wp:positionV>
            <wp:extent cx="4398645"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9">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6"/>
          <w:szCs w:val="16"/>
          <w:b w:val="1"/>
          <w:bCs w:val="1"/>
          <w:color w:val="auto"/>
        </w:rPr>
        <w:t>Article 18. Account</w:t>
      </w:r>
    </w:p>
    <w:p>
      <w:pPr>
        <w:spacing w:after="0" w:line="167" w:lineRule="exact"/>
        <w:rPr>
          <w:sz w:val="20"/>
          <w:szCs w:val="20"/>
          <w:color w:val="auto"/>
        </w:rPr>
      </w:pPr>
    </w:p>
    <w:p>
      <w:pPr>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18.1 The borrower appoints the following account to be the issuance account. The account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is √ is not the dedicated loan issuance account opened at the loaner. If both parties otherwise regulate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such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should prevail.</w:t>
      </w:r>
    </w:p>
    <w:p>
      <w:pPr>
        <w:spacing w:after="0" w:line="176"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6"/>
          <w:szCs w:val="16"/>
          <w:color w:val="auto"/>
        </w:rPr>
        <w:t>Account name:</w:t>
      </w:r>
      <w:r>
        <w:rPr>
          <w:sz w:val="20"/>
          <w:szCs w:val="20"/>
          <w:color w:val="auto"/>
        </w:rPr>
        <w:tab/>
      </w:r>
      <w:r>
        <w:rPr>
          <w:rFonts w:ascii="Times New Roman" w:cs="Times New Roman" w:eastAsia="Times New Roman" w:hAnsi="Times New Roman"/>
          <w:sz w:val="15"/>
          <w:szCs w:val="15"/>
          <w:color w:val="auto"/>
        </w:rPr>
        <w:t>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18.2 The borrower appoints that: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repayment account:</w:t>
      </w:r>
    </w:p>
    <w:p>
      <w:pPr>
        <w:spacing w:after="0" w:line="201"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6"/>
          <w:szCs w:val="16"/>
          <w:color w:val="auto"/>
        </w:rPr>
        <w:t>Account name:</w:t>
      </w:r>
      <w:r>
        <w:rPr>
          <w:sz w:val="20"/>
          <w:szCs w:val="20"/>
          <w:color w:val="auto"/>
        </w:rPr>
        <w:tab/>
      </w:r>
      <w:r>
        <w:rPr>
          <w:rFonts w:ascii="Times New Roman" w:cs="Times New Roman" w:eastAsia="Times New Roman" w:hAnsi="Times New Roman"/>
          <w:sz w:val="15"/>
          <w:szCs w:val="15"/>
          <w:color w:val="auto"/>
        </w:rPr>
        <w:t>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The fund collection account:</w:t>
      </w:r>
    </w:p>
    <w:p>
      <w:pPr>
        <w:spacing w:after="0" w:line="201" w:lineRule="exact"/>
        <w:rPr>
          <w:sz w:val="20"/>
          <w:szCs w:val="20"/>
          <w:color w:val="auto"/>
        </w:rPr>
      </w:pPr>
    </w:p>
    <w:p>
      <w:pPr>
        <w:ind w:left="280"/>
        <w:spacing w:after="0"/>
        <w:tabs>
          <w:tab w:leader="none" w:pos="1420" w:val="left"/>
        </w:tabs>
        <w:rPr>
          <w:sz w:val="20"/>
          <w:szCs w:val="20"/>
          <w:color w:val="auto"/>
        </w:rPr>
      </w:pPr>
      <w:r>
        <w:rPr>
          <w:rFonts w:ascii="Times New Roman" w:cs="Times New Roman" w:eastAsia="Times New Roman" w:hAnsi="Times New Roman"/>
          <w:sz w:val="16"/>
          <w:szCs w:val="16"/>
          <w:color w:val="auto"/>
        </w:rPr>
        <w:t>Account name:</w:t>
      </w:r>
      <w:r>
        <w:rPr>
          <w:sz w:val="20"/>
          <w:szCs w:val="20"/>
          <w:color w:val="auto"/>
        </w:rPr>
        <w:tab/>
      </w:r>
      <w:r>
        <w:rPr>
          <w:rFonts w:ascii="Times New Roman" w:cs="Times New Roman" w:eastAsia="Times New Roman" w:hAnsi="Times New Roman"/>
          <w:sz w:val="15"/>
          <w:szCs w:val="15"/>
          <w:color w:val="auto"/>
        </w:rPr>
        <w:t>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19. Issuance, Payment and Repayment of Loan</w:t>
      </w:r>
    </w:p>
    <w:p>
      <w:pPr>
        <w:spacing w:after="0" w:line="167" w:lineRule="exact"/>
        <w:rPr>
          <w:sz w:val="20"/>
          <w:szCs w:val="20"/>
          <w:color w:val="auto"/>
        </w:rPr>
      </w:pPr>
    </w:p>
    <w:p>
      <w:pPr>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19.1 The period of each loan withdrawn under this contract should be no longer than 12√months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days, and the maturity date of all the loan should be no later than </w:t>
      </w:r>
      <w:r>
        <w:rPr>
          <w:rFonts w:ascii="Times New Roman" w:cs="Times New Roman" w:eastAsia="Times New Roman" w:hAnsi="Times New Roman"/>
          <w:sz w:val="16"/>
          <w:szCs w:val="16"/>
          <w:u w:val="single" w:color="auto"/>
          <w:color w:val="auto"/>
        </w:rPr>
        <w:t>November 6, 2025.</w:t>
      </w:r>
    </w:p>
    <w:p>
      <w:pPr>
        <w:spacing w:after="0" w:line="140"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19.2 The limit of independent payment under the Contract is:√ RMB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/(foreign currency) </w:t>
      </w:r>
      <w:r>
        <w:rPr>
          <w:rFonts w:ascii="Times New Roman" w:cs="Times New Roman" w:eastAsia="Times New Roman" w:hAnsi="Times New Roman"/>
          <w:sz w:val="16"/>
          <w:szCs w:val="16"/>
          <w:u w:val="single" w:color="auto"/>
          <w:color w:val="auto"/>
        </w:rPr>
        <w:t>zero</w:t>
      </w:r>
      <w:r>
        <w:rPr>
          <w:rFonts w:ascii="Times New Roman" w:cs="Times New Roman" w:eastAsia="Times New Roman" w:hAnsi="Times New Roman"/>
          <w:sz w:val="16"/>
          <w:szCs w:val="16"/>
          <w:color w:val="auto"/>
        </w:rPr>
        <w:t xml:space="preserve"> thousand yuan or equivalent in other currencies.</w:t>
      </w:r>
    </w:p>
    <w:p>
      <w:pPr>
        <w:spacing w:after="0" w:line="2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19.3 The entrusted payment by loaner is compulsory once any condition below is met:</w:t>
      </w:r>
    </w:p>
    <w:p>
      <w:pPr>
        <w:spacing w:after="0" w:line="20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15875</wp:posOffset>
            </wp:positionV>
            <wp:extent cx="4398645"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1">
                      <a:extLst>
                        <a:ext uri="{28A0092B-C50C-407E-A947-70E740481C1C}"/>
                      </a:extLst>
                    </a:blip>
                    <a:srcRect/>
                    <a:stretch>
                      <a:fillRect/>
                    </a:stretch>
                  </pic:blipFill>
                  <pic:spPr bwMode="auto">
                    <a:xfrm>
                      <a:off x="0" y="0"/>
                      <a:ext cx="4398645"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267970</wp:posOffset>
            </wp:positionV>
            <wp:extent cx="439864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2">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19.4 In the mode of independent payment by the borrower, the borrower should report the payment of loan fund to the loaner within 15 days since the issuance of loan.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20. Financial Restriction, External Rating, Production and Operation Qualification/License</w:t>
      </w:r>
    </w:p>
    <w:p>
      <w:pPr>
        <w:spacing w:after="0" w:line="203"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 xml:space="preserve">20.1 Limit on the external investment by the borrower is RMB </w:t>
      </w:r>
      <w:r>
        <w:rPr>
          <w:rFonts w:ascii="Times New Roman" w:cs="Times New Roman" w:eastAsia="Times New Roman" w:hAnsi="Times New Roman"/>
          <w:sz w:val="16"/>
          <w:szCs w:val="16"/>
          <w:u w:val="single" w:color="auto"/>
          <w:color w:val="auto"/>
        </w:rPr>
        <w:t>30 million</w:t>
      </w:r>
      <w:r>
        <w:rPr>
          <w:rFonts w:ascii="Times New Roman" w:cs="Times New Roman" w:eastAsia="Times New Roman" w:hAnsi="Times New Roman"/>
          <w:sz w:val="16"/>
          <w:szCs w:val="16"/>
          <w:color w:val="auto"/>
        </w:rPr>
        <w:t xml:space="preserve">; limit for providing external guarantees is RMB 30 million; limit on the increase of debt financing is RMB </w:t>
      </w:r>
      <w:r>
        <w:rPr>
          <w:rFonts w:ascii="Times New Roman" w:cs="Times New Roman" w:eastAsia="Times New Roman" w:hAnsi="Times New Roman"/>
          <w:sz w:val="16"/>
          <w:szCs w:val="16"/>
          <w:u w:val="single" w:color="auto"/>
          <w:color w:val="auto"/>
        </w:rPr>
        <w:t>30 million.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20.2 Specific regulations on the financial indexes of the borrower:</w:t>
      </w:r>
    </w:p>
    <w:p>
      <w:pPr>
        <w:spacing w:after="0" w:line="201" w:lineRule="exact"/>
        <w:rPr>
          <w:sz w:val="20"/>
          <w:szCs w:val="20"/>
          <w:color w:val="auto"/>
        </w:rPr>
      </w:pPr>
    </w:p>
    <w:p>
      <w:pPr>
        <w:ind w:left="280"/>
        <w:spacing w:after="0"/>
        <w:tabs>
          <w:tab w:leader="none" w:pos="39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3">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4">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5">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67" w:name="page468"/>
    <w:bookmarkEnd w:id="467"/>
    <w:p>
      <w:pPr>
        <w:ind w:left="280"/>
        <w:spacing w:after="0"/>
        <w:rPr>
          <w:sz w:val="20"/>
          <w:szCs w:val="20"/>
          <w:color w:val="auto"/>
        </w:rPr>
      </w:pPr>
      <w:r>
        <w:rPr>
          <w:rFonts w:ascii="Times New Roman" w:cs="Times New Roman" w:eastAsia="Times New Roman" w:hAnsi="Times New Roman"/>
          <w:sz w:val="16"/>
          <w:szCs w:val="16"/>
          <w:color w:val="auto"/>
        </w:rPr>
        <w:t>20.3 Specific regulations on the external rating:</w:t>
      </w:r>
    </w:p>
    <w:p>
      <w:pPr>
        <w:spacing w:after="0" w:line="201" w:lineRule="exact"/>
        <w:rPr>
          <w:sz w:val="20"/>
          <w:szCs w:val="20"/>
          <w:color w:val="auto"/>
        </w:rPr>
      </w:pPr>
    </w:p>
    <w:p>
      <w:pPr>
        <w:ind w:left="280"/>
        <w:spacing w:after="0"/>
        <w:tabs>
          <w:tab w:leader="none" w:pos="39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7">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8">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20.4 Specific regulations on the production and operation qualification/license of the borrower:</w:t>
      </w:r>
    </w:p>
    <w:p>
      <w:pPr>
        <w:spacing w:after="0" w:line="201" w:lineRule="exact"/>
        <w:rPr>
          <w:sz w:val="20"/>
          <w:szCs w:val="20"/>
          <w:color w:val="auto"/>
        </w:rPr>
      </w:pPr>
    </w:p>
    <w:p>
      <w:pPr>
        <w:ind w:left="280"/>
        <w:spacing w:after="0"/>
        <w:tabs>
          <w:tab w:leader="none" w:pos="394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9">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1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15875</wp:posOffset>
            </wp:positionV>
            <wp:extent cx="4398645"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0">
                      <a:extLst>
                        <a:ext uri="{28A0092B-C50C-407E-A947-70E740481C1C}"/>
                      </a:extLst>
                    </a:blip>
                    <a:srcRect/>
                    <a:stretch>
                      <a:fillRect/>
                    </a:stretch>
                  </pic:blipFill>
                  <pic:spPr bwMode="auto">
                    <a:xfrm>
                      <a:off x="0" y="0"/>
                      <a:ext cx="4398645" cy="76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21. Repricing of Risk</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21.1 This contract adopts the first repricing mode below: (1) Repricing through negotiations; (2) Direct raising the loan interest rate.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21.2 Once the “direct raising the loan interest rate” is adopted:</w:t>
      </w:r>
    </w:p>
    <w:p>
      <w:pPr>
        <w:spacing w:after="0" w:line="165" w:lineRule="exact"/>
        <w:rPr>
          <w:sz w:val="20"/>
          <w:szCs w:val="20"/>
          <w:color w:val="auto"/>
        </w:rPr>
      </w:pPr>
    </w:p>
    <w:p>
      <w:pPr>
        <w:jc w:val="both"/>
        <w:ind w:firstLine="289"/>
        <w:spacing w:after="0" w:line="210" w:lineRule="exact"/>
        <w:rPr>
          <w:sz w:val="20"/>
          <w:szCs w:val="20"/>
          <w:color w:val="auto"/>
        </w:rPr>
      </w:pPr>
      <w:r>
        <w:rPr>
          <w:rFonts w:ascii="Times New Roman" w:cs="Times New Roman" w:eastAsia="Times New Roman" w:hAnsi="Times New Roman"/>
          <w:sz w:val="16"/>
          <w:szCs w:val="16"/>
          <w:color w:val="auto"/>
        </w:rPr>
        <w:t xml:space="preserve">21.2.1 If the loan currency is RMB, US dollar, Euro, Hong Kong dollar, Japanese yen and British pound,, the increased interest rate plus (minus) points shall be: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point plus or minus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plus percentage points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minus </w:t>
      </w:r>
      <w:r>
        <w:rPr>
          <w:rFonts w:ascii="Times New Roman" w:cs="Times New Roman" w:eastAsia="Times New Roman" w:hAnsi="Times New Roman"/>
          <w:sz w:val="16"/>
          <w:szCs w:val="16"/>
          <w:i w:val="1"/>
          <w:iCs w:val="1"/>
          <w:u w:val="single" w:color="auto"/>
          <w:color w:val="auto"/>
        </w:rPr>
        <w:t>/</w:t>
      </w:r>
      <w:r>
        <w:rPr>
          <w:rFonts w:ascii="Times New Roman" w:cs="Times New Roman" w:eastAsia="Times New Roman" w:hAnsi="Times New Roman"/>
          <w:sz w:val="16"/>
          <w:szCs w:val="16"/>
          <w:color w:val="auto"/>
        </w:rPr>
        <w:t xml:space="preserve"> percentage points. If a loan is otherwise agreed, the increase (decrease) value of the interest rate after the increase of the loan shall be subject to the records in the application for the use of the applicable limit.</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21.2.2 If the loan currency is other than RMB, US dollar, Euro, Hong Kong dollar, Japanese yen and British pound, the loan interest rate after the increase is:</w:t>
      </w:r>
    </w:p>
    <w:p>
      <w:pPr>
        <w:spacing w:after="0" w:line="2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-6350</wp:posOffset>
            </wp:positionV>
            <wp:extent cx="1045845"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1">
                      <a:extLst>
                        <a:ext uri="{28A0092B-C50C-407E-A947-70E740481C1C}"/>
                      </a:extLst>
                    </a:blip>
                    <a:srcRect/>
                    <a:stretch>
                      <a:fillRect/>
                    </a:stretch>
                  </pic:blipFill>
                  <pic:spPr bwMode="auto">
                    <a:xfrm>
                      <a:off x="0" y="0"/>
                      <a:ext cx="1045845"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22. Contact Details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Contact details of the borrower to receive the notice specified in Article 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Mailing address:</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2F, Building 18, 498 Guoshoujing Road</w:t>
            </w:r>
          </w:p>
        </w:tc>
      </w:tr>
      <w:tr>
        <w:trPr>
          <w:trHeight w:val="3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Addressee:</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Yang Xiaofeng</w:t>
            </w:r>
          </w:p>
        </w:tc>
      </w:tr>
      <w:tr>
        <w:trPr>
          <w:trHeight w:val="3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Post code:</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201203</w:t>
            </w:r>
          </w:p>
        </w:tc>
      </w:tr>
      <w:tr>
        <w:trPr>
          <w:trHeight w:val="3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Tel:</w:t>
            </w:r>
          </w:p>
        </w:tc>
        <w:tc>
          <w:tcPr>
            <w:tcW w:w="5280" w:type="dxa"/>
            <w:vAlign w:val="bottom"/>
            <w:tcBorders>
              <w:bottom w:val="single" w:sz="8" w:color="auto"/>
            </w:tcBorders>
          </w:tcPr>
          <w:p>
            <w:pPr>
              <w:spacing w:after="0"/>
              <w:rPr>
                <w:sz w:val="24"/>
                <w:szCs w:val="24"/>
                <w:color w:val="auto"/>
              </w:rPr>
            </w:pPr>
          </w:p>
        </w:tc>
      </w:tr>
      <w:tr>
        <w:trPr>
          <w:trHeight w:val="3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Mobile:</w:t>
            </w:r>
          </w:p>
        </w:tc>
        <w:tc>
          <w:tcPr>
            <w:tcW w:w="5280" w:type="dxa"/>
            <w:vAlign w:val="bottom"/>
            <w:tcBorders>
              <w:bottom w:val="single" w:sz="8" w:color="auto"/>
            </w:tcBorders>
          </w:tcPr>
          <w:p>
            <w:pPr>
              <w:jc w:val="right"/>
              <w:ind w:right="2820"/>
              <w:spacing w:after="0"/>
              <w:rPr>
                <w:sz w:val="20"/>
                <w:szCs w:val="20"/>
                <w:color w:val="auto"/>
              </w:rPr>
            </w:pPr>
            <w:r>
              <w:rPr>
                <w:rFonts w:ascii="Times New Roman" w:cs="Times New Roman" w:eastAsia="Times New Roman" w:hAnsi="Times New Roman"/>
                <w:sz w:val="16"/>
                <w:szCs w:val="16"/>
                <w:color w:val="auto"/>
              </w:rPr>
              <w:t>/</w:t>
            </w:r>
          </w:p>
        </w:tc>
      </w:tr>
      <w:tr>
        <w:trPr>
          <w:trHeight w:val="3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Fax:</w:t>
            </w:r>
          </w:p>
        </w:tc>
        <w:tc>
          <w:tcPr>
            <w:tcW w:w="5280" w:type="dxa"/>
            <w:vAlign w:val="bottom"/>
            <w:tcBorders>
              <w:bottom w:val="single" w:sz="8" w:color="auto"/>
            </w:tcBorders>
          </w:tcPr>
          <w:p>
            <w:pPr>
              <w:jc w:val="right"/>
              <w:ind w:right="2820"/>
              <w:spacing w:after="0"/>
              <w:rPr>
                <w:sz w:val="20"/>
                <w:szCs w:val="20"/>
                <w:color w:val="auto"/>
              </w:rPr>
            </w:pPr>
            <w:r>
              <w:rPr>
                <w:rFonts w:ascii="Times New Roman" w:cs="Times New Roman" w:eastAsia="Times New Roman" w:hAnsi="Times New Roman"/>
                <w:sz w:val="16"/>
                <w:szCs w:val="16"/>
                <w:color w:val="auto"/>
              </w:rPr>
              <w:t>/</w:t>
            </w:r>
          </w:p>
        </w:tc>
      </w:tr>
      <w:tr>
        <w:trPr>
          <w:trHeight w:val="3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E-mail:</w:t>
            </w:r>
          </w:p>
        </w:tc>
        <w:tc>
          <w:tcPr>
            <w:tcW w:w="5280" w:type="dxa"/>
            <w:vAlign w:val="bottom"/>
            <w:tcBorders>
              <w:bottom w:val="single" w:sz="8" w:color="auto"/>
            </w:tcBorders>
          </w:tcPr>
          <w:p>
            <w:pPr>
              <w:jc w:val="right"/>
              <w:ind w:right="2820"/>
              <w:spacing w:after="0"/>
              <w:rPr>
                <w:sz w:val="20"/>
                <w:szCs w:val="20"/>
                <w:color w:val="auto"/>
              </w:rPr>
            </w:pPr>
            <w:r>
              <w:rPr>
                <w:rFonts w:ascii="Times New Roman" w:cs="Times New Roman" w:eastAsia="Times New Roman" w:hAnsi="Times New Roman"/>
                <w:sz w:val="16"/>
                <w:szCs w:val="16"/>
                <w:color w:val="auto"/>
              </w:rPr>
              <w:t>/</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23. Counterparts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This contract is made with </w:t>
      </w:r>
      <w:r>
        <w:rPr>
          <w:rFonts w:ascii="Times New Roman" w:cs="Times New Roman" w:eastAsia="Times New Roman" w:hAnsi="Times New Roman"/>
          <w:sz w:val="16"/>
          <w:szCs w:val="16"/>
          <w:u w:val="single" w:color="auto"/>
          <w:color w:val="auto"/>
        </w:rPr>
        <w:t>Three</w:t>
      </w:r>
      <w:r>
        <w:rPr>
          <w:rFonts w:ascii="Times New Roman" w:cs="Times New Roman" w:eastAsia="Times New Roman" w:hAnsi="Times New Roman"/>
          <w:sz w:val="16"/>
          <w:szCs w:val="16"/>
          <w:color w:val="auto"/>
        </w:rPr>
        <w:t xml:space="preserve"> copies. Both parties and the guarantor (if any) holds </w:t>
      </w:r>
      <w:r>
        <w:rPr>
          <w:rFonts w:ascii="Times New Roman" w:cs="Times New Roman" w:eastAsia="Times New Roman" w:hAnsi="Times New Roman"/>
          <w:sz w:val="16"/>
          <w:szCs w:val="16"/>
          <w:u w:val="single" w:color="auto"/>
          <w:color w:val="auto"/>
        </w:rPr>
        <w:t>one</w:t>
      </w:r>
      <w:r>
        <w:rPr>
          <w:rFonts w:ascii="Times New Roman" w:cs="Times New Roman" w:eastAsia="Times New Roman" w:hAnsi="Times New Roman"/>
          <w:sz w:val="16"/>
          <w:szCs w:val="16"/>
          <w:color w:val="auto"/>
        </w:rPr>
        <w:t xml:space="preserve"> copy (ies)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24. Miscellaneous</w:t>
      </w:r>
    </w:p>
    <w:p>
      <w:pPr>
        <w:spacing w:after="0" w:line="167"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24.1 Both parties agree that Article 13.3 √applies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does not apply to this contract.</w:t>
      </w:r>
    </w:p>
    <w:p>
      <w:pPr>
        <w:spacing w:after="0" w:line="201" w:lineRule="exact"/>
        <w:rPr>
          <w:sz w:val="20"/>
          <w:szCs w:val="20"/>
          <w:color w:val="auto"/>
        </w:rPr>
      </w:pPr>
    </w:p>
    <w:p>
      <w:pPr>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24.2 According to the lender’s environmental and social risk assessment standards, the borrower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belongs to a customer √ not classified as A or B in terms of environmental and social risks.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6"/>
          <w:szCs w:val="16"/>
          <w:color w:val="auto"/>
        </w:rPr>
        <w:t xml:space="preserve">24.3 The payment method of the loan under the Contract shall be subject to the </w:t>
      </w:r>
      <w:r>
        <w:rPr>
          <w:rFonts w:ascii="Times New Roman" w:cs="Times New Roman" w:eastAsia="Times New Roman" w:hAnsi="Times New Roman"/>
          <w:sz w:val="16"/>
          <w:szCs w:val="16"/>
          <w:i w:val="1"/>
          <w:iCs w:val="1"/>
          <w:color w:val="auto"/>
        </w:rPr>
        <w:t>Application for Use of Quota</w:t>
      </w:r>
      <w:r>
        <w:rPr>
          <w:rFonts w:ascii="Times New Roman" w:cs="Times New Roman" w:eastAsia="Times New Roman" w:hAnsi="Times New Roman"/>
          <w:sz w:val="16"/>
          <w:szCs w:val="16"/>
          <w:color w:val="auto"/>
        </w:rPr>
        <w:t xml:space="preserve"> signed by the Lender.</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Borrower:</w:t>
        <w:tab/>
        <w:t>CLPS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-6350</wp:posOffset>
            </wp:positionV>
            <wp:extent cx="113665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3">
                      <a:extLst>
                        <a:ext uri="{28A0092B-C50C-407E-A947-70E740481C1C}"/>
                      </a:extLst>
                    </a:blip>
                    <a:srcRect/>
                    <a:stretch>
                      <a:fillRect/>
                    </a:stretch>
                  </pic:blipFill>
                  <pic:spPr bwMode="auto">
                    <a:xfrm>
                      <a:off x="0" y="0"/>
                      <a:ext cx="1136650" cy="762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Legal representative (responsible person):</w:t>
            </w:r>
          </w:p>
        </w:tc>
        <w:tc>
          <w:tcPr>
            <w:tcW w:w="20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color w:val="auto"/>
              </w:rPr>
              <w:t>Yang Xiaofeng</w:t>
            </w:r>
          </w:p>
        </w:tc>
        <w:tc>
          <w:tcPr>
            <w:tcW w:w="980" w:type="dxa"/>
            <w:vAlign w:val="bottom"/>
            <w:gridSpan w:val="2"/>
          </w:tcPr>
          <w:p>
            <w:pPr>
              <w:spacing w:after="0"/>
              <w:rPr>
                <w:sz w:val="16"/>
                <w:szCs w:val="16"/>
                <w:color w:val="auto"/>
              </w:rPr>
            </w:pPr>
          </w:p>
        </w:tc>
      </w:tr>
      <w:tr>
        <w:trPr>
          <w:trHeight w:val="365"/>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Address:</w:t>
            </w:r>
          </w:p>
        </w:tc>
        <w:tc>
          <w:tcPr>
            <w:tcW w:w="51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6"/>
                <w:szCs w:val="16"/>
                <w:color w:val="auto"/>
                <w:w w:val="99"/>
              </w:rPr>
              <w:t>Room 26C01, 828-838 Zhangyang Road, China (Shanghai) Free Trade Area</w:t>
            </w:r>
          </w:p>
        </w:tc>
      </w:tr>
      <w:tr>
        <w:trPr>
          <w:trHeight w:val="401"/>
        </w:trPr>
        <w:tc>
          <w:tcPr>
            <w:tcW w:w="5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Loaner: Bank of Communications Co., Ltd. Shanghai Zhangjiang Branch (Sub-branch)</w:t>
            </w:r>
          </w:p>
        </w:tc>
      </w:tr>
      <w:tr>
        <w:trPr>
          <w:trHeight w:val="349"/>
        </w:trPr>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Responsible person:</w:t>
            </w:r>
          </w:p>
        </w:tc>
        <w:tc>
          <w:tcPr>
            <w:tcW w:w="14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Zhu Lei</w:t>
            </w:r>
          </w:p>
        </w:tc>
        <w:tc>
          <w:tcPr>
            <w:tcW w:w="1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5"/>
        </w:trPr>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Mailing address:</w:t>
            </w:r>
          </w:p>
        </w:tc>
        <w:tc>
          <w:tcPr>
            <w:tcW w:w="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color w:val="auto"/>
              </w:rPr>
              <w:t>560 Songtao Road, Pudong New Area, Shanghai, China</w:t>
            </w: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137160</wp:posOffset>
            </wp:positionV>
            <wp:extent cx="5001895" cy="44259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4">
                      <a:extLst>
                        <a:ext uri="{28A0092B-C50C-407E-A947-70E740481C1C}"/>
                      </a:extLst>
                    </a:blip>
                    <a:srcRect/>
                    <a:stretch>
                      <a:fillRect/>
                    </a:stretch>
                  </pic:blipFill>
                  <pic:spPr bwMode="auto">
                    <a:xfrm>
                      <a:off x="0" y="0"/>
                      <a:ext cx="5001895" cy="442595"/>
                    </a:xfrm>
                    <a:prstGeom prst="rect">
                      <a:avLst/>
                    </a:prstGeom>
                    <a:noFill/>
                  </pic:spPr>
                </pic:pic>
              </a:graphicData>
            </a:graphic>
          </wp:anchor>
        </w:drawing>
      </w:r>
    </w:p>
    <w:p>
      <w:pPr>
        <w:spacing w:after="0" w:line="240" w:lineRule="exact"/>
        <w:rPr>
          <w:sz w:val="20"/>
          <w:szCs w:val="20"/>
          <w:color w:val="auto"/>
        </w:rPr>
      </w:pPr>
    </w:p>
    <w:p>
      <w:pPr>
        <w:jc w:val="both"/>
        <w:ind w:left="1460" w:right="639"/>
        <w:spacing w:after="0" w:line="267" w:lineRule="auto"/>
        <w:rPr>
          <w:sz w:val="20"/>
          <w:szCs w:val="20"/>
          <w:color w:val="auto"/>
        </w:rPr>
      </w:pPr>
      <w:r>
        <w:rPr>
          <w:rFonts w:ascii="Times New Roman" w:cs="Times New Roman" w:eastAsia="Times New Roman" w:hAnsi="Times New Roman"/>
          <w:sz w:val="16"/>
          <w:szCs w:val="16"/>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(This page is the signature page of the Working Capital Loan Contract, and there is no text below)</w:t>
      </w:r>
    </w:p>
    <w:p>
      <w:pPr>
        <w:spacing w:after="0" w:line="39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15875</wp:posOffset>
            </wp:positionV>
            <wp:extent cx="7147560" cy="152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9859"/>
          </w:cols>
          <w:pgMar w:left="600" w:top="818"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6"/>
          <w:szCs w:val="16"/>
          <w:color w:val="auto"/>
        </w:rPr>
        <w:t>Borrower: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-106045</wp:posOffset>
            </wp:positionV>
            <wp:extent cx="3955415" cy="12065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6">
                      <a:extLst>
                        <a:ext uri="{28A0092B-C50C-407E-A947-70E740481C1C}"/>
                      </a:extLst>
                    </a:blip>
                    <a:srcRect/>
                    <a:stretch>
                      <a:fillRect/>
                    </a:stretch>
                  </pic:blipFill>
                  <pic:spPr bwMode="auto">
                    <a:xfrm>
                      <a:off x="0" y="0"/>
                      <a:ext cx="3955415" cy="120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5"/>
          <w:szCs w:val="15"/>
          <w:color w:val="auto"/>
        </w:rPr>
        <w:t>Loaner: (Seal)</w:t>
      </w:r>
    </w:p>
    <w:p>
      <w:pPr>
        <w:sectPr>
          <w:pgSz w:w="11900" w:h="16838" w:orient="portrait"/>
          <w:cols w:equalWidth="0" w:num="1">
            <w:col w:w="10139"/>
          </w:cols>
          <w:pgMar w:left="320" w:top="8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 ChinaLink Professional Services Co.,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 Line of Credit Business Contract Seal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Zhangjiang Sub-branch of Bank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Communications Co., Ltd.)</w:t>
      </w:r>
    </w:p>
    <w:p>
      <w:pPr>
        <w:spacing w:after="0" w:line="184" w:lineRule="exact"/>
        <w:rPr>
          <w:sz w:val="20"/>
          <w:szCs w:val="20"/>
          <w:color w:val="auto"/>
        </w:rPr>
      </w:pPr>
    </w:p>
    <w:p>
      <w:pPr>
        <w:sectPr>
          <w:pgSz w:w="11900" w:h="16838" w:orient="portrait"/>
          <w:cols w:equalWidth="0" w:num="2">
            <w:col w:w="5140" w:space="720"/>
            <w:col w:w="4279"/>
          </w:cols>
          <w:pgMar w:left="320" w:top="820" w:right="1440" w:bottom="1440" w:gutter="0" w:footer="0" w:header="0"/>
          <w:type w:val="continuous"/>
        </w:sectPr>
      </w:pPr>
    </w:p>
    <w:p>
      <w:pPr>
        <w:ind w:right="2320"/>
        <w:spacing w:after="0" w:line="283" w:lineRule="auto"/>
        <w:rPr>
          <w:sz w:val="20"/>
          <w:szCs w:val="20"/>
          <w:color w:val="auto"/>
        </w:rPr>
      </w:pPr>
      <w:r>
        <w:rPr>
          <w:rFonts w:ascii="Times New Roman" w:cs="Times New Roman" w:eastAsia="Times New Roman" w:hAnsi="Times New Roman"/>
          <w:sz w:val="16"/>
          <w:szCs w:val="16"/>
          <w:color w:val="auto"/>
        </w:rPr>
        <w:t>Legal representative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-264160</wp:posOffset>
            </wp:positionV>
            <wp:extent cx="633730" cy="656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7">
                      <a:extLst>
                        <a:ext uri="{28A0092B-C50C-407E-A947-70E740481C1C}"/>
                      </a:extLst>
                    </a:blip>
                    <a:srcRect/>
                    <a:stretch>
                      <a:fillRect/>
                    </a:stretch>
                  </pic:blipFill>
                  <pic:spPr bwMode="auto">
                    <a:xfrm>
                      <a:off x="0" y="0"/>
                      <a:ext cx="633730" cy="656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Legal representative (responsible person)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authorized representative</w:t>
      </w:r>
    </w:p>
    <w:p>
      <w:pPr>
        <w:spacing w:after="0" w:line="184" w:lineRule="exact"/>
        <w:rPr>
          <w:sz w:val="20"/>
          <w:szCs w:val="20"/>
          <w:color w:val="auto"/>
        </w:rPr>
      </w:pPr>
    </w:p>
    <w:p>
      <w:pPr>
        <w:sectPr>
          <w:pgSz w:w="11900" w:h="16838" w:orient="portrait"/>
          <w:cols w:equalWidth="0" w:num="2">
            <w:col w:w="5140" w:space="720"/>
            <w:col w:w="4279"/>
          </w:cols>
          <w:pgMar w:left="320" w:top="820"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(Signature or seal)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(Signature or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145415</wp:posOffset>
            </wp:positionV>
            <wp:extent cx="633730" cy="41211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8">
                      <a:extLst>
                        <a:ext uri="{28A0092B-C50C-407E-A947-70E740481C1C}"/>
                      </a:extLst>
                    </a:blip>
                    <a:srcRect/>
                    <a:stretch>
                      <a:fillRect/>
                    </a:stretch>
                  </pic:blipFill>
                  <pic:spPr bwMode="auto">
                    <a:xfrm>
                      <a:off x="0" y="0"/>
                      <a:ext cx="633730" cy="412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4279"/>
          </w:cols>
          <w:pgMar w:left="320" w:top="8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6"/>
          <w:szCs w:val="16"/>
          <w:color w:val="auto"/>
        </w:rPr>
        <w:t>Date: November 6, 2024</w:t>
      </w:r>
      <w:r>
        <w:rPr>
          <w:sz w:val="20"/>
          <w:szCs w:val="20"/>
          <w:color w:val="auto"/>
        </w:rPr>
        <w:tab/>
      </w:r>
      <w:r>
        <w:rPr>
          <w:rFonts w:ascii="Times New Roman" w:cs="Times New Roman" w:eastAsia="Times New Roman" w:hAnsi="Times New Roman"/>
          <w:sz w:val="15"/>
          <w:szCs w:val="15"/>
          <w:color w:val="auto"/>
        </w:rPr>
        <w:t>Date: November 6, 2024</w:t>
      </w:r>
    </w:p>
    <w:p>
      <w:pPr>
        <w:spacing w:after="0" w:line="3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type w:val="continuous"/>
        </w:sectPr>
      </w:pPr>
    </w:p>
    <w:bookmarkStart w:id="470" w:name="page471"/>
    <w:bookmarkEnd w:id="470"/>
    <w:p>
      <w:pPr>
        <w:jc w:val="right"/>
        <w:spacing w:after="0"/>
        <w:rPr>
          <w:sz w:val="20"/>
          <w:szCs w:val="20"/>
          <w:color w:val="auto"/>
        </w:rPr>
      </w:pPr>
      <w:r>
        <w:rPr>
          <w:rFonts w:ascii="Times New Roman" w:cs="Times New Roman" w:eastAsia="Times New Roman" w:hAnsi="Times New Roman"/>
          <w:sz w:val="19"/>
          <w:szCs w:val="19"/>
          <w:b w:val="1"/>
          <w:bCs w:val="1"/>
          <w:color w:val="auto"/>
        </w:rPr>
        <w:t>Exhibit 10.25</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No.: Z2522LN15618544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auto"/>
        </w:rPr>
        <w:t>Contract for Loans of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398780</wp:posOffset>
            </wp:positionV>
            <wp:extent cx="7147560" cy="152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471" w:name="page472"/>
    <w:bookmarkEnd w:id="471"/>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No.: </w:t>
      </w:r>
      <w:r>
        <w:rPr>
          <w:rFonts w:ascii="Times New Roman" w:cs="Times New Roman" w:eastAsia="Times New Roman" w:hAnsi="Times New Roman"/>
          <w:sz w:val="16"/>
          <w:szCs w:val="16"/>
          <w:color w:val="auto"/>
        </w:rPr>
        <w:t>Z2522LN15618544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Contract for Loans of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137795</wp:posOffset>
            </wp:positionV>
            <wp:extent cx="4283710" cy="74803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1">
                      <a:extLst>
                        <a:ext uri="{28A0092B-C50C-407E-A947-70E740481C1C}"/>
                      </a:extLst>
                    </a:blip>
                    <a:srcRect/>
                    <a:stretch>
                      <a:fillRect/>
                    </a:stretch>
                  </pic:blipFill>
                  <pic:spPr bwMode="auto">
                    <a:xfrm>
                      <a:off x="0" y="0"/>
                      <a:ext cx="4283710" cy="74803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Important Notes</w:t>
      </w:r>
    </w:p>
    <w:p>
      <w:pPr>
        <w:spacing w:after="0" w:line="201" w:lineRule="exact"/>
        <w:rPr>
          <w:sz w:val="20"/>
          <w:szCs w:val="20"/>
          <w:color w:val="auto"/>
        </w:rPr>
      </w:pPr>
    </w:p>
    <w:p>
      <w:pPr>
        <w:ind w:left="2340" w:right="2360"/>
        <w:spacing w:after="0" w:line="283" w:lineRule="auto"/>
        <w:rPr>
          <w:sz w:val="20"/>
          <w:szCs w:val="20"/>
          <w:color w:val="auto"/>
        </w:rPr>
      </w:pPr>
      <w:r>
        <w:rPr>
          <w:rFonts w:ascii="Times New Roman" w:cs="Times New Roman" w:eastAsia="Times New Roman" w:hAnsi="Times New Roman"/>
          <w:sz w:val="16"/>
          <w:szCs w:val="16"/>
          <w:color w:val="auto"/>
        </w:rPr>
        <w:t>Please read the full text of this contract carefully, especially those articles marked with ▲▲. Please inquire the loaner in case of any question.</w:t>
      </w:r>
    </w:p>
    <w:p>
      <w:pPr>
        <w:spacing w:after="0" w:line="348"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Whereas, the borrower applies to the loaner for the line of credit of current fund, both parties hereby enter into this contract through negotiations to clarify the obligations of each party.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 Definition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“Revolving line of credit” refers to the line of credit within which the borrower may apply for the loan for several times according to this contract.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“One time credit “refers to the borrower’s ability to apply for the use of the limit in one or multiple times as agreed in this contract to obtain a loan, but the cumulative amount of the loan withdrawn cannot exceed the agreed limit.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“Balance of loan” refers to the sum of principal of the outstanding loan that the borrower obtains under this contract.</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“Balance of line of credit” refers to the balance of the line of credit deducted with the balance of loan (under the revolving line of credit) or total loan (under the one-time line of credit).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“Period of loan” refers to the period of each loan that both parties determine in the corresponding </w:t>
      </w:r>
      <w:r>
        <w:rPr>
          <w:rFonts w:ascii="Times New Roman" w:cs="Times New Roman" w:eastAsia="Times New Roman" w:hAnsi="Times New Roman"/>
          <w:sz w:val="16"/>
          <w:szCs w:val="16"/>
          <w:i w:val="1"/>
          <w:iCs w:val="1"/>
          <w:color w:val="auto"/>
        </w:rPr>
        <w:t>Application for Use of Line of Credit of Bank of Communications</w:t>
      </w:r>
      <w:r>
        <w:rPr>
          <w:rFonts w:ascii="Times New Roman" w:cs="Times New Roman" w:eastAsia="Times New Roman" w:hAnsi="Times New Roman"/>
          <w:sz w:val="16"/>
          <w:szCs w:val="16"/>
          <w:color w:val="auto"/>
        </w:rPr>
        <w:t xml:space="preserve"> (hereinafter referred to as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“Pricing benchmark” refers to the benchmark that the borrower and lender can choose to apply to the corresponding loan to determine the corresponding loan interest rate, including but not limited to the following specific pricing benchmarks and other types of pricing benchmarks.</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“Loan Market Quotation Rate (LPR)” refers to the loan market quotation rate applicable to RMB loans issued by the National Interbank Funding Center on the 20th day of each month (postponed in case of holidays).</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“Secured Overnight Financing Rate (SOFR)” refers to the rate managed by Federal Reserve Bank of New York (or other entity taking over the pricing benchmark) and displayed on the corresponding page of Bloomberg/Refiniv financial telecommunications terminal (or the alternative page of other information service institutions that display the pricing benchmark approved by the lender), Secured overnight financing rate applicable to USD loans.</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“Secured overnight financing interest rate term reference interest rate (SOFR term interest rate)” refers to the interest rate managed by CME Group Benchmark Administration Limited (or other entity taking over the pricing benchmark) and issued by CME Group Benchmark Administration Limited (or any other entity taking over the pricing benchmark), The term SOFR reference rate of the secured overnight financing interest rate applicable to USD loans displayed on the corresponding page of Bloomberg/Referentiv financial telecommunications terminal (or the alternative page of other information service institutions approved by the lender to display the pricing benchmark).</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472" w:name="page473"/>
    <w:bookmarkEnd w:id="472"/>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“EURIBOR” refers to the European Money Markets Institute (or other entity taking over the pricing benchmark) managed and displayed on the corresponding page of Bloomberg/Refiniv financial telecommunications terminal (or the alternative page of other information service institutions approved by the lender to display the pricing benchmark), Euro Interbank Offered Rate applicable to euro loans.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“Hong Kong Interbank Offered Rate (HIBOR)” refers to the rate managed by the Hong Kong Association of Banks (or other entities that take over the pricing benchmark) and displayed on the corresponding page of Bloomberg/Refiniv financial telecommunications terminal (or the alternative page of other information service institutions that display the pricing benchmark approved by the lender), Hong Kong Interbank Offered Rate applicable to Hong Kong dollar loans.</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“Tokyo Risk Free Rate” refers to the Tokyo Risk Free Rate applicable to Japanese yen loans, which is managed by QUICK Benchmarks Co., Ltd. (or other entities taking over the pricing benchmark) and displayed on the corresponding page of Bloomberg/Refiniv financial telecommunications terminals (or the alternative page of other information service institutions approved by the lender that displays the pricing benchmark).</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“Sterling overnight average index reference term interest rate (TSRR)” refers to the interest rate managed and published by Intercontinental Exchange Benchmark Administration Limited (or other entities taking over the pricing benchmark), which is displayed on the corresponding page of Bloomberg/Refiniv financial telecommunications terminal (or the replacement page of other information service institutions that display the pricing benchmark approved by the lender), Term SONIA Reference Rate for sterling loans.</w:t>
      </w:r>
    </w:p>
    <w:p>
      <w:pPr>
        <w:spacing w:after="0" w:line="16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“London Interbank Offered Rate (LIBOR)” refers to the rate managed by Intercontinental Exchange, Inc. (or other entities taking over the pricing benchmark) and displayed on the corresponding page of Bloomberg/Refiniv financial telecommunications terminal (or the alternative page of other information service institutions approved by the lender to display the pricing benchmark), London Interbank Offered Rate applicable to USD loans.</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56"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“Foreign currency working day” means, with respect to the secured overnight financing rate (SOFR) or the term reference rate of the secured overnight financing rate (SOFR term interest rate), the U.S. government bond trading day (excluding Saturday and Sunday) recommended by the Securities Industry and Financial Markets Association (or its successor organization) to its member’s fixed income department; The London Interbank Offered Rate (LIBOR) or the sterling overnight average index reference term rate (TSRR) refers to the opening day (excluding Saturday and Sunday) for general business of local commercial banks in London; For the Euro Inter bank Offered Rate (EURIBOR), it refers to the operation date of Euro payment and clearing of the second generation pan European real-time automatic clearing system (TARGET2); For the Hong Kong Interbank Offered Rate (HIBOR), it refers to the open business day (excluding Saturday and Sunday) for general business of local banks in Hong Kong; For Tokyo risk-free term interest rate (TORF), it refers to the opening day for general business of local banks in Tokyo (excluding statutory holidays and rest days).</w:t>
      </w:r>
    </w:p>
    <w:p>
      <w:pPr>
        <w:spacing w:after="0" w:line="165"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“Related person” refers to the authorized handler, agent, legal representative, responsible person, controlling shareholder or actual controller, beneficial owner and other direct or indirect related persons of the borrower.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3" w:name="page474"/>
    <w:bookmarkEnd w:id="473"/>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“Business related parties” refer to all parties to the transaction under the basic transaction contract and other relevant subjects related to the transaction other than all parties to the transaction, as well as all parties to the transaction, such transaction parties, their authorized handlers, agents, legal representatives, responsible persons, controlling shareholders or actual controllers, beneficial owners, etc.</w:t>
      </w:r>
    </w:p>
    <w:p>
      <w:pPr>
        <w:spacing w:after="0" w:line="154"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Terms including affiliate, affiliate transaction and major investor should contain the same meaning with those contained in the </w:t>
      </w:r>
      <w:r>
        <w:rPr>
          <w:rFonts w:ascii="Times New Roman" w:cs="Times New Roman" w:eastAsia="Times New Roman" w:hAnsi="Times New Roman"/>
          <w:sz w:val="16"/>
          <w:szCs w:val="16"/>
          <w:i w:val="1"/>
          <w:iCs w:val="1"/>
          <w:color w:val="auto"/>
        </w:rPr>
        <w:t>Accounting Standards for Business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Enterprises No.36 – Disclosure of Affiliates </w:t>
      </w:r>
      <w:r>
        <w:rPr>
          <w:rFonts w:ascii="Times New Roman" w:cs="Times New Roman" w:eastAsia="Times New Roman" w:hAnsi="Times New Roman"/>
          <w:sz w:val="16"/>
          <w:szCs w:val="16"/>
          <w:color w:val="auto"/>
        </w:rPr>
        <w:t>(CK [2006] No.3) published by the Ministry of Finance, as well as its subsequent revisions.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ESG risks: environmental, social, and governance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 Use of Line of Credit</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2.1 Each time when needing to use the line of credit, the borrower should submit the application to the loaner at least 5 business days in advance. The borrower should fill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to obtain the approval by the loaner before using the line of credit.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▲▲2.2 Use of the line of credit must meet following conditions:</w:t>
      </w:r>
    </w:p>
    <w:p>
      <w:pPr>
        <w:spacing w:after="0" w:line="201" w:lineRule="exact"/>
        <w:rPr>
          <w:sz w:val="20"/>
          <w:szCs w:val="20"/>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 of loan (under the revolving line of credit) or total loan (under the one-time line of credit) is within the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of applied loan is within the balance of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date and issuance date are within the period of line of credit;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 of loan and maturity date of loan comply with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5"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Guarantee contract (if any) under this contract is effective and surviving, and while the guarantee contract is in the form of mortgage contract and/or pledge contract, the secured real right is already set and surviving;</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15"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handled procedures to obtain licenses, approvals and registrations from the government necessary for the application for the loan, and such licenses, approvals or registrations are surviving;</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serious adverse change occurs in the operation status or financial status of the borrower after this contract takes effect;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Application by the borrower meets relevant rules and regulations of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does not violate this contract;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mode of the loan meets this contract and if the loaner is entrusted to make the payment, the loaner should agree with the payment;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2"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appointed the dedicated fund withdrawal account as required by the loaner and has signed the account management agreement.</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▲▲2.3 If the loaner agrees to issue the loan, the final issuance information should be subject to the column of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printed by the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Application for Use of Line of Credit </w:t>
      </w:r>
      <w:r>
        <w:rPr>
          <w:rFonts w:ascii="Times New Roman" w:cs="Times New Roman" w:eastAsia="Times New Roman" w:hAnsi="Times New Roman"/>
          <w:sz w:val="16"/>
          <w:szCs w:val="16"/>
          <w:color w:val="auto"/>
        </w:rPr>
        <w:t>should be regarded as the</w:t>
      </w:r>
      <w:r>
        <w:rPr>
          <w:rFonts w:ascii="Times New Roman" w:cs="Times New Roman" w:eastAsia="Times New Roman" w:hAnsi="Times New Roman"/>
          <w:sz w:val="16"/>
          <w:szCs w:val="16"/>
          <w:i w:val="1"/>
          <w:iCs w:val="1"/>
          <w:color w:val="auto"/>
        </w:rPr>
        <w:t xml:space="preserve"> Loan Certificate</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4" w:name="page475"/>
    <w:bookmarkEnd w:id="474"/>
    <w:p>
      <w:pPr>
        <w:jc w:val="both"/>
        <w:ind w:firstLine="289"/>
        <w:spacing w:after="0" w:line="268" w:lineRule="auto"/>
        <w:rPr>
          <w:sz w:val="20"/>
          <w:szCs w:val="20"/>
          <w:color w:val="auto"/>
        </w:rPr>
      </w:pPr>
      <w:r>
        <w:rPr>
          <w:rFonts w:ascii="Times New Roman" w:cs="Times New Roman" w:eastAsia="Times New Roman" w:hAnsi="Times New Roman"/>
          <w:sz w:val="16"/>
          <w:szCs w:val="16"/>
          <w:color w:val="auto"/>
        </w:rPr>
        <w:t xml:space="preserve">▲▲2.4 If the currency of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153"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▲▲2.5 After the borrower becomes the shareholder of the guarantor or the “actual controller” defined by the </w:t>
      </w:r>
      <w:r>
        <w:rPr>
          <w:rFonts w:ascii="Times New Roman" w:cs="Times New Roman" w:eastAsia="Times New Roman" w:hAnsi="Times New Roman"/>
          <w:sz w:val="16"/>
          <w:szCs w:val="16"/>
          <w:i w:val="1"/>
          <w:iCs w:val="1"/>
          <w:color w:val="auto"/>
        </w:rPr>
        <w:t>Company Law</w:t>
      </w:r>
      <w:r>
        <w:rPr>
          <w:rFonts w:ascii="Times New Roman" w:cs="Times New Roman" w:eastAsia="Times New Roman" w:hAnsi="Times New Roman"/>
          <w:sz w:val="16"/>
          <w:szCs w:val="16"/>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3. Interest Rate and Payment of Interest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3.1 Basic regulations on determining the interest rate</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3.1.1 The annual interest rate (simple interest) of the loan under this contract shall be agreed by both parties in the Application for the Use of Quota after negotiation each time the quota is used. If the annual interest rate value is determined according to the pricing benchmark, the annual interest rate value shall be calculated according to the pricing benchmark agreed in the Application for the Use of Quota plus (minus) points (1 basis point is 0.01 percent, and 1 percentage point is 100 basis points).</w:t>
      </w:r>
    </w:p>
    <w:p>
      <w:pPr>
        <w:spacing w:after="0" w:line="156" w:lineRule="exact"/>
        <w:rPr>
          <w:sz w:val="20"/>
          <w:szCs w:val="20"/>
          <w:color w:val="auto"/>
        </w:rPr>
      </w:pPr>
    </w:p>
    <w:p>
      <w:pPr>
        <w:jc w:val="both"/>
        <w:ind w:right="20" w:firstLine="289"/>
        <w:spacing w:after="0" w:line="256" w:lineRule="auto"/>
        <w:rPr>
          <w:sz w:val="20"/>
          <w:szCs w:val="20"/>
          <w:color w:val="auto"/>
        </w:rPr>
      </w:pPr>
      <w:r>
        <w:rPr>
          <w:rFonts w:ascii="Times New Roman" w:cs="Times New Roman" w:eastAsia="Times New Roman" w:hAnsi="Times New Roman"/>
          <w:sz w:val="16"/>
          <w:szCs w:val="16"/>
          <w:color w:val="auto"/>
        </w:rPr>
        <w:t>3.1.2 If both parties agree to apply the fixed interest rate in the Application for Use of Quota, and the specific value is recorded in the fixed interest rate value field, The specific interest rate of each loan shall be subject to the value recorded in the Fixed Interest Rate Value field of the Application for the Use of the Quota (where the loan currency is RMB, such specific value shall be determined on the basis of the specific value of the pricing benchmark applicable on the applicable date of the pricing benchmark agreed in the Application for the Use of the Quota (hereinafter referred to as “the pricing benchmark value”) and according to the plus (minus) point value agreed in the Application for the Use of the Quota). If no specific value is recorded in the Fixed Interest Rate Value field, the specific interest rate of each loan shall be determined based on the applicable pricing benchmark value on the applicable date of the pricing benchmark agreed in the Application for the Use of Quota and according to the plus (minus) point value agreed in the Application for the Use of Quota.</w:t>
      </w:r>
    </w:p>
    <w:p>
      <w:pPr>
        <w:spacing w:after="0" w:line="165"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both parties agree to apply the floating interest rate in the Application for the Use of Quota, the specific interest rate of each loan shall be determined on the basis of the pricing benchmark value applicable to the applicable date of the pricing benchmark agreed in the Application for the Use of Quota, according to the plus (minus) point value, interest rate floating rules, interest rate floating cycle, interest rate floating cycle unit and the floating start date of a specific date (if necessary) agreed in the Application for the Use of Quota.</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▲▲3.2 Interest rate of loan</w:t>
      </w:r>
    </w:p>
    <w:p>
      <w:pPr>
        <w:spacing w:after="0" w:line="201" w:lineRule="exact"/>
        <w:rPr>
          <w:sz w:val="20"/>
          <w:szCs w:val="20"/>
          <w:color w:val="auto"/>
        </w:rPr>
      </w:pPr>
    </w:p>
    <w:p>
      <w:pPr>
        <w:jc w:val="both"/>
        <w:ind w:right="20" w:firstLine="289"/>
        <w:spacing w:after="0" w:line="257" w:lineRule="auto"/>
        <w:rPr>
          <w:sz w:val="20"/>
          <w:szCs w:val="20"/>
          <w:color w:val="auto"/>
        </w:rPr>
      </w:pPr>
      <w:r>
        <w:rPr>
          <w:rFonts w:ascii="Times New Roman" w:cs="Times New Roman" w:eastAsia="Times New Roman" w:hAnsi="Times New Roman"/>
          <w:sz w:val="16"/>
          <w:szCs w:val="16"/>
          <w:color w:val="auto"/>
        </w:rPr>
        <w:t>If both parties agree on the application of fixed interest rate in the Application for the Use of Quota and the fixed interest rate value field records a specific value, the interest rate at the time of each loan disbursement shall be subject to the fixed value. If it is agreed in the Application for Use of Quota that a fixed interest rate is applicable and no specific value is recorded in the fixed interest rate value field, and it is agreed in the Application for Use of Quota that a floating interest rate is applicable, the loan interest rate for each loan is determined based on the pricing benchmark value applicable to the “Pricing Benchmark Application Date” agreed in the Application for Use of Quota and the plus (minus) point value agreed in the Application for Use of Quota. The “applicable date of pricing benchmark” shall be taken as the T day, and the pricing benchmark value rules applicable to the T day shall be implemented in accordance with Article 3.5.1 of the Contract.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75" w:name="page476"/>
    <w:bookmarkEnd w:id="475"/>
    <w:p>
      <w:pPr>
        <w:ind w:left="280"/>
        <w:spacing w:after="0"/>
        <w:rPr>
          <w:sz w:val="20"/>
          <w:szCs w:val="20"/>
          <w:color w:val="auto"/>
        </w:rPr>
      </w:pPr>
      <w:r>
        <w:rPr>
          <w:rFonts w:ascii="Times New Roman" w:cs="Times New Roman" w:eastAsia="Times New Roman" w:hAnsi="Times New Roman"/>
          <w:sz w:val="16"/>
          <w:szCs w:val="16"/>
          <w:color w:val="auto"/>
        </w:rPr>
        <w:t>3.3 Adjustment of interest rate</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3.3.1 Once the interest rate is recorded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as fixed, such interest rate should apply to the loan within the period of loan.</w:t>
      </w:r>
    </w:p>
    <w:p>
      <w:pPr>
        <w:spacing w:after="0" w:line="201"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▲▲3.3.2 Once the interest rate is recorded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and the adjusted interest rate should apply since the interest rate adjustment date.</w:t>
      </w:r>
    </w:p>
    <w:p>
      <w:pPr>
        <w:spacing w:after="0" w:line="155"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and so on.</w:t>
      </w:r>
    </w:p>
    <w:p>
      <w:pPr>
        <w:spacing w:after="0" w:line="165"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3.3.2.2 The loan interest rate on the loan interest rate adjustment date shall be determined on the basis of the pricing benchmark value applicable on the loan interest rate adjustment date. Unless otherwise agreed in the Contract or the two parties agree to adjust the plus (minus) point value, the plus (minus) point value of the interest rate shall still be subject to the plus (minus) point value of the interest rate agreed in the corresponding Application for Use of Quota of the loan. The “loan interest rate adjustment date” shall be the T date, and the pricing benchmark value rules applicable to the T date shall be implemented in accordance with Article 3.5.1 of this Contract.</w:t>
      </w:r>
    </w:p>
    <w:p>
      <w:pPr>
        <w:spacing w:after="0" w:line="16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▲▲3.3.3 If the pricing benchmark applicable to the corresponding loan is cancelled or the corresponding issuing agency stops publishing, both parties shall negotiate and adjust the interest rate of the loan separately, but the adjusted interest rate shall not be lower than the applicable interest rate at that time; If the two parties have not reached an agreement on the adjusted interest rate for more than one month since the pricing benchmark is cancelled or ceased to be published, the lender has the right to declare that the loan is due ahead of schedule.</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▲▲3.3.4 Both parties may adjust the fluctuation extent or increase (decrease) value of the corresponding loan interest rate through negotiation at each adjustment date of loan interest rate.</w:t>
      </w:r>
    </w:p>
    <w:p>
      <w:pPr>
        <w:spacing w:after="0" w:line="14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3.4 The default interest rate of overdue loans shall be increased by 50% according to the interest rate agreed herein, and the default interest rate of misappropriated loans shall be increased by 100% according to the interest rate agreed herein. If the floating rate loan is subject to adjustment of the loan pricing benchmark, the lender has the right to adjust the penalty interest rate applicable to each loan accordingly, and the new penalty interest rate shall apply from the date of loan interest rate adjustment agreed in the corresponding Application for Use of Quota.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6" w:name="page477"/>
    <w:bookmarkEnd w:id="476"/>
    <w:p>
      <w:pPr>
        <w:ind w:left="280"/>
        <w:spacing w:after="0"/>
        <w:rPr>
          <w:sz w:val="20"/>
          <w:szCs w:val="20"/>
          <w:color w:val="auto"/>
        </w:rPr>
      </w:pPr>
      <w:r>
        <w:rPr>
          <w:rFonts w:ascii="Times New Roman" w:cs="Times New Roman" w:eastAsia="Times New Roman" w:hAnsi="Times New Roman"/>
          <w:sz w:val="16"/>
          <w:szCs w:val="16"/>
          <w:color w:val="auto"/>
        </w:rPr>
        <w:t>3.5 Calculation of interest</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3.5.1 According to the different applicable pricing benchmarks, the rules for taking the value of the applicable pricing benchmark value on the T date (i.e. the “pricing benchmark application date”, “loan interest rate adjustment date” and “repricing date”) agreed in Article 3.2, 3.3.2.2 and 9.3.3.2 of the Contract are as follows: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If the pricing benchmark is the loan market quoted rate (LPR), the pricing benchmark value applicable to T day is the latest published loan market quoted rate (LPR) value before T day.</w:t>
      </w:r>
    </w:p>
    <w:p>
      <w:pPr>
        <w:spacing w:after="0" w:line="14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If the pricing benchmark is the guaranteed overnight financing rate (SOFR), when T day is a foreign currency working day, the pricing benchmark value applicable to T day is the value of the guaranteed overnight financing rate (SOFR) corresponding to the fifth foreign currency working day before T day displayed on the corresponding financial telecommunications terminal page; If Day T is a non foreign currency working day, the pricing benchmark value applicable to Day T is the value of the guaranteed overnight financing rate (SOFR) that should be applied on the latest foreign currency working day before Day T (that is, the value of the guaranteed overnight financing rate (SOFR) that is displayed on the page of the corresponding financial telecommunications terminal and corresponds to the fifth foreign currency working day before the latest foreign currency working day).</w:t>
      </w:r>
    </w:p>
    <w:p>
      <w:pPr>
        <w:spacing w:after="0" w:line="165"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If the pricing benchmark is the guaranteed overnight financing interest rate term reference interest rate (SOFR term interest rate), London Interbank Offered Rate (LIBOR), Euro Interbank Offered Rate (EURIBOR), Tokyo risk-free term interest rate (TORF) or sterling overnight average index reference term interest rate (TSRR), when T day is a foreign currency working day, the applicable pricing benchmark value on T day is the corresponding financial telecommunications terminal page The pricing benchmark value corresponding to the second foreign currency working day before T day; If Day T is a non foreign currency working day, the pricing benchmark value applicable to Day T shall be the pricing benchmark value applicable to the latest foreign currency working day before Day T (that is, the pricing benchmark value displayed on the corresponding financial telecommunications terminal page and corresponding to the second foreign currency working day before the latest foreign currency working day).</w:t>
      </w:r>
    </w:p>
    <w:p>
      <w:pPr>
        <w:spacing w:after="0" w:line="165"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If the pricing benchmark is Hong Kong Interbank Offered Rate (HIBOR), and T day is a foreign currency working day, the pricing benchmark value applicable to T day is the value of Hong Kong Interbank Offered Rate (HIBOR) corresponding to T day displayed on the corresponding financial telecommunications terminal page; When T day is a non foreign currency working day, the applicable pricing benchmark value on T day is the value of Hong Kong Interbank Offered Rate (HIBOR) displayed on the corresponding financial telecommunications terminal page and corresponding to the latest foreign currency working day before T day.</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When the pricing benchmark value displayed on the corresponding financial telecommunication terminal page is greater than or equal to 0, the pricing benchmark value used to determine the loan interest rate under this contract shall be determined according to the pricing benchmark value actually displayed on the corresponding financial telecommunication terminal page; When the pricing benchmark value displayed on the corresponding financial telecommunication terminal page is less than 0, the pricing benchmark value used to determine the loan interest rate under this contract shall be determined by 0.</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3.5.2 Normal interest=interest rate agreed herein × Loan amount × Number of days occupied.</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number of days occupied shall be calculated from the loan granting date (inclusive) to the due date (exclusive). If the due date is not a working day, it shall be postponed. The postponed period shall be included in the number of days occupied, and the interest shall still be calculated according to the contract.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7" w:name="page478"/>
    <w:bookmarkEnd w:id="477"/>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3.5.3 The penalty interest of overdue loans and misappropriated loans shall be calculated according to the amount of overdue or misappropriated loans and the actual number of days (from the date of overdue or misappropriated loans (inclusive) to the date of principal and interest settlement (exclusive)).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3.5.4 If there are many decimal places of interest/penalty interest calculated, the lender will retain two decimal places according to the rounding method.</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▲▲3.6 If the borrower repays the loan in advance or the loaner withdraws the loan in advance according to this contract, the corresponding interest rate shall still be subject to that specified in this contract.</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3.7 If the loan currency is other than RMB, US dollar, euro, Hong Kong dollar, Japanese yen and British pound, the loan pricing benchmark type, daily interest rate calculation rules and the pricing benchmark value determination rules applicable to the pricing benchmark application date, loan interest rate adjustment date and repricing date shall be subject to the provisions of Article 17 of the Contract.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4. Payment of Loan</w:t>
      </w:r>
    </w:p>
    <w:p>
      <w:pPr>
        <w:spacing w:after="0" w:line="203"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4.2 When drawing the loan according to this contract, the borrower should clarify the payment mode (entrusted payment by loaner or independent payment by borrower) and only one mode is applicable in each time of drawing.</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amount of a single payment is beyond the limit of the independent payment or any condition specified in Article 19.3, the mode of entrusted payment should apply.</w:t>
      </w:r>
    </w:p>
    <w:p>
      <w:pPr>
        <w:spacing w:after="0" w:line="199" w:lineRule="exact"/>
        <w:rPr>
          <w:sz w:val="20"/>
          <w:szCs w:val="20"/>
          <w:color w:val="auto"/>
        </w:rPr>
      </w:pPr>
    </w:p>
    <w:p>
      <w:pPr>
        <w:jc w:val="both"/>
        <w:ind w:right="20" w:firstLine="289"/>
        <w:spacing w:after="0" w:line="268" w:lineRule="auto"/>
        <w:rPr>
          <w:sz w:val="20"/>
          <w:szCs w:val="20"/>
          <w:color w:val="auto"/>
        </w:rPr>
      </w:pPr>
      <w:r>
        <w:rPr>
          <w:rFonts w:ascii="Times New Roman" w:cs="Times New Roman" w:eastAsia="Times New Roman" w:hAnsi="Times New Roman"/>
          <w:sz w:val="16"/>
          <w:szCs w:val="16"/>
          <w:color w:val="auto"/>
        </w:rPr>
        <w:t xml:space="preserve">When choosing the mode of entrusted payment by the loaner, the borrower should submit the loaner with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55" w:lineRule="exact"/>
        <w:rPr>
          <w:sz w:val="20"/>
          <w:szCs w:val="20"/>
          <w:color w:val="auto"/>
        </w:rPr>
      </w:pPr>
    </w:p>
    <w:p>
      <w:pPr>
        <w:ind w:right="20" w:firstLine="285"/>
        <w:spacing w:after="0" w:line="283" w:lineRule="auto"/>
        <w:tabs>
          <w:tab w:leader="none" w:pos="665"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43" w:lineRule="exact"/>
        <w:rPr>
          <w:rFonts w:ascii="Times New Roman" w:cs="Times New Roman" w:eastAsia="Times New Roman" w:hAnsi="Times New Roman"/>
          <w:sz w:val="16"/>
          <w:szCs w:val="16"/>
          <w:color w:val="auto"/>
        </w:rPr>
      </w:pPr>
    </w:p>
    <w:p>
      <w:pPr>
        <w:jc w:val="both"/>
        <w:ind w:firstLine="285"/>
        <w:spacing w:after="0" w:line="267" w:lineRule="auto"/>
        <w:tabs>
          <w:tab w:leader="none" w:pos="649"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56"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8" w:name="page479"/>
    <w:bookmarkEnd w:id="478"/>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When choosing the mode of independent payment by the borrower, the borrower should submit the loaner with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5. Repayment of Loan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5.1 The borrower should make the repayment according to the date and amount specified in the corresponding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▲▲5.2 Without the written consent from the loaner, the borrower may not repay the loan in advance.</w:t>
      </w:r>
    </w:p>
    <w:p>
      <w:pPr>
        <w:spacing w:after="0" w:line="199" w:lineRule="exact"/>
        <w:rPr>
          <w:sz w:val="20"/>
          <w:szCs w:val="20"/>
          <w:color w:val="auto"/>
        </w:rPr>
      </w:pPr>
    </w:p>
    <w:p>
      <w:pPr>
        <w:jc w:val="both"/>
        <w:ind w:right="20" w:firstLine="289"/>
        <w:spacing w:after="0" w:line="262" w:lineRule="auto"/>
        <w:rPr>
          <w:sz w:val="20"/>
          <w:szCs w:val="20"/>
          <w:color w:val="auto"/>
        </w:rPr>
      </w:pPr>
      <w:r>
        <w:rPr>
          <w:rFonts w:ascii="Times New Roman" w:cs="Times New Roman" w:eastAsia="Times New Roman" w:hAnsi="Times New Roman"/>
          <w:sz w:val="16"/>
          <w:szCs w:val="16"/>
          <w:color w:val="auto"/>
        </w:rPr>
        <w:t xml:space="preserve">▲▲5.3 The repayment schedule of principal and interest agreed by the borrower and the loaner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▲▲5.4 When the amount repaid by the borrower is insufficient to cover all the debt of the borrower:</w:t>
      </w:r>
    </w:p>
    <w:p>
      <w:pPr>
        <w:spacing w:after="0" w:line="201" w:lineRule="exact"/>
        <w:rPr>
          <w:sz w:val="20"/>
          <w:szCs w:val="20"/>
          <w:color w:val="auto"/>
        </w:rPr>
      </w:pPr>
    </w:p>
    <w:p>
      <w:pPr>
        <w:jc w:val="both"/>
        <w:ind w:right="20" w:firstLine="285"/>
        <w:spacing w:after="0" w:line="267" w:lineRule="auto"/>
        <w:tabs>
          <w:tab w:leader="none" w:pos="515" w:val="left"/>
        </w:tabs>
        <w:numPr>
          <w:ilvl w:val="0"/>
          <w:numId w:val="4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527" w:val="left"/>
        </w:tabs>
        <w:numPr>
          <w:ilvl w:val="0"/>
          <w:numId w:val="4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6. Representation and Guarantee of Borrower</w:t>
      </w:r>
    </w:p>
    <w:p>
      <w:pPr>
        <w:spacing w:after="0" w:line="20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6.1 The borrower is legally incorporated and surviving, possesses all the necessary capacities, perform obligations under this contract it its own name and assumes civil liabilities.</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6.2 Signing and performing this contract are the true intention of the borrower that they must obtain all the necessary approvals, permissions and authorizations to contain no legal defect.</w:t>
      </w:r>
    </w:p>
    <w:p>
      <w:pPr>
        <w:spacing w:after="0" w:line="14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79" w:name="page480"/>
    <w:bookmarkEnd w:id="479"/>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▲▲6.5 The borrower and its related persons and business related parties do not belong to the enterprises or individuals in the sanctions list issued by the United Nations and relevant countries, organizations and institutions, or in the list of risks related to terrorism and anti money laundering issued by Chinese government departments or competent authorities; It is not located in countries and regions sanctioned by the United Nations and relevant countries, organizations and institutions.</w:t>
      </w:r>
    </w:p>
    <w:p>
      <w:pPr>
        <w:spacing w:after="0" w:line="156" w:lineRule="exact"/>
        <w:rPr>
          <w:sz w:val="20"/>
          <w:szCs w:val="20"/>
          <w:color w:val="auto"/>
        </w:rPr>
      </w:pPr>
    </w:p>
    <w:p>
      <w:pPr>
        <w:jc w:val="both"/>
        <w:ind w:firstLine="285"/>
        <w:spacing w:after="0" w:line="261" w:lineRule="auto"/>
        <w:tabs>
          <w:tab w:leader="none" w:pos="682"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 The borrower guarantees to comply with the national anti money laundering laws, regulations and relevant policies, not to assist others in money laundering, terrorist financing, tax evasion, bank debt evasion, cash withdrawal, telecommunications fraud, illegal fund-raising and other illegal activities, and actively cooperate with the lender to carry out various anti money laundering work such as customer identification, transaction record keeping, customer identity and transaction background due diligence, large sum and suspicious transaction reports, And provide relevant supporting materials as required by the lender.</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6.7 According to the ESG risks faced by the borrower’s industry, if the borrower belongs to Class A or Class B customers, the borrower promises:</w:t>
      </w:r>
    </w:p>
    <w:p>
      <w:pPr>
        <w:spacing w:after="0" w:line="201" w:lineRule="exact"/>
        <w:rPr>
          <w:sz w:val="20"/>
          <w:szCs w:val="20"/>
          <w:color w:val="auto"/>
        </w:rPr>
      </w:pPr>
    </w:p>
    <w:p>
      <w:pPr>
        <w:ind w:left="520" w:hanging="235"/>
        <w:spacing w:after="0"/>
        <w:tabs>
          <w:tab w:leader="none" w:pos="520"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internal management documents related to ESG risks comply with laws and regulations and are effectively implemented;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 major litigation cases involving ESG risks;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behaviors and performances of the borrower related to ESG risks are compliant.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7. Rights and Obligations of Loaner</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56" w:lineRule="exact"/>
        <w:rPr>
          <w:sz w:val="20"/>
          <w:szCs w:val="20"/>
          <w:color w:val="auto"/>
        </w:rPr>
      </w:pPr>
    </w:p>
    <w:p>
      <w:pPr>
        <w:jc w:val="both"/>
        <w:ind w:firstLine="285"/>
        <w:spacing w:after="0" w:line="267" w:lineRule="auto"/>
        <w:tabs>
          <w:tab w:leader="none" w:pos="471" w:val="left"/>
        </w:tabs>
        <w:numPr>
          <w:ilvl w:val="0"/>
          <w:numId w:val="4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56" w:lineRule="exact"/>
        <w:rPr>
          <w:sz w:val="20"/>
          <w:szCs w:val="20"/>
          <w:color w:val="auto"/>
        </w:rPr>
      </w:pPr>
    </w:p>
    <w:p>
      <w:pPr>
        <w:jc w:val="both"/>
        <w:ind w:right="20" w:firstLine="285"/>
        <w:spacing w:after="0" w:line="267" w:lineRule="auto"/>
        <w:tabs>
          <w:tab w:leader="none" w:pos="647"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7.4 According to the regulatory requirements to be followed by the lender, the lender will conduct a dynamic assessment of the borrower’s risk of money laundering, terrorist financing, tax evasion and other risks, and has the right to take one or all of the measures agreed in Article 9.2 when it believes that the borrower and the borrower’s business involved in the transaction instructions are suspected of high risk of money laundering, terrorist financing, tax evasion.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8. Obligations of Borrower</w:t>
      </w:r>
    </w:p>
    <w:p>
      <w:pPr>
        <w:spacing w:after="0" w:line="20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 xml:space="preserve">8.1 The borrower should repay the principal and interest of loan under this contract according to the time, amount, currency and interest rate specified in this contract and the corresponding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0" w:name="page481"/>
    <w:bookmarkEnd w:id="480"/>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154"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8.2 The borrower should use the line of credit for the purpose specified in this contract and use the loan for the purpose specified in the corresponding </w:t>
      </w:r>
      <w:r>
        <w:rPr>
          <w:rFonts w:ascii="Times New Roman" w:cs="Times New Roman" w:eastAsia="Times New Roman" w:hAnsi="Times New Roman"/>
          <w:sz w:val="16"/>
          <w:szCs w:val="16"/>
          <w:i w:val="1"/>
          <w:iCs w:val="1"/>
          <w:color w:val="auto"/>
        </w:rPr>
        <w:t>Application for Use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of Line of Credit </w:t>
      </w:r>
      <w:r>
        <w:rPr>
          <w:rFonts w:ascii="Times New Roman" w:cs="Times New Roman" w:eastAsia="Times New Roman" w:hAnsi="Times New Roman"/>
          <w:sz w:val="16"/>
          <w:szCs w:val="16"/>
          <w:color w:val="auto"/>
        </w:rPr>
        <w:t>but may not embezzle the loan for any other purpose, or the investment in fixed assets, equity or any production or operation prohibited by the government.</w:t>
      </w:r>
    </w:p>
    <w:p>
      <w:pPr>
        <w:spacing w:after="0" w:line="14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56" w:lineRule="exact"/>
        <w:rPr>
          <w:sz w:val="20"/>
          <w:szCs w:val="20"/>
          <w:color w:val="auto"/>
        </w:rPr>
      </w:pPr>
    </w:p>
    <w:p>
      <w:pPr>
        <w:jc w:val="both"/>
        <w:ind w:right="20" w:firstLine="285"/>
        <w:spacing w:after="0" w:line="267" w:lineRule="auto"/>
        <w:tabs>
          <w:tab w:leader="none" w:pos="473"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8.3 The borrower shall bear the settlement fees (if any) for the loan fund payment (including the lender’s entrusted payment and the borrower’s independent payment), and the specific fees shall be subject to the laws, regulations, rules, regulatory provisions and the then effective Directory of Bank of Communications Service Fees published by the lender.</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If the loan fund payment does not involve cross-border payment, the lending account is a special loan issuing account. When the loan fund payment (including the lender’s entrusted payment and the borrower’s independent payment) is made, if the collection account does not belong to the account opened in the Bank of Communications, the fund payment may be made through the People’s Bank of China’s payment system or the local exchange system. If the loan granting account is not a special loan granting account, and when the loan fund is paid (including the lender’s entrusted payment and the borrower’s independent payment), if the collection account is an account of another bank in another place, the fund payment is handled through the payment system of the People’s Bank of China.</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loan fund payment involves cross-border payment, the loan fund payment may be handled through the SWIFT system or other systems.</w:t>
      </w:r>
    </w:p>
    <w:p>
      <w:pPr>
        <w:spacing w:after="0" w:line="201"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43" w:lineRule="exact"/>
        <w:rPr>
          <w:sz w:val="20"/>
          <w:szCs w:val="20"/>
          <w:color w:val="auto"/>
        </w:rPr>
      </w:pPr>
    </w:p>
    <w:p>
      <w:pPr>
        <w:ind w:left="520" w:hanging="235"/>
        <w:spacing w:after="0"/>
        <w:tabs>
          <w:tab w:leader="none" w:pos="520"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sells, presents, leases, lends, transfers, mortgages, pledges or disposes in any other manner all or a large part of the assets or important assets;</w:t>
      </w:r>
    </w:p>
    <w:p>
      <w:pPr>
        <w:spacing w:after="0" w:line="200"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7"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external investment or increase of debt financing of the borrower exceeds the agreed limit.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481" w:name="page482"/>
    <w:bookmarkEnd w:id="481"/>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▲▲8.6 The borrower shall notify the lender in writing within 7 days of the occurrence or possible occurrence of the following events and cooperate in submitting relevant certificates according to laws and regulations, regulatory provisions and the lender’s requirements:</w:t>
      </w:r>
    </w:p>
    <w:p>
      <w:pPr>
        <w:spacing w:after="0" w:line="143" w:lineRule="exact"/>
        <w:rPr>
          <w:sz w:val="20"/>
          <w:szCs w:val="20"/>
          <w:color w:val="auto"/>
        </w:rPr>
      </w:pPr>
    </w:p>
    <w:p>
      <w:pPr>
        <w:ind w:right="20" w:firstLine="285"/>
        <w:spacing w:after="0" w:line="283" w:lineRule="auto"/>
        <w:tabs>
          <w:tab w:leader="none" w:pos="539"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its affiliate or guarantor plans to apply for bankruptcy or may be or has been applied by the creditor for bankruptcy;</w:t>
      </w:r>
    </w:p>
    <w:p>
      <w:pPr>
        <w:spacing w:after="0" w:line="200"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15"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55" w:lineRule="exact"/>
        <w:rPr>
          <w:rFonts w:ascii="Times New Roman" w:cs="Times New Roman" w:eastAsia="Times New Roman" w:hAnsi="Times New Roman"/>
          <w:sz w:val="16"/>
          <w:szCs w:val="16"/>
          <w:color w:val="auto"/>
        </w:rPr>
      </w:pPr>
    </w:p>
    <w:p>
      <w:pPr>
        <w:ind w:right="20" w:firstLine="285"/>
        <w:spacing w:after="0" w:line="283" w:lineRule="auto"/>
        <w:tabs>
          <w:tab w:leader="none" w:pos="515"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provides any guarantee to any third party to affect its economic status, financial status or capability in performing obligations under this contract significantly;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enters into any contract with significant influence on its operation and financial status;</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27"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its affiliate or guarantor is shut down, closed, dissolved, suspended, cancelled, or the business license is withdrawn;</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5"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15"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43"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any affiliated transaction and its amount reaches or exceeds 10% of the latest audited net assets;</w:t>
      </w:r>
    </w:p>
    <w:p>
      <w:pPr>
        <w:spacing w:after="0" w:line="198" w:lineRule="exact"/>
        <w:rPr>
          <w:rFonts w:ascii="Times New Roman" w:cs="Times New Roman" w:eastAsia="Times New Roman" w:hAnsi="Times New Roman"/>
          <w:sz w:val="16"/>
          <w:szCs w:val="16"/>
          <w:color w:val="auto"/>
        </w:rPr>
      </w:pPr>
    </w:p>
    <w:p>
      <w:pPr>
        <w:ind w:right="20" w:firstLine="285"/>
        <w:spacing w:after="0" w:line="285" w:lineRule="auto"/>
        <w:tabs>
          <w:tab w:leader="none" w:pos="59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Before repaying all the debts under this contract, the borrower becomes or may become the shareholder or the “actual controller” defined by the </w:t>
      </w:r>
      <w:r>
        <w:rPr>
          <w:rFonts w:ascii="Times New Roman" w:cs="Times New Roman" w:eastAsia="Times New Roman" w:hAnsi="Times New Roman"/>
          <w:sz w:val="16"/>
          <w:szCs w:val="16"/>
          <w:i w:val="1"/>
          <w:iCs w:val="1"/>
          <w:color w:val="auto"/>
        </w:rPr>
        <w:t>Company Law</w:t>
      </w:r>
      <w:r>
        <w:rPr>
          <w:rFonts w:ascii="Times New Roman" w:cs="Times New Roman" w:eastAsia="Times New Roman" w:hAnsi="Times New Roman"/>
          <w:sz w:val="16"/>
          <w:szCs w:val="16"/>
          <w:color w:val="auto"/>
        </w:rPr>
        <w:t xml:space="preserve"> of the guarantor;</w:t>
      </w:r>
    </w:p>
    <w:p>
      <w:pPr>
        <w:spacing w:after="0" w:line="142"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causes any liability accident or is made public by the media by violating any law, rule, regulation, national policy or industrial standard;</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encounters any safety or environment protection accident;</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relationship between the affiliate and the borrower is changed;</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encounters any significant equity change;</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opinion issued by the external audit of the borrower on its financial statements is not the standard unreserved opinion;</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8"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or may be investigated, punished or taken with other similar measures by the competent authority as it violates the law or rule and/or regulatory requirement;</w:t>
      </w:r>
    </w:p>
    <w:p>
      <w:pPr>
        <w:spacing w:after="0" w:line="143" w:lineRule="exact"/>
        <w:rPr>
          <w:rFonts w:ascii="Times New Roman" w:cs="Times New Roman" w:eastAsia="Times New Roman" w:hAnsi="Times New Roman"/>
          <w:sz w:val="16"/>
          <w:szCs w:val="16"/>
          <w:color w:val="auto"/>
        </w:rPr>
      </w:pPr>
    </w:p>
    <w:p>
      <w:pPr>
        <w:ind w:left="20" w:right="20" w:firstLine="288"/>
        <w:spacing w:after="0" w:line="283" w:lineRule="auto"/>
        <w:tabs>
          <w:tab w:leader="none" w:pos="628" w:val="left"/>
        </w:tabs>
        <w:numPr>
          <w:ilvl w:val="1"/>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its affiliate is listed to be sanctioned by the UN, EU or US, or the country or area where the borrower or its affiliate resides in is listed to be sanctioned by the UN, EU or 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2" w:name="page483"/>
    <w:bookmarkEnd w:id="482"/>
    <w:p>
      <w:pPr>
        <w:ind w:left="600" w:hanging="315"/>
        <w:spacing w:after="0"/>
        <w:tabs>
          <w:tab w:leader="none" w:pos="600"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any other event with serious adverse influence on the solvency of the borrower or its affiliate.</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00" w:val="left"/>
        </w:tabs>
        <w:numPr>
          <w:ilvl w:val="0"/>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lender’s environmental and social risk assessment standards, if the borrower is a customer with environmental and social risks classified as A or B, the borrower has or may have any of the following events:</w:t>
      </w:r>
    </w:p>
    <w:p>
      <w:pPr>
        <w:spacing w:after="0" w:line="143" w:lineRule="exact"/>
        <w:rPr>
          <w:sz w:val="20"/>
          <w:szCs w:val="20"/>
          <w:color w:val="auto"/>
        </w:rPr>
      </w:pPr>
    </w:p>
    <w:p>
      <w:pPr>
        <w:ind w:left="500" w:hanging="215"/>
        <w:spacing w:after="0"/>
        <w:tabs>
          <w:tab w:leader="none" w:pos="500" w:val="left"/>
        </w:tabs>
        <w:numPr>
          <w:ilvl w:val="0"/>
          <w:numId w:val="46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Various permits, approvals and approvals related to environment, society and risks during commencement, construction, operation and shutdown;</w:t>
      </w:r>
    </w:p>
    <w:p>
      <w:pPr>
        <w:spacing w:after="0" w:line="201" w:lineRule="exact"/>
        <w:rPr>
          <w:sz w:val="20"/>
          <w:szCs w:val="20"/>
          <w:color w:val="auto"/>
        </w:rPr>
      </w:pPr>
    </w:p>
    <w:p>
      <w:pPr>
        <w:ind w:right="20" w:firstLine="285"/>
        <w:spacing w:after="0" w:line="283" w:lineRule="auto"/>
        <w:tabs>
          <w:tab w:leader="none" w:pos="567" w:val="left"/>
        </w:tabs>
        <w:numPr>
          <w:ilvl w:val="0"/>
          <w:numId w:val="46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assessment and inspection of the environmental and social risks of the borrower by the environmental and social risk regulatory authority or its recognized institution;</w:t>
      </w:r>
    </w:p>
    <w:p>
      <w:pPr>
        <w:spacing w:after="0" w:line="143" w:lineRule="exact"/>
        <w:rPr>
          <w:sz w:val="20"/>
          <w:szCs w:val="20"/>
          <w:color w:val="auto"/>
        </w:rPr>
      </w:pPr>
    </w:p>
    <w:p>
      <w:pPr>
        <w:ind w:left="500" w:hanging="215"/>
        <w:spacing w:after="0"/>
        <w:tabs>
          <w:tab w:leader="none" w:pos="500" w:val="left"/>
        </w:tabs>
        <w:numPr>
          <w:ilvl w:val="0"/>
          <w:numId w:val="46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Supporting construction and operation of environmental facilities;</w:t>
      </w:r>
    </w:p>
    <w:p>
      <w:pPr>
        <w:spacing w:after="0" w:line="201" w:lineRule="exact"/>
        <w:rPr>
          <w:sz w:val="20"/>
          <w:szCs w:val="20"/>
          <w:color w:val="auto"/>
        </w:rPr>
      </w:pPr>
    </w:p>
    <w:p>
      <w:pPr>
        <w:ind w:left="500" w:hanging="215"/>
        <w:spacing w:after="0"/>
        <w:tabs>
          <w:tab w:leader="none" w:pos="500" w:val="left"/>
        </w:tabs>
        <w:numPr>
          <w:ilvl w:val="0"/>
          <w:numId w:val="46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Discharge and compliance of pollutants;</w:t>
      </w:r>
    </w:p>
    <w:p>
      <w:pPr>
        <w:spacing w:after="0" w:line="201" w:lineRule="exact"/>
        <w:rPr>
          <w:sz w:val="20"/>
          <w:szCs w:val="20"/>
          <w:color w:val="auto"/>
        </w:rPr>
      </w:pPr>
    </w:p>
    <w:p>
      <w:pPr>
        <w:ind w:left="500" w:hanging="215"/>
        <w:spacing w:after="0"/>
        <w:tabs>
          <w:tab w:leader="none" w:pos="500" w:val="left"/>
        </w:tabs>
        <w:numPr>
          <w:ilvl w:val="0"/>
          <w:numId w:val="46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Safety and health of employees;</w:t>
      </w:r>
    </w:p>
    <w:p>
      <w:pPr>
        <w:spacing w:after="0" w:line="201" w:lineRule="exact"/>
        <w:rPr>
          <w:sz w:val="20"/>
          <w:szCs w:val="20"/>
          <w:color w:val="auto"/>
        </w:rPr>
      </w:pPr>
    </w:p>
    <w:p>
      <w:pPr>
        <w:ind w:left="500" w:hanging="215"/>
        <w:spacing w:after="0"/>
        <w:tabs>
          <w:tab w:leader="none" w:pos="500" w:val="left"/>
        </w:tabs>
        <w:numPr>
          <w:ilvl w:val="0"/>
          <w:numId w:val="47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Major complaints and protests from neighboring communities against the borrower;</w:t>
      </w:r>
    </w:p>
    <w:p>
      <w:pPr>
        <w:spacing w:after="0" w:line="201" w:lineRule="exact"/>
        <w:rPr>
          <w:sz w:val="20"/>
          <w:szCs w:val="20"/>
          <w:color w:val="auto"/>
        </w:rPr>
      </w:pPr>
    </w:p>
    <w:p>
      <w:pPr>
        <w:ind w:left="500" w:hanging="215"/>
        <w:spacing w:after="0"/>
        <w:tabs>
          <w:tab w:leader="none" w:pos="500" w:val="left"/>
        </w:tabs>
        <w:numPr>
          <w:ilvl w:val="0"/>
          <w:numId w:val="4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Major environmental and social claims;</w:t>
      </w:r>
    </w:p>
    <w:p>
      <w:pPr>
        <w:spacing w:after="0" w:line="201" w:lineRule="exact"/>
        <w:rPr>
          <w:sz w:val="20"/>
          <w:szCs w:val="20"/>
          <w:color w:val="auto"/>
        </w:rPr>
      </w:pPr>
    </w:p>
    <w:p>
      <w:pPr>
        <w:ind w:left="500" w:hanging="215"/>
        <w:spacing w:after="0"/>
        <w:tabs>
          <w:tab w:leader="none" w:pos="500" w:val="left"/>
        </w:tabs>
        <w:numPr>
          <w:ilvl w:val="0"/>
          <w:numId w:val="47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major circumstances that the lender considers relevant to ESG risks.</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▲▲8.7 In case of any change of guarantee under this contract that is adverse to the creditor’s right of the loaner, the borrower should provide other guarantee recognized by the loaner in time.</w:t>
      </w:r>
    </w:p>
    <w:p>
      <w:pPr>
        <w:spacing w:after="0" w:line="143" w:lineRule="exact"/>
        <w:rPr>
          <w:sz w:val="20"/>
          <w:szCs w:val="20"/>
          <w:color w:val="auto"/>
        </w:rPr>
      </w:pPr>
    </w:p>
    <w:p>
      <w:pPr>
        <w:jc w:val="both"/>
        <w:ind w:firstLine="289"/>
        <w:spacing w:after="0" w:line="255" w:lineRule="auto"/>
        <w:rPr>
          <w:sz w:val="20"/>
          <w:szCs w:val="20"/>
          <w:color w:val="auto"/>
        </w:rPr>
      </w:pPr>
      <w:r>
        <w:rPr>
          <w:rFonts w:ascii="Times New Roman" w:cs="Times New Roman" w:eastAsia="Times New Roman" w:hAnsi="Times New Roman"/>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8"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56" w:lineRule="exact"/>
        <w:rPr>
          <w:sz w:val="20"/>
          <w:szCs w:val="20"/>
          <w:color w:val="auto"/>
        </w:rPr>
      </w:pPr>
    </w:p>
    <w:p>
      <w:pPr>
        <w:jc w:val="both"/>
        <w:ind w:right="20" w:firstLine="289"/>
        <w:spacing w:after="0" w:line="259" w:lineRule="auto"/>
        <w:rPr>
          <w:sz w:val="20"/>
          <w:szCs w:val="20"/>
          <w:color w:val="auto"/>
        </w:rPr>
      </w:pPr>
      <w:r>
        <w:rPr>
          <w:rFonts w:ascii="Times New Roman" w:cs="Times New Roman" w:eastAsia="Times New Roman" w:hAnsi="Times New Roman"/>
          <w:sz w:val="16"/>
          <w:szCs w:val="16"/>
          <w:color w:val="auto"/>
        </w:rPr>
        <w:t>8.9 The Borrower guarantees that the Borrower and its employees and agents will not provide, give, ask for or receive any form of material benefits (including but not limited to cash, physical cards, tourism, etc.) or other non-material benefits other than those agreed herein to the Lender or its employees in any form; Do not use the funds or services provided by the lender in any form, directly or indirectly, for activities related to corruption or bribery; If the borrower is aware of any violation of this article, it shall provide clues and relevant information to the lender in a timely, truthful, complete and accurate manner, and cooperate with the lender on relevant matters as required by the lender.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3" w:name="page484"/>
    <w:bookmarkEnd w:id="483"/>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8.10 According to the lender’s environmental and social risk assessment standards, if the borrower is a customer with environmental and social risks classified as A or B, the borrower shall assume the following obligations:</w:t>
      </w:r>
    </w:p>
    <w:p>
      <w:pPr>
        <w:spacing w:after="0" w:line="143" w:lineRule="exact"/>
        <w:rPr>
          <w:sz w:val="20"/>
          <w:szCs w:val="20"/>
          <w:color w:val="auto"/>
        </w:rPr>
      </w:pPr>
    </w:p>
    <w:p>
      <w:pPr>
        <w:ind w:right="20" w:firstLine="285"/>
        <w:spacing w:after="0" w:line="283" w:lineRule="auto"/>
        <w:tabs>
          <w:tab w:leader="none" w:pos="53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improve the internal management system of environmental and social risks, and specify the responsibilities, obligations and punishment measures of relevant responsible personnel of the borrower;</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and improve the emergency response mechanism and measures for environmental and social risk emergencies;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special departments and/or designate special personnel to be responsible for environmental and social risks;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lender or a third party recognized by the lender in the assessment and inspection of the borrower’s environmental and social risks;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46"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Respond appropriately or take other necessary actions when the public or other interested parties strongly question the borrower’s performance in controlling environmental and social risks;</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32"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Urge the borrower’s vital related parties to strengthen management and prevent the environmental and social risks of related parties from being transmitted to the borrower;</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 other obligations that the lender considers relevant to the control of environmental and social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9. Adjustment of Line of Credit, Acceleration of Maturity and Repricing of Risk</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9.1 Any event below should be deemed as the “early maturity event” of this contract:</w:t>
      </w:r>
    </w:p>
    <w:p>
      <w:pPr>
        <w:spacing w:after="0" w:line="199" w:lineRule="exact"/>
        <w:rPr>
          <w:sz w:val="20"/>
          <w:szCs w:val="20"/>
          <w:color w:val="auto"/>
        </w:rPr>
      </w:pPr>
    </w:p>
    <w:p>
      <w:pPr>
        <w:ind w:left="520" w:hanging="235"/>
        <w:spacing w:after="0"/>
        <w:tabs>
          <w:tab w:leader="none" w:pos="5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borrower does not repay the principal or interest of the loan according to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under this contract;</w:t>
      </w:r>
    </w:p>
    <w:p>
      <w:pPr>
        <w:spacing w:after="0" w:line="202"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makes any false representation or guarantee under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should be notified as specified in Article 8.6 occurs and influences or may influence the security of the creditor’s right of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law, rule or regulatory policy is changed to the extent that the loaner will or may violate the law or rule if it issues the loan according to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performing the contract with the loaner or any third party, the borrower conducts any breach or the debt may be or has been announced to be mature in advance;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breaches any other article of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3"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the lender’s environmental and social risk assessment standards, if the borrower’s environmental and social risks are classified as A or B, the borrower has any of the following events:</w:t>
      </w:r>
    </w:p>
    <w:p>
      <w:pPr>
        <w:spacing w:after="0" w:line="143" w:lineRule="exact"/>
        <w:rPr>
          <w:sz w:val="20"/>
          <w:szCs w:val="20"/>
          <w:color w:val="auto"/>
        </w:rPr>
      </w:pPr>
    </w:p>
    <w:p>
      <w:pPr>
        <w:ind w:left="460" w:hanging="175"/>
        <w:spacing w:after="0"/>
        <w:tabs>
          <w:tab w:leader="none" w:pos="460" w:val="left"/>
        </w:tabs>
        <w:numPr>
          <w:ilvl w:val="0"/>
          <w:numId w:val="47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is punished by relevant government departments due to poor environmental and social risk management;</w:t>
      </w:r>
    </w:p>
    <w:p>
      <w:pPr>
        <w:spacing w:after="0" w:line="201" w:lineRule="exact"/>
        <w:rPr>
          <w:sz w:val="20"/>
          <w:szCs w:val="20"/>
          <w:color w:val="auto"/>
        </w:rPr>
      </w:pPr>
    </w:p>
    <w:p>
      <w:pPr>
        <w:ind w:firstLine="285"/>
        <w:spacing w:after="0" w:line="283" w:lineRule="auto"/>
        <w:tabs>
          <w:tab w:leader="none" w:pos="495" w:val="left"/>
        </w:tabs>
        <w:numPr>
          <w:ilvl w:val="0"/>
          <w:numId w:val="4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is strongly questioned by the public and/or the media due to poor environmental and social risk management, and it is verified that there are relevant situations;</w:t>
      </w:r>
    </w:p>
    <w:p>
      <w:pPr>
        <w:spacing w:after="0" w:line="143" w:lineRule="exact"/>
        <w:rPr>
          <w:sz w:val="20"/>
          <w:szCs w:val="20"/>
          <w:color w:val="auto"/>
        </w:rPr>
      </w:pPr>
    </w:p>
    <w:p>
      <w:pPr>
        <w:ind w:left="5540" w:right="2300" w:hanging="5255"/>
        <w:spacing w:after="0" w:line="785" w:lineRule="auto"/>
        <w:tabs>
          <w:tab w:leader="none" w:pos="462" w:val="left"/>
        </w:tabs>
        <w:numPr>
          <w:ilvl w:val="0"/>
          <w:numId w:val="4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violates the obligations related to environmental and social risk management agreed with the lender in other contracts.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147560" cy="152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4" w:name="page485"/>
    <w:bookmarkEnd w:id="484"/>
    <w:p>
      <w:pPr>
        <w:ind w:left="280"/>
        <w:spacing w:after="0"/>
        <w:rPr>
          <w:sz w:val="20"/>
          <w:szCs w:val="20"/>
          <w:color w:val="auto"/>
        </w:rPr>
      </w:pPr>
      <w:r>
        <w:rPr>
          <w:rFonts w:ascii="Times New Roman" w:cs="Times New Roman" w:eastAsia="Times New Roman" w:hAnsi="Times New Roman"/>
          <w:sz w:val="16"/>
          <w:szCs w:val="16"/>
          <w:color w:val="auto"/>
        </w:rPr>
        <w:t>9.2 In case of any “early maturity event”, the loaner may take any one, several or all measures below:</w:t>
      </w:r>
    </w:p>
    <w:p>
      <w:pPr>
        <w:spacing w:after="0" w:line="201" w:lineRule="exact"/>
        <w:rPr>
          <w:sz w:val="20"/>
          <w:szCs w:val="20"/>
          <w:color w:val="auto"/>
        </w:rPr>
      </w:pPr>
    </w:p>
    <w:p>
      <w:pPr>
        <w:ind w:left="520" w:hanging="235"/>
        <w:spacing w:after="0"/>
        <w:tabs>
          <w:tab w:leader="none" w:pos="5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lower, suspend or cancel the line of credit under this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stop issuing the loan unused by the borrower;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stop paying the loan unused but already withdrawn by the borrower;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require the borrower to supplement the issuance and payment conditions of loan to the loaner with the regulated period;</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require the borrower to change the payment mode as required by the loaner;</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reprice against the risk in executing the loan according to Article 9.3;</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15"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announce that the principal of loan already issued under this contract becomes mature and require the borrower to repay the principal and interest of all the mature loan immediately.</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9.3.1 The repricing mentioned above consists of two modes, including repricing and directly raising the loan interest rate. The specific mode is agreed by both parties in Article 21.</w:t>
      </w:r>
    </w:p>
    <w:p>
      <w:pPr>
        <w:spacing w:after="0" w:line="143"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9.3.3 “Direct raise of loan interest rate” means that the loaner may directly raise the loan interest rate according to this article and Article 21.</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9.3.3.1 Since the loan sends a notice of “repricing date” to the borrower, the loan interest rate should be applied to each loan that the borrower has not repaid by the “repricing date”.</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9.3.3.2 If the loan currency is RMB, US dollar, Euro, Hong Kong dollar, Japanese yen and British pound, the increased loan interest rate of each loan shall be determined according to the plus (minus) point value agreed in Article 21.2.1 on the basis of the applicable pricing benchmark value on the “repricing date”. The “repricing date” shall be the T date, and the pricing benchmark value rules applicable to the T date shall be implemented in accordance with Article 3.5.1 of the Contract.</w:t>
      </w:r>
    </w:p>
    <w:p>
      <w:pPr>
        <w:spacing w:after="0" w:line="156"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9.3.3.3 If the loan currency is other than RMB, US dollar, Euro, Hong Kong dollar, Japanese yen and British pound, the increased loan interest rate shall be determined according to Article 21.2.2.</w:t>
      </w:r>
    </w:p>
    <w:p>
      <w:pPr>
        <w:spacing w:after="0" w:line="143"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9.3.4 After the lender executes risk repricing as agreed above, the new interest rate will be executed from the “repricing date”. On the basis of this interest rate, it is still subject to floating adjustment as agreed in Article 3 of this contract. If both parties agree to change relevant agreements, the agreement after the change shall prevail. If the loan is overdue (including the borrower’s failure to repay on time or the lender’s announcement of early maturity) or misappropriated, the default interest rate for overdue and misappropriated loans shall be determined on the basis of the new interest rate (including the interest rate after floating adjustment as agreed in this contract), and the interest rate for compound interest shall be adjusted accordingly.</w:t>
      </w:r>
    </w:p>
    <w:p>
      <w:pPr>
        <w:spacing w:after="0" w:line="162"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9.3.5 The implementation of “risk repricing” shall not be deemed or interpreted as the lender waiving other rights stipulated by laws and regulations and agreed in this contract. The Lender has the right to take other measures to protect creditor’s rights in accordance with laws and regulations and this Contract, including but not limited to the measures agreed in Article 9.2.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6"/>
          <w:szCs w:val="16"/>
          <w:b w:val="1"/>
          <w:bCs w:val="1"/>
          <w:color w:val="auto"/>
        </w:rPr>
        <w:t>▲▲Article 10. Breach</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11. Deduction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41"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11.2 After such deduction, the loaner should inform the borrower of relevant account number, contract number, number of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deduction amount and remaining debt.</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11.3 If the deducted fund is insufficient to repay all the debt of the borrower, the debt to be repaid by such fund should be determined according to this contract.</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12. Notice</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56" w:lineRule="exact"/>
        <w:rPr>
          <w:sz w:val="20"/>
          <w:szCs w:val="20"/>
          <w:color w:val="auto"/>
        </w:rPr>
      </w:pPr>
    </w:p>
    <w:p>
      <w:pPr>
        <w:ind w:right="20" w:firstLine="285"/>
        <w:spacing w:after="0" w:line="283" w:lineRule="auto"/>
        <w:tabs>
          <w:tab w:leader="none" w:pos="527"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announcement, the date at which the loaner publishes the announcement on its website, online bank, telephone bank or outlet should be deemed as the delivery date;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personal delivery, the date at which the borrower signs to confirm the reception should be deemed as the delivery date;</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15"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86" w:name="page487"/>
    <w:bookmarkEnd w:id="486"/>
    <w:p>
      <w:pPr>
        <w:jc w:val="both"/>
        <w:ind w:right="20" w:firstLine="285"/>
        <w:spacing w:after="0" w:line="267" w:lineRule="auto"/>
        <w:tabs>
          <w:tab w:leader="none" w:pos="515"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 mobile phone short message or other electronic communication methods shall be delivered to the borrower’s fax number, mobile phone number or e-mail address designated by the borrower that the lender knows most recently, and the date of sending shall be deemed as the date of service. The aforementioned delivery refers to the entry of relevant information into the server terminal of the service provider without taking the actual display of relevant information on the client terminal as the standard.</w:t>
      </w:r>
    </w:p>
    <w:p>
      <w:pPr>
        <w:spacing w:after="0" w:line="156"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12.3 The borrower agrees that, unless the lender receives the borrower’s written notice on changing the mailing address, the mailing address filled by the borrower in this contract is the address where the court serves judicial documents and other written documents to the borrower. The scope of application of the above address for service includes but is not limited to the first instance of civil litigation, objection to jurisdiction and reconsideration, second instance, retrial, remand for retrial and enforcement procedures.</w:t>
      </w:r>
    </w:p>
    <w:p>
      <w:pPr>
        <w:spacing w:after="0" w:line="162" w:lineRule="exact"/>
        <w:rPr>
          <w:sz w:val="20"/>
          <w:szCs w:val="20"/>
          <w:color w:val="auto"/>
        </w:rPr>
      </w:pPr>
    </w:p>
    <w:p>
      <w:pPr>
        <w:jc w:val="both"/>
        <w:ind w:right="20" w:firstLine="289"/>
        <w:spacing w:after="0" w:line="261" w:lineRule="auto"/>
        <w:rPr>
          <w:sz w:val="20"/>
          <w:szCs w:val="20"/>
          <w:color w:val="auto"/>
        </w:rPr>
      </w:pPr>
      <w:r>
        <w:rPr>
          <w:rFonts w:ascii="Times New Roman" w:cs="Times New Roman" w:eastAsia="Times New Roman" w:hAnsi="Times New Roman"/>
          <w:sz w:val="16"/>
          <w:szCs w:val="16"/>
          <w:color w:val="auto"/>
        </w:rPr>
        <w:t>During the dispute resolution process of this contract, the court has the right to serve judicial documents and other written documents to the borrower through any communication method stipulated in Article 12.2. The court has the right to choose the communication method it deems appropriate, and is not responsible for any transmission errors, omissions, or delays that may occur in postal, fax, telephone, telex, or any other communication system. If the court chooses multiple communication methods simultaneously, the one that reaches the borrower faster shall prevail.</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12.4 This clause is an independent dispute resolution clause in the contract. If the contract is invalid, canceled or terminated, the validity of this clause will not be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13. Disclosure and Confidentiality</w:t>
      </w:r>
    </w:p>
    <w:p>
      <w:pPr>
        <w:spacing w:after="0" w:line="20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below following circumstances:</w:t>
      </w:r>
    </w:p>
    <w:p>
      <w:pPr>
        <w:spacing w:after="0" w:line="156" w:lineRule="exact"/>
        <w:rPr>
          <w:sz w:val="20"/>
          <w:szCs w:val="20"/>
          <w:color w:val="auto"/>
        </w:rPr>
      </w:pPr>
    </w:p>
    <w:p>
      <w:pPr>
        <w:ind w:left="520" w:hanging="235"/>
        <w:spacing w:after="0"/>
        <w:tabs>
          <w:tab w:leader="none" w:pos="520"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required by applicable laws and regulations;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required by judicial departments or regulatory agencies in accordance with the law;</w:t>
      </w:r>
    </w:p>
    <w:p>
      <w:pPr>
        <w:spacing w:after="0" w:line="200" w:lineRule="exact"/>
        <w:rPr>
          <w:rFonts w:ascii="Times New Roman" w:cs="Times New Roman" w:eastAsia="Times New Roman" w:hAnsi="Times New Roman"/>
          <w:sz w:val="16"/>
          <w:szCs w:val="16"/>
          <w:color w:val="auto"/>
        </w:rPr>
      </w:pPr>
    </w:p>
    <w:p>
      <w:pPr>
        <w:ind w:firstLine="285"/>
        <w:spacing w:after="0" w:line="283" w:lineRule="auto"/>
        <w:tabs>
          <w:tab w:leader="none" w:pos="515"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borrower fails to repay the loan principal and/or pay interest in full and on time, the lender shall disclose to the lender’s external professional advisor and allow the lender’s external professional advisor to use it on a confidential basis in order to realize the creditor’s rights under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implementation of other actions to safeguard public interests or the legitimate rights and interests of borrowers;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agrees or authorizes the lender to disclose.</w:t>
      </w:r>
    </w:p>
    <w:p>
      <w:pPr>
        <w:spacing w:after="0" w:line="199" w:lineRule="exact"/>
        <w:rPr>
          <w:sz w:val="20"/>
          <w:szCs w:val="20"/>
          <w:color w:val="auto"/>
        </w:rPr>
      </w:pPr>
    </w:p>
    <w:p>
      <w:pPr>
        <w:jc w:val="both"/>
        <w:ind w:right="20" w:firstLine="289"/>
        <w:spacing w:after="0" w:line="285" w:lineRule="auto"/>
        <w:rPr>
          <w:sz w:val="20"/>
          <w:szCs w:val="20"/>
          <w:color w:val="auto"/>
        </w:rPr>
      </w:pPr>
      <w:r>
        <w:rPr>
          <w:rFonts w:ascii="Times New Roman" w:cs="Times New Roman" w:eastAsia="Times New Roman" w:hAnsi="Times New Roman"/>
          <w:sz w:val="16"/>
          <w:szCs w:val="16"/>
          <w:color w:val="auto"/>
        </w:rPr>
        <w:t xml:space="preserve">13.2 The borrower confirms that it has signed the </w:t>
      </w:r>
      <w:r>
        <w:rPr>
          <w:rFonts w:ascii="Times New Roman" w:cs="Times New Roman" w:eastAsia="Times New Roman" w:hAnsi="Times New Roman"/>
          <w:sz w:val="16"/>
          <w:szCs w:val="16"/>
          <w:i w:val="1"/>
          <w:iCs w:val="1"/>
          <w:color w:val="auto"/>
        </w:rPr>
        <w:t>Credit Information Inquiry and Provision Authorization</w:t>
      </w:r>
      <w:r>
        <w:rPr>
          <w:rFonts w:ascii="Times New Roman" w:cs="Times New Roman" w:eastAsia="Times New Roman" w:hAnsi="Times New Roman"/>
          <w:sz w:val="16"/>
          <w:szCs w:val="16"/>
          <w:color w:val="auto"/>
        </w:rPr>
        <w:t>. The loaner may inquire, use and keep the credit information of the borrower within the scope regulated by the authorization.</w:t>
      </w:r>
    </w:p>
    <w:p>
      <w:pPr>
        <w:spacing w:after="0" w:line="142"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7" w:name="page488"/>
    <w:bookmarkEnd w:id="487"/>
    <w:p>
      <w:pPr>
        <w:jc w:val="both"/>
        <w:ind w:firstLine="289"/>
        <w:spacing w:after="0" w:line="196" w:lineRule="exact"/>
        <w:rPr>
          <w:sz w:val="20"/>
          <w:szCs w:val="20"/>
          <w:color w:val="auto"/>
        </w:rPr>
      </w:pPr>
      <w:r>
        <w:rPr>
          <w:rFonts w:ascii="Times New Roman" w:cs="Times New Roman" w:eastAsia="Times New Roman" w:hAnsi="Times New Roman"/>
          <w:sz w:val="16"/>
          <w:szCs w:val="16"/>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The loaner provides or may provide the borrower with the new product or service, or further provides the service.</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Whether Article 13.3 is applicable should be subject to Article 24 of this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14. Applicable Laws and Dispute Solution</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15. Effectiveness of the contract, loan nature and contract composition</w:t>
      </w:r>
    </w:p>
    <w:p>
      <w:pPr>
        <w:spacing w:after="0" w:line="203"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15.1 This Contract shall come into force after being signed (or sealed) by the legal representative (principal) or authorized representative of the Borrower and affixed with the official seal, and signed (or sealed) by the legal representative (principal) or authorized representative of the Lender and affixed with the special seal for contract. If the special seal for contracts affixed by the lender is the special seal for offshore credit business contracts (or other special seals for contracts with the word “offshore”), the loans under this contract are offshore business loans.</w:t>
      </w:r>
    </w:p>
    <w:p>
      <w:pPr>
        <w:spacing w:after="0" w:line="1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15.2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and other relevant documents and materials signed under this contract are indispensable parts of this contract.</w:t>
      </w:r>
    </w:p>
    <w:p>
      <w:pPr>
        <w:spacing w:after="0" w:line="201" w:lineRule="exact"/>
        <w:rPr>
          <w:sz w:val="20"/>
          <w:szCs w:val="20"/>
          <w:color w:val="auto"/>
        </w:rPr>
      </w:pPr>
    </w:p>
    <w:p>
      <w:pPr>
        <w:jc w:val="both"/>
        <w:ind w:firstLine="289"/>
        <w:spacing w:after="0" w:line="285" w:lineRule="auto"/>
        <w:rPr>
          <w:sz w:val="20"/>
          <w:szCs w:val="20"/>
          <w:color w:val="auto"/>
        </w:rPr>
      </w:pPr>
      <w:r>
        <w:rPr>
          <w:rFonts w:ascii="Times New Roman" w:cs="Times New Roman" w:eastAsia="Times New Roman" w:hAnsi="Times New Roman"/>
          <w:sz w:val="16"/>
          <w:szCs w:val="16"/>
          <w:color w:val="auto"/>
        </w:rPr>
        <w:t xml:space="preserve">15.3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is the supplement to this contract. Unless otherwise regulated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rights, obligations and other matters of the borrower and the loaner should still be subject to this contract.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16. Specific Content of Line of Credit</w:t>
      </w:r>
    </w:p>
    <w:p>
      <w:pPr>
        <w:spacing w:after="0" w:line="167" w:lineRule="exact"/>
        <w:rPr>
          <w:sz w:val="20"/>
          <w:szCs w:val="20"/>
          <w:color w:val="auto"/>
        </w:rPr>
      </w:pPr>
    </w:p>
    <w:p>
      <w:pPr>
        <w:jc w:val="both"/>
        <w:ind w:right="20" w:firstLine="289"/>
        <w:spacing w:after="0" w:line="232" w:lineRule="exact"/>
        <w:rPr>
          <w:sz w:val="20"/>
          <w:szCs w:val="20"/>
          <w:color w:val="auto"/>
        </w:rPr>
      </w:pPr>
      <w:r>
        <w:rPr>
          <w:rFonts w:ascii="Times New Roman" w:cs="Times New Roman" w:eastAsia="Times New Roman" w:hAnsi="Times New Roman"/>
          <w:sz w:val="16"/>
          <w:szCs w:val="16"/>
          <w:color w:val="auto"/>
        </w:rPr>
        <w:t xml:space="preserve">16.1 Currency of line of credit: </w:t>
      </w:r>
      <w:r>
        <w:rPr>
          <w:rFonts w:ascii="Times New Roman" w:cs="Times New Roman" w:eastAsia="Times New Roman" w:hAnsi="Times New Roman"/>
          <w:sz w:val="16"/>
          <w:szCs w:val="16"/>
          <w:u w:val="single" w:color="auto"/>
          <w:color w:val="auto"/>
        </w:rPr>
        <w:t>RMB</w:t>
      </w:r>
      <w:r>
        <w:rPr>
          <w:rFonts w:ascii="Times New Roman" w:cs="Times New Roman" w:eastAsia="Times New Roman" w:hAnsi="Times New Roman"/>
          <w:sz w:val="16"/>
          <w:szCs w:val="16"/>
          <w:color w:val="auto"/>
        </w:rPr>
        <w:t xml:space="preserve">; Amount in words: </w:t>
      </w:r>
      <w:r>
        <w:rPr>
          <w:rFonts w:ascii="Times New Roman" w:cs="Times New Roman" w:eastAsia="Times New Roman" w:hAnsi="Times New Roman"/>
          <w:sz w:val="16"/>
          <w:szCs w:val="16"/>
          <w:u w:val="single" w:color="auto"/>
          <w:color w:val="auto"/>
        </w:rPr>
        <w:t>ten million yuan;</w:t>
      </w:r>
      <w:r>
        <w:rPr>
          <w:rFonts w:ascii="Times New Roman" w:cs="Times New Roman" w:eastAsia="Times New Roman" w:hAnsi="Times New Roman"/>
          <w:sz w:val="16"/>
          <w:szCs w:val="16"/>
          <w:color w:val="auto"/>
        </w:rPr>
        <w:t xml:space="preserve"> It can be used in √ currency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line currency and other currencies acceptable to the lender; This line belongs to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Revolving line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One time line (can be used for many times) √ One time line (only used once).</w:t>
      </w:r>
    </w:p>
    <w:p>
      <w:pPr>
        <w:spacing w:after="0" w:line="1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16.2 Purpose of credit line: </w:t>
      </w:r>
      <w:r>
        <w:rPr>
          <w:rFonts w:ascii="Times New Roman" w:cs="Times New Roman" w:eastAsia="Times New Roman" w:hAnsi="Times New Roman"/>
          <w:sz w:val="16"/>
          <w:szCs w:val="16"/>
          <w:u w:val="single" w:color="auto"/>
          <w:color w:val="auto"/>
        </w:rPr>
        <w:t>business turnover.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16.3 The credit term is from </w:t>
      </w:r>
      <w:r>
        <w:rPr>
          <w:rFonts w:ascii="Times New Roman" w:cs="Times New Roman" w:eastAsia="Times New Roman" w:hAnsi="Times New Roman"/>
          <w:sz w:val="16"/>
          <w:szCs w:val="16"/>
          <w:u w:val="single" w:color="auto"/>
          <w:color w:val="auto"/>
        </w:rPr>
        <w:t>July 5, 2024</w:t>
      </w:r>
      <w:r>
        <w:rPr>
          <w:rFonts w:ascii="Times New Roman" w:cs="Times New Roman" w:eastAsia="Times New Roman" w:hAnsi="Times New Roman"/>
          <w:sz w:val="16"/>
          <w:szCs w:val="16"/>
          <w:color w:val="auto"/>
        </w:rPr>
        <w:t xml:space="preserve"> to </w:t>
      </w:r>
      <w:r>
        <w:rPr>
          <w:rFonts w:ascii="Times New Roman" w:cs="Times New Roman" w:eastAsia="Times New Roman" w:hAnsi="Times New Roman"/>
          <w:sz w:val="16"/>
          <w:szCs w:val="16"/>
          <w:u w:val="single" w:color="auto"/>
          <w:color w:val="auto"/>
        </w:rPr>
        <w:t>July 5, 2025.</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6"/>
          <w:szCs w:val="16"/>
          <w:b w:val="1"/>
          <w:bCs w:val="1"/>
          <w:color w:val="auto"/>
        </w:rPr>
        <w:t>Article 17. Interest Rate</w:t>
      </w:r>
    </w:p>
    <w:p>
      <w:pPr>
        <w:spacing w:after="0" w:line="20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loan currency is other than RMB, US dollar, euro, Hong Kong dollar, Japanese yen and British pound, the applicable pricing benchmark types, daily interest rate calculation rules and pricing benchmark value determination rules applicable to the corresponding loan on the applicable date of the pricing benchmark and the adjustment date of the loan interest rate are agreed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208280</wp:posOffset>
            </wp:positionV>
            <wp:extent cx="572452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9">
                      <a:extLst>
                        <a:ext uri="{28A0092B-C50C-407E-A947-70E740481C1C}"/>
                      </a:extLst>
                    </a:blip>
                    <a:srcRect/>
                    <a:stretch>
                      <a:fillRect/>
                    </a:stretch>
                  </pic:blipFill>
                  <pic:spPr bwMode="auto">
                    <a:xfrm>
                      <a:off x="0" y="0"/>
                      <a:ext cx="5724525" cy="762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18. Account</w:t>
      </w:r>
    </w:p>
    <w:p>
      <w:pPr>
        <w:spacing w:after="0" w:line="167" w:lineRule="exact"/>
        <w:rPr>
          <w:sz w:val="20"/>
          <w:szCs w:val="20"/>
          <w:color w:val="auto"/>
        </w:rPr>
      </w:pPr>
    </w:p>
    <w:p>
      <w:pPr>
        <w:jc w:val="both"/>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18.1 The borrower appoints the following account to be the issuance account. The account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is √is not the dedicated loan issuance account opened at the loaner. If both parties otherwise regulate in the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such </w:t>
      </w:r>
      <w:r>
        <w:rPr>
          <w:rFonts w:ascii="Times New Roman" w:cs="Times New Roman" w:eastAsia="Times New Roman" w:hAnsi="Times New Roman"/>
          <w:sz w:val="16"/>
          <w:szCs w:val="16"/>
          <w:i w:val="1"/>
          <w:iCs w:val="1"/>
          <w:color w:val="auto"/>
        </w:rPr>
        <w:t>Application for Use of Line of Credit</w:t>
      </w:r>
      <w:r>
        <w:rPr>
          <w:rFonts w:ascii="Times New Roman" w:cs="Times New Roman" w:eastAsia="Times New Roman" w:hAnsi="Times New Roman"/>
          <w:sz w:val="16"/>
          <w:szCs w:val="16"/>
          <w:color w:val="auto"/>
        </w:rPr>
        <w:t xml:space="preserve"> should prevail.</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 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18.2 The borrower appoints that: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repayment account: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 CLPS Shanghai Co., Ltd.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number: 310066865018010213932</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 of deposit: Bank of Communications Zhangjiang Sub-branch</w:t>
      </w:r>
    </w:p>
    <w:p>
      <w:pPr>
        <w:spacing w:after="0" w:line="201" w:lineRule="exact"/>
        <w:rPr>
          <w:sz w:val="20"/>
          <w:szCs w:val="20"/>
          <w:color w:val="auto"/>
        </w:rPr>
      </w:pPr>
    </w:p>
    <w:p>
      <w:pPr>
        <w:ind w:left="280" w:right="8120" w:firstLine="5"/>
        <w:spacing w:after="0" w:line="501" w:lineRule="auto"/>
        <w:tabs>
          <w:tab w:leader="none" w:pos="507" w:val="left"/>
        </w:tabs>
        <w:numPr>
          <w:ilvl w:val="0"/>
          <w:numId w:val="4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 collection account: Account name: CLPS Shanghai Co., Ltd. Account number: 310066865018010213932</w:t>
      </w:r>
    </w:p>
    <w:p>
      <w:pPr>
        <w:spacing w:after="0" w:line="2"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 of deposit: Bank of Communications Zhangjiang Sub-branch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19. Issuance, Payment and Repayment of Loan</w:t>
      </w:r>
    </w:p>
    <w:p>
      <w:pPr>
        <w:spacing w:after="0" w:line="167" w:lineRule="exact"/>
        <w:rPr>
          <w:sz w:val="20"/>
          <w:szCs w:val="20"/>
          <w:color w:val="auto"/>
        </w:rPr>
      </w:pPr>
    </w:p>
    <w:p>
      <w:pPr>
        <w:ind w:firstLine="289"/>
        <w:spacing w:after="0" w:line="219" w:lineRule="exact"/>
        <w:rPr>
          <w:sz w:val="20"/>
          <w:szCs w:val="20"/>
          <w:color w:val="auto"/>
        </w:rPr>
      </w:pPr>
      <w:r>
        <w:rPr>
          <w:rFonts w:ascii="Times New Roman" w:cs="Times New Roman" w:eastAsia="Times New Roman" w:hAnsi="Times New Roman"/>
          <w:sz w:val="16"/>
          <w:szCs w:val="16"/>
          <w:color w:val="auto"/>
        </w:rPr>
        <w:t xml:space="preserve">19.1 The period of each loan withdrawn under this contract should be no longer than 12√months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days, and the maturity date of all the loan should be no later than </w:t>
      </w:r>
      <w:r>
        <w:rPr>
          <w:rFonts w:ascii="Times New Roman" w:cs="Times New Roman" w:eastAsia="Times New Roman" w:hAnsi="Times New Roman"/>
          <w:sz w:val="16"/>
          <w:szCs w:val="16"/>
          <w:u w:val="single" w:color="auto"/>
          <w:color w:val="auto"/>
        </w:rPr>
        <w:t>January 5, 2026.</w:t>
      </w:r>
    </w:p>
    <w:p>
      <w:pPr>
        <w:spacing w:after="0" w:line="140"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19.2 The limit of independent payment under the Contract is:√ RMB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/(foreign currency) </w:t>
      </w:r>
      <w:r>
        <w:rPr>
          <w:rFonts w:ascii="Times New Roman" w:cs="Times New Roman" w:eastAsia="Times New Roman" w:hAnsi="Times New Roman"/>
          <w:sz w:val="16"/>
          <w:szCs w:val="16"/>
          <w:u w:val="single" w:color="auto"/>
          <w:color w:val="auto"/>
        </w:rPr>
        <w:t>zero</w:t>
      </w:r>
      <w:r>
        <w:rPr>
          <w:rFonts w:ascii="Times New Roman" w:cs="Times New Roman" w:eastAsia="Times New Roman" w:hAnsi="Times New Roman"/>
          <w:sz w:val="16"/>
          <w:szCs w:val="16"/>
          <w:color w:val="auto"/>
        </w:rPr>
        <w:t xml:space="preserve"> thousand yuan or equivalent in other currencies.</w:t>
      </w:r>
    </w:p>
    <w:p>
      <w:pPr>
        <w:spacing w:after="0" w:line="2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19.3 The entrusted payment by loaner is compulsory once any condition below is met:</w:t>
      </w:r>
    </w:p>
    <w:p>
      <w:pPr>
        <w:spacing w:after="0" w:line="20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-6350</wp:posOffset>
            </wp:positionV>
            <wp:extent cx="5422265"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30">
                      <a:extLst>
                        <a:ext uri="{28A0092B-C50C-407E-A947-70E740481C1C}"/>
                      </a:extLst>
                    </a:blip>
                    <a:srcRect/>
                    <a:stretch>
                      <a:fillRect/>
                    </a:stretch>
                  </pic:blipFill>
                  <pic:spPr bwMode="auto">
                    <a:xfrm>
                      <a:off x="0" y="0"/>
                      <a:ext cx="5422265" cy="7620"/>
                    </a:xfrm>
                    <a:prstGeom prst="rect">
                      <a:avLst/>
                    </a:prstGeom>
                    <a:noFill/>
                  </pic:spPr>
                </pic:pic>
              </a:graphicData>
            </a:graphic>
          </wp:anchor>
        </w:drawing>
        <w:drawing>
          <wp:anchor simplePos="0" relativeHeight="251657728" behindDoc="1" locked="0" layoutInCell="0" allowOverlap="1">
            <wp:simplePos x="0" y="0"/>
            <wp:positionH relativeFrom="column">
              <wp:posOffset>180975</wp:posOffset>
            </wp:positionH>
            <wp:positionV relativeFrom="paragraph">
              <wp:posOffset>237490</wp:posOffset>
            </wp:positionV>
            <wp:extent cx="539369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1">
                      <a:extLst>
                        <a:ext uri="{28A0092B-C50C-407E-A947-70E740481C1C}"/>
                      </a:extLst>
                    </a:blip>
                    <a:srcRect/>
                    <a:stretch>
                      <a:fillRect/>
                    </a:stretch>
                  </pic:blipFill>
                  <pic:spPr bwMode="auto">
                    <a:xfrm>
                      <a:off x="0" y="0"/>
                      <a:ext cx="5393690"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19.4 In the mode of independent payment by the borrower, the borrower should report the payment of loan fund to the loaner within 15 days since the issuance of loan.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20. Financial Restriction, External Rating, Production and Operation Qualification/License</w:t>
      </w:r>
    </w:p>
    <w:p>
      <w:pPr>
        <w:spacing w:after="0" w:line="203"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 xml:space="preserve">20.1 Limit on the external investment by the borrower is RMB </w:t>
      </w:r>
      <w:r>
        <w:rPr>
          <w:rFonts w:ascii="Times New Roman" w:cs="Times New Roman" w:eastAsia="Times New Roman" w:hAnsi="Times New Roman"/>
          <w:sz w:val="16"/>
          <w:szCs w:val="16"/>
          <w:u w:val="single" w:color="auto"/>
          <w:color w:val="auto"/>
        </w:rPr>
        <w:t>30 million</w:t>
      </w:r>
      <w:r>
        <w:rPr>
          <w:rFonts w:ascii="Times New Roman" w:cs="Times New Roman" w:eastAsia="Times New Roman" w:hAnsi="Times New Roman"/>
          <w:sz w:val="16"/>
          <w:szCs w:val="16"/>
          <w:color w:val="auto"/>
        </w:rPr>
        <w:t xml:space="preserve">; limit for providing external guarantees is RMB 30 million; limit on the increase of debt financing is RMB </w:t>
      </w:r>
      <w:r>
        <w:rPr>
          <w:rFonts w:ascii="Times New Roman" w:cs="Times New Roman" w:eastAsia="Times New Roman" w:hAnsi="Times New Roman"/>
          <w:sz w:val="16"/>
          <w:szCs w:val="16"/>
          <w:u w:val="single" w:color="auto"/>
          <w:color w:val="auto"/>
        </w:rPr>
        <w:t>30 million.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20.2 Specific regulations on the financial indexes of the borrower:</w:t>
      </w:r>
    </w:p>
    <w:p>
      <w:pPr>
        <w:spacing w:after="0" w:line="201" w:lineRule="exact"/>
        <w:rPr>
          <w:sz w:val="20"/>
          <w:szCs w:val="20"/>
          <w:color w:val="auto"/>
        </w:rPr>
      </w:pPr>
    </w:p>
    <w:p>
      <w:pPr>
        <w:ind w:left="280"/>
        <w:spacing w:after="0"/>
        <w:tabs>
          <w:tab w:leader="none" w:pos="41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447665"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2">
                      <a:extLst>
                        <a:ext uri="{28A0092B-C50C-407E-A947-70E740481C1C}"/>
                      </a:extLst>
                    </a:blip>
                    <a:srcRect/>
                    <a:stretch>
                      <a:fillRect/>
                    </a:stretch>
                  </pic:blipFill>
                  <pic:spPr bwMode="auto">
                    <a:xfrm>
                      <a:off x="0" y="0"/>
                      <a:ext cx="5447665" cy="762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39369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3">
                      <a:extLst>
                        <a:ext uri="{28A0092B-C50C-407E-A947-70E740481C1C}"/>
                      </a:extLst>
                    </a:blip>
                    <a:srcRect/>
                    <a:stretch>
                      <a:fillRect/>
                    </a:stretch>
                  </pic:blipFill>
                  <pic:spPr bwMode="auto">
                    <a:xfrm>
                      <a:off x="0" y="0"/>
                      <a:ext cx="5393690" cy="762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39369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4">
                      <a:extLst>
                        <a:ext uri="{28A0092B-C50C-407E-A947-70E740481C1C}"/>
                      </a:extLst>
                    </a:blip>
                    <a:srcRect/>
                    <a:stretch>
                      <a:fillRect/>
                    </a:stretch>
                  </pic:blipFill>
                  <pic:spPr bwMode="auto">
                    <a:xfrm>
                      <a:off x="0" y="0"/>
                      <a:ext cx="5393690" cy="762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489" w:name="page490"/>
    <w:bookmarkEnd w:id="489"/>
    <w:p>
      <w:pPr>
        <w:ind w:left="280"/>
        <w:spacing w:after="0"/>
        <w:rPr>
          <w:sz w:val="20"/>
          <w:szCs w:val="20"/>
          <w:color w:val="auto"/>
        </w:rPr>
      </w:pPr>
      <w:r>
        <w:rPr>
          <w:rFonts w:ascii="Times New Roman" w:cs="Times New Roman" w:eastAsia="Times New Roman" w:hAnsi="Times New Roman"/>
          <w:sz w:val="16"/>
          <w:szCs w:val="16"/>
          <w:color w:val="auto"/>
        </w:rPr>
        <w:t>20.3 Specific regulations on the external rating:</w:t>
      </w:r>
    </w:p>
    <w:p>
      <w:pPr>
        <w:spacing w:after="0" w:line="201" w:lineRule="exact"/>
        <w:rPr>
          <w:sz w:val="20"/>
          <w:szCs w:val="20"/>
          <w:color w:val="auto"/>
        </w:rPr>
      </w:pPr>
    </w:p>
    <w:p>
      <w:pPr>
        <w:ind w:left="280"/>
        <w:spacing w:after="0"/>
        <w:tabs>
          <w:tab w:leader="none" w:pos="426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422265"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6">
                      <a:extLst>
                        <a:ext uri="{28A0092B-C50C-407E-A947-70E740481C1C}"/>
                      </a:extLst>
                    </a:blip>
                    <a:srcRect/>
                    <a:stretch>
                      <a:fillRect/>
                    </a:stretch>
                  </pic:blipFill>
                  <pic:spPr bwMode="auto">
                    <a:xfrm>
                      <a:off x="0" y="0"/>
                      <a:ext cx="5422265" cy="762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39369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7">
                      <a:extLst>
                        <a:ext uri="{28A0092B-C50C-407E-A947-70E740481C1C}"/>
                      </a:extLst>
                    </a:blip>
                    <a:srcRect/>
                    <a:stretch>
                      <a:fillRect/>
                    </a:stretch>
                  </pic:blipFill>
                  <pic:spPr bwMode="auto">
                    <a:xfrm>
                      <a:off x="0" y="0"/>
                      <a:ext cx="5393690" cy="762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20.4 Specific regulations on the production and operation qualification/license of the borrower: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39369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8">
                      <a:extLst>
                        <a:ext uri="{28A0092B-C50C-407E-A947-70E740481C1C}"/>
                      </a:extLst>
                    </a:blip>
                    <a:srcRect/>
                    <a:stretch>
                      <a:fillRect/>
                    </a:stretch>
                  </pic:blipFill>
                  <pic:spPr bwMode="auto">
                    <a:xfrm>
                      <a:off x="0" y="0"/>
                      <a:ext cx="5393690" cy="7620"/>
                    </a:xfrm>
                    <a:prstGeom prst="rect">
                      <a:avLst/>
                    </a:prstGeom>
                    <a:noFill/>
                  </pic:spPr>
                </pic:pic>
              </a:graphicData>
            </a:graphic>
          </wp:anchor>
        </w:drawing>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wp:posOffset>
            </wp:positionH>
            <wp:positionV relativeFrom="paragraph">
              <wp:posOffset>-6350</wp:posOffset>
            </wp:positionV>
            <wp:extent cx="539369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9">
                      <a:extLst>
                        <a:ext uri="{28A0092B-C50C-407E-A947-70E740481C1C}"/>
                      </a:extLst>
                    </a:blip>
                    <a:srcRect/>
                    <a:stretch>
                      <a:fillRect/>
                    </a:stretch>
                  </pic:blipFill>
                  <pic:spPr bwMode="auto">
                    <a:xfrm>
                      <a:off x="0" y="0"/>
                      <a:ext cx="5393690"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21. Repricing of Risk</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21.1 This contract adopts the first repricing mode below: (1) Repricing through negotiations; (2) Direct raising the loan interest rate.</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21.2 Once the “direct raising the loan interest rate” is adopted:</w:t>
      </w:r>
    </w:p>
    <w:p>
      <w:pPr>
        <w:spacing w:after="0" w:line="165" w:lineRule="exact"/>
        <w:rPr>
          <w:sz w:val="20"/>
          <w:szCs w:val="20"/>
          <w:color w:val="auto"/>
        </w:rPr>
      </w:pPr>
    </w:p>
    <w:p>
      <w:pPr>
        <w:jc w:val="both"/>
        <w:ind w:firstLine="289"/>
        <w:spacing w:after="0" w:line="210" w:lineRule="exact"/>
        <w:rPr>
          <w:sz w:val="20"/>
          <w:szCs w:val="20"/>
          <w:color w:val="auto"/>
        </w:rPr>
      </w:pPr>
      <w:r>
        <w:rPr>
          <w:rFonts w:ascii="Times New Roman" w:cs="Times New Roman" w:eastAsia="Times New Roman" w:hAnsi="Times New Roman"/>
          <w:sz w:val="16"/>
          <w:szCs w:val="16"/>
          <w:color w:val="auto"/>
        </w:rPr>
        <w:t xml:space="preserve">21.2.1 If the loan currency is RMB, US dollar, Euro, Hong Kong dollar, Japanese yen and British pound,, the increased interest rate plus (minus) points shall be: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point plus or minus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plus percentage points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minus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percentage points. If a loan is otherwise agreed, the increase (decrease) value of the interest rate after the increase of the loan shall be subject to the records in the application for the use of the applicable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-143510</wp:posOffset>
            </wp:positionV>
            <wp:extent cx="155575"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40">
                      <a:extLst>
                        <a:ext uri="{28A0092B-C50C-407E-A947-70E740481C1C}"/>
                      </a:extLst>
                    </a:blip>
                    <a:srcRect/>
                    <a:stretch>
                      <a:fillRect/>
                    </a:stretch>
                  </pic:blipFill>
                  <pic:spPr bwMode="auto">
                    <a:xfrm>
                      <a:off x="0" y="0"/>
                      <a:ext cx="155575" cy="7620"/>
                    </a:xfrm>
                    <a:prstGeom prst="rect">
                      <a:avLst/>
                    </a:prstGeom>
                    <a:noFill/>
                  </pic:spPr>
                </pic:pic>
              </a:graphicData>
            </a:graphic>
          </wp:anchor>
        </w:drawing>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21.2.2 If the loan currency is other than RMB, US dollar, Euro, Hong Kong dollar, Japanese yen and British pound, the loan interest rate after the increase is:</w:t>
      </w: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-6350</wp:posOffset>
            </wp:positionV>
            <wp:extent cx="135128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1">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22. Contact Details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Contact details of the borrower to receive the notice specified in Article 12:</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Mailing address: </w:t>
      </w:r>
      <w:r>
        <w:rPr>
          <w:rFonts w:ascii="Times New Roman" w:cs="Times New Roman" w:eastAsia="Times New Roman" w:hAnsi="Times New Roman"/>
          <w:sz w:val="16"/>
          <w:szCs w:val="16"/>
          <w:u w:val="single" w:color="auto"/>
          <w:color w:val="auto"/>
        </w:rPr>
        <w:t>2F, Building 18, 498 Guoshoujing Road</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Addressee: </w:t>
      </w:r>
      <w:r>
        <w:rPr>
          <w:rFonts w:ascii="Times New Roman" w:cs="Times New Roman" w:eastAsia="Times New Roman" w:hAnsi="Times New Roman"/>
          <w:sz w:val="16"/>
          <w:szCs w:val="16"/>
          <w:u w:val="single" w:color="auto"/>
          <w:color w:val="auto"/>
        </w:rPr>
        <w:t>Yang Xiaofeng</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Post code: </w:t>
      </w:r>
      <w:r>
        <w:rPr>
          <w:rFonts w:ascii="Times New Roman" w:cs="Times New Roman" w:eastAsia="Times New Roman" w:hAnsi="Times New Roman"/>
          <w:sz w:val="16"/>
          <w:szCs w:val="16"/>
          <w:u w:val="single" w:color="auto"/>
          <w:color w:val="auto"/>
        </w:rPr>
        <w:t>201203</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wp:posOffset>
            </wp:positionV>
            <wp:extent cx="1933575"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2">
                      <a:extLst>
                        <a:ext uri="{28A0092B-C50C-407E-A947-70E740481C1C}"/>
                      </a:extLst>
                    </a:blip>
                    <a:srcRect/>
                    <a:stretch>
                      <a:fillRect/>
                    </a:stretch>
                  </pic:blipFill>
                  <pic:spPr bwMode="auto">
                    <a:xfrm>
                      <a:off x="0" y="0"/>
                      <a:ext cx="1933575" cy="7620"/>
                    </a:xfrm>
                    <a:prstGeom prst="rect">
                      <a:avLst/>
                    </a:prstGeom>
                    <a:noFill/>
                  </pic:spPr>
                </pic:pic>
              </a:graphicData>
            </a:graphic>
          </wp:anchor>
        </w:drawing>
      </w:r>
    </w:p>
    <w:p>
      <w:pPr>
        <w:spacing w:after="0" w:line="181" w:lineRule="exact"/>
        <w:rPr>
          <w:sz w:val="20"/>
          <w:szCs w:val="20"/>
          <w:color w:val="auto"/>
        </w:rPr>
      </w:pPr>
    </w:p>
    <w:p>
      <w:pPr>
        <w:ind w:left="280"/>
        <w:spacing w:after="0"/>
        <w:tabs>
          <w:tab w:leader="none" w:pos="1980" w:val="left"/>
        </w:tabs>
        <w:rPr>
          <w:sz w:val="20"/>
          <w:szCs w:val="20"/>
          <w:color w:val="auto"/>
        </w:rPr>
      </w:pPr>
      <w:r>
        <w:rPr>
          <w:rFonts w:ascii="Times New Roman" w:cs="Times New Roman" w:eastAsia="Times New Roman" w:hAnsi="Times New Roman"/>
          <w:sz w:val="16"/>
          <w:szCs w:val="16"/>
          <w:color w:val="auto"/>
        </w:rPr>
        <w:t>Mobile: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-6350</wp:posOffset>
            </wp:positionV>
            <wp:extent cx="1809115"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3">
                      <a:extLst>
                        <a:ext uri="{28A0092B-C50C-407E-A947-70E740481C1C}"/>
                      </a:extLst>
                    </a:blip>
                    <a:srcRect/>
                    <a:stretch>
                      <a:fillRect/>
                    </a:stretch>
                  </pic:blipFill>
                  <pic:spPr bwMode="auto">
                    <a:xfrm>
                      <a:off x="0" y="0"/>
                      <a:ext cx="1809115" cy="7620"/>
                    </a:xfrm>
                    <a:prstGeom prst="rect">
                      <a:avLst/>
                    </a:prstGeom>
                    <a:noFill/>
                  </pic:spPr>
                </pic:pic>
              </a:graphicData>
            </a:graphic>
          </wp:anchor>
        </w:drawing>
      </w:r>
    </w:p>
    <w:p>
      <w:pPr>
        <w:spacing w:after="0" w:line="181" w:lineRule="exact"/>
        <w:rPr>
          <w:sz w:val="20"/>
          <w:szCs w:val="20"/>
          <w:color w:val="auto"/>
        </w:rPr>
      </w:pPr>
    </w:p>
    <w:p>
      <w:pPr>
        <w:ind w:left="280"/>
        <w:spacing w:after="0"/>
        <w:tabs>
          <w:tab w:leader="none" w:pos="2000" w:val="left"/>
        </w:tabs>
        <w:rPr>
          <w:sz w:val="20"/>
          <w:szCs w:val="20"/>
          <w:color w:val="auto"/>
        </w:rPr>
      </w:pPr>
      <w:r>
        <w:rPr>
          <w:rFonts w:ascii="Times New Roman" w:cs="Times New Roman" w:eastAsia="Times New Roman" w:hAnsi="Times New Roman"/>
          <w:sz w:val="16"/>
          <w:szCs w:val="16"/>
          <w:color w:val="auto"/>
        </w:rPr>
        <w:t>Fax:</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-6350</wp:posOffset>
            </wp:positionV>
            <wp:extent cx="196215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4">
                      <a:extLst>
                        <a:ext uri="{28A0092B-C50C-407E-A947-70E740481C1C}"/>
                      </a:extLst>
                    </a:blip>
                    <a:srcRect/>
                    <a:stretch>
                      <a:fillRect/>
                    </a:stretch>
                  </pic:blipFill>
                  <pic:spPr bwMode="auto">
                    <a:xfrm>
                      <a:off x="0" y="0"/>
                      <a:ext cx="1962150" cy="7620"/>
                    </a:xfrm>
                    <a:prstGeom prst="rect">
                      <a:avLst/>
                    </a:prstGeom>
                    <a:noFill/>
                  </pic:spPr>
                </pic:pic>
              </a:graphicData>
            </a:graphic>
          </wp:anchor>
        </w:drawing>
      </w:r>
    </w:p>
    <w:p>
      <w:pPr>
        <w:spacing w:after="0" w:line="181" w:lineRule="exact"/>
        <w:rPr>
          <w:sz w:val="20"/>
          <w:szCs w:val="20"/>
          <w:color w:val="auto"/>
        </w:rPr>
      </w:pPr>
    </w:p>
    <w:p>
      <w:pPr>
        <w:ind w:left="280"/>
        <w:spacing w:after="0"/>
        <w:tabs>
          <w:tab w:leader="none" w:pos="19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-6350</wp:posOffset>
            </wp:positionV>
            <wp:extent cx="1885315"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5">
                      <a:extLst>
                        <a:ext uri="{28A0092B-C50C-407E-A947-70E740481C1C}"/>
                      </a:extLst>
                    </a:blip>
                    <a:srcRect/>
                    <a:stretch>
                      <a:fillRect/>
                    </a:stretch>
                  </pic:blipFill>
                  <pic:spPr bwMode="auto">
                    <a:xfrm>
                      <a:off x="0" y="0"/>
                      <a:ext cx="1885315" cy="762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23. Counterparts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This contract is made with </w:t>
      </w:r>
      <w:r>
        <w:rPr>
          <w:rFonts w:ascii="Times New Roman" w:cs="Times New Roman" w:eastAsia="Times New Roman" w:hAnsi="Times New Roman"/>
          <w:sz w:val="16"/>
          <w:szCs w:val="16"/>
          <w:u w:val="single" w:color="auto"/>
          <w:color w:val="auto"/>
        </w:rPr>
        <w:t>Three</w:t>
      </w:r>
      <w:r>
        <w:rPr>
          <w:rFonts w:ascii="Times New Roman" w:cs="Times New Roman" w:eastAsia="Times New Roman" w:hAnsi="Times New Roman"/>
          <w:sz w:val="16"/>
          <w:szCs w:val="16"/>
          <w:color w:val="auto"/>
        </w:rPr>
        <w:t xml:space="preserve"> copies. Both parties and the guarantor (if any) holds </w:t>
      </w:r>
      <w:r>
        <w:rPr>
          <w:rFonts w:ascii="Times New Roman" w:cs="Times New Roman" w:eastAsia="Times New Roman" w:hAnsi="Times New Roman"/>
          <w:sz w:val="16"/>
          <w:szCs w:val="16"/>
          <w:u w:val="single" w:color="auto"/>
          <w:color w:val="auto"/>
        </w:rPr>
        <w:t>one</w:t>
      </w:r>
      <w:r>
        <w:rPr>
          <w:rFonts w:ascii="Times New Roman" w:cs="Times New Roman" w:eastAsia="Times New Roman" w:hAnsi="Times New Roman"/>
          <w:sz w:val="16"/>
          <w:szCs w:val="16"/>
          <w:color w:val="auto"/>
        </w:rPr>
        <w:t xml:space="preserve"> copy (ies)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24. Miscellaneous</w:t>
      </w:r>
    </w:p>
    <w:p>
      <w:pPr>
        <w:spacing w:after="0" w:line="167"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24.1 Both parties agree that Article 13.3 √applies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does not apply to this contract.</w:t>
      </w:r>
    </w:p>
    <w:p>
      <w:pPr>
        <w:spacing w:after="0" w:line="201" w:lineRule="exact"/>
        <w:rPr>
          <w:sz w:val="20"/>
          <w:szCs w:val="20"/>
          <w:color w:val="auto"/>
        </w:rPr>
      </w:pPr>
    </w:p>
    <w:p>
      <w:pPr>
        <w:jc w:val="both"/>
        <w:ind w:right="20" w:firstLine="289"/>
        <w:spacing w:after="0" w:line="219" w:lineRule="exact"/>
        <w:rPr>
          <w:sz w:val="20"/>
          <w:szCs w:val="20"/>
          <w:color w:val="auto"/>
        </w:rPr>
      </w:pPr>
      <w:r>
        <w:rPr>
          <w:rFonts w:ascii="Times New Roman" w:cs="Times New Roman" w:eastAsia="Times New Roman" w:hAnsi="Times New Roman"/>
          <w:sz w:val="16"/>
          <w:szCs w:val="16"/>
          <w:color w:val="auto"/>
        </w:rPr>
        <w:t xml:space="preserve">24.2 According to the lender’s environmental and social risk assessment standards, the borrower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belongs to a customer √ not classified as A or B in terms of environmental and social risks.</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 xml:space="preserve">24.3 The payment method of the loan under the Contract shall be subject to the </w:t>
      </w:r>
      <w:r>
        <w:rPr>
          <w:rFonts w:ascii="Times New Roman" w:cs="Times New Roman" w:eastAsia="Times New Roman" w:hAnsi="Times New Roman"/>
          <w:sz w:val="16"/>
          <w:szCs w:val="16"/>
          <w:i w:val="1"/>
          <w:iCs w:val="1"/>
          <w:color w:val="auto"/>
        </w:rPr>
        <w:t>Application for Use of Quota</w:t>
      </w:r>
      <w:r>
        <w:rPr>
          <w:rFonts w:ascii="Times New Roman" w:cs="Times New Roman" w:eastAsia="Times New Roman" w:hAnsi="Times New Roman"/>
          <w:sz w:val="16"/>
          <w:szCs w:val="16"/>
          <w:color w:val="auto"/>
        </w:rPr>
        <w:t xml:space="preserve"> signed by the Lender.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6"/>
          <w:szCs w:val="16"/>
          <w:color w:val="auto"/>
        </w:rPr>
        <w:t xml:space="preserve">Borrower: </w:t>
      </w:r>
      <w:r>
        <w:rPr>
          <w:rFonts w:ascii="Times New Roman" w:cs="Times New Roman" w:eastAsia="Times New Roman" w:hAnsi="Times New Roman"/>
          <w:sz w:val="16"/>
          <w:szCs w:val="16"/>
          <w:u w:val="single" w:color="auto"/>
          <w:color w:val="auto"/>
        </w:rPr>
        <w:t>CLPS Shanghai Co., Ltd.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Legal representative (responsible person): </w:t>
      </w:r>
      <w:r>
        <w:rPr>
          <w:rFonts w:ascii="Times New Roman" w:cs="Times New Roman" w:eastAsia="Times New Roman" w:hAnsi="Times New Roman"/>
          <w:sz w:val="16"/>
          <w:szCs w:val="16"/>
          <w:u w:val="single" w:color="auto"/>
          <w:color w:val="auto"/>
        </w:rPr>
        <w:t>Yang Xiaofeng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Address: </w:t>
      </w:r>
      <w:r>
        <w:rPr>
          <w:rFonts w:ascii="Times New Roman" w:cs="Times New Roman" w:eastAsia="Times New Roman" w:hAnsi="Times New Roman"/>
          <w:sz w:val="16"/>
          <w:szCs w:val="16"/>
          <w:u w:val="single" w:color="auto"/>
          <w:color w:val="auto"/>
        </w:rPr>
        <w:t>Room 26C01, 828-838 Zhangyang Road, China (Shanghai) Free Trade Area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Loaner: Bank of Communications Co., Ltd. Shanghai Zhangjiang Branch (Sub-branch)</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Responsible person: </w:t>
      </w:r>
      <w:r>
        <w:rPr>
          <w:rFonts w:ascii="Times New Roman" w:cs="Times New Roman" w:eastAsia="Times New Roman" w:hAnsi="Times New Roman"/>
          <w:sz w:val="16"/>
          <w:szCs w:val="16"/>
          <w:u w:val="single" w:color="auto"/>
          <w:color w:val="auto"/>
        </w:rPr>
        <w:t>Zhu Lei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Mailing address: </w:t>
      </w:r>
      <w:r>
        <w:rPr>
          <w:rFonts w:ascii="Times New Roman" w:cs="Times New Roman" w:eastAsia="Times New Roman" w:hAnsi="Times New Roman"/>
          <w:sz w:val="16"/>
          <w:szCs w:val="16"/>
          <w:u w:val="single" w:color="auto"/>
          <w:color w:val="auto"/>
        </w:rPr>
        <w:t>560 Songtao Road, Pudong New Area, Shanghai,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137795</wp:posOffset>
            </wp:positionV>
            <wp:extent cx="4283710" cy="5041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7">
                      <a:extLst>
                        <a:ext uri="{28A0092B-C50C-407E-A947-70E740481C1C}"/>
                      </a:extLst>
                    </a:blip>
                    <a:srcRect/>
                    <a:stretch>
                      <a:fillRect/>
                    </a:stretch>
                  </pic:blipFill>
                  <pic:spPr bwMode="auto">
                    <a:xfrm>
                      <a:off x="0" y="0"/>
                      <a:ext cx="4283710" cy="504190"/>
                    </a:xfrm>
                    <a:prstGeom prst="rect">
                      <a:avLst/>
                    </a:prstGeom>
                    <a:noFill/>
                  </pic:spPr>
                </pic:pic>
              </a:graphicData>
            </a:graphic>
          </wp:anchor>
        </w:drawing>
      </w:r>
    </w:p>
    <w:p>
      <w:pPr>
        <w:spacing w:after="0" w:line="289" w:lineRule="exact"/>
        <w:rPr>
          <w:sz w:val="20"/>
          <w:szCs w:val="20"/>
          <w:color w:val="auto"/>
        </w:rPr>
      </w:pPr>
    </w:p>
    <w:p>
      <w:pPr>
        <w:jc w:val="both"/>
        <w:ind w:left="2040" w:right="1199"/>
        <w:spacing w:after="0" w:line="267" w:lineRule="auto"/>
        <w:rPr>
          <w:sz w:val="20"/>
          <w:szCs w:val="20"/>
          <w:color w:val="auto"/>
        </w:rPr>
      </w:pPr>
      <w:r>
        <w:rPr>
          <w:rFonts w:ascii="Times New Roman" w:cs="Times New Roman" w:eastAsia="Times New Roman" w:hAnsi="Times New Roman"/>
          <w:sz w:val="16"/>
          <w:szCs w:val="16"/>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26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color w:val="auto"/>
        </w:rPr>
        <w:t>(This page is the signature page of the Working Capital Loan Contract, and there is no text below)</w:t>
      </w:r>
    </w:p>
    <w:p>
      <w:pPr>
        <w:spacing w:after="0" w:line="39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15875</wp:posOffset>
            </wp:positionV>
            <wp:extent cx="7147560" cy="152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9859"/>
          </w:cols>
          <w:pgMar w:left="600" w:top="821" w:right="1440"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6"/>
          <w:szCs w:val="16"/>
          <w:color w:val="auto"/>
        </w:rPr>
        <w:t>Borrower: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15875</wp:posOffset>
            </wp:positionV>
            <wp:extent cx="1107440" cy="119126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9">
                      <a:extLst>
                        <a:ext uri="{28A0092B-C50C-407E-A947-70E740481C1C}"/>
                      </a:extLst>
                    </a:blip>
                    <a:srcRect/>
                    <a:stretch>
                      <a:fillRect/>
                    </a:stretch>
                  </pic:blipFill>
                  <pic:spPr bwMode="auto">
                    <a:xfrm>
                      <a:off x="0" y="0"/>
                      <a:ext cx="110744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(Seal: ChinaLink Professional Services Co., Ltd.)</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(responsible person) or authorized representative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or seal)</w:t>
      </w:r>
      <w:r>
        <w:rPr>
          <w:sz w:val="1"/>
          <w:szCs w:val="1"/>
          <w:color w:val="auto"/>
        </w:rPr>
        <w:drawing>
          <wp:inline distT="0" distB="0" distL="0" distR="0">
            <wp:extent cx="565150" cy="565150"/>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50">
                      <a:extLst>
                        <a:ext uri="{28A0092B-C50C-407E-A947-70E740481C1C}"/>
                      </a:extLst>
                    </a:blip>
                    <a:srcRect/>
                    <a:stretch>
                      <a:fillRect/>
                    </a:stretch>
                  </pic:blipFill>
                  <pic:spPr bwMode="auto">
                    <a:xfrm>
                      <a:off x="0" y="0"/>
                      <a:ext cx="565150" cy="565150"/>
                    </a:xfrm>
                    <a:prstGeom prst="rect">
                      <a:avLst/>
                    </a:prstGeom>
                    <a:noFill/>
                    <a:ln>
                      <a:noFill/>
                    </a:ln>
                  </pic:spPr>
                </pic:pic>
              </a:graphicData>
            </a:graphic>
          </wp:inline>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June 5,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Loaner: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-1105535</wp:posOffset>
            </wp:positionV>
            <wp:extent cx="1649095" cy="87820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1">
                      <a:extLst>
                        <a:ext uri="{28A0092B-C50C-407E-A947-70E740481C1C}"/>
                      </a:extLst>
                    </a:blip>
                    <a:srcRect/>
                    <a:stretch>
                      <a:fillRect/>
                    </a:stretch>
                  </pic:blipFill>
                  <pic:spPr bwMode="auto">
                    <a:xfrm>
                      <a:off x="0" y="0"/>
                      <a:ext cx="1649095" cy="878205"/>
                    </a:xfrm>
                    <a:prstGeom prst="rect">
                      <a:avLst/>
                    </a:prstGeom>
                    <a:noFill/>
                  </pic:spPr>
                </pic:pic>
              </a:graphicData>
            </a:graphic>
          </wp:anchor>
        </w:drawing>
      </w:r>
    </w:p>
    <w:p>
      <w:pPr>
        <w:spacing w:after="0" w:line="1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(Seal)</w:t>
      </w:r>
    </w:p>
    <w:p>
      <w:pPr>
        <w:spacing w:after="0" w:line="201" w:lineRule="exact"/>
        <w:rPr>
          <w:sz w:val="20"/>
          <w:szCs w:val="20"/>
          <w:color w:val="auto"/>
        </w:rPr>
      </w:pPr>
    </w:p>
    <w:p>
      <w:pPr>
        <w:ind w:left="80"/>
        <w:spacing w:after="0" w:line="283" w:lineRule="auto"/>
        <w:rPr>
          <w:sz w:val="20"/>
          <w:szCs w:val="20"/>
          <w:color w:val="auto"/>
        </w:rPr>
      </w:pPr>
      <w:r>
        <w:rPr>
          <w:rFonts w:ascii="Times New Roman" w:cs="Times New Roman" w:eastAsia="Times New Roman" w:hAnsi="Times New Roman"/>
          <w:sz w:val="16"/>
          <w:szCs w:val="16"/>
          <w:color w:val="auto"/>
        </w:rPr>
        <w:t>(Seal: Line of Credit Business Contract Seal of Shanghai Zhangjiang Sub-branch of Bank of Communications Co., Ltd.)</w:t>
      </w:r>
    </w:p>
    <w:p>
      <w:pPr>
        <w:spacing w:after="0" w:line="1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Legal representative (responsible person) or authorized representative</w:t>
      </w: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(Signature or seal) </w:t>
      </w:r>
      <w:r>
        <w:rPr>
          <w:sz w:val="1"/>
          <w:szCs w:val="1"/>
          <w:color w:val="auto"/>
        </w:rPr>
        <w:drawing>
          <wp:inline distT="0" distB="0" distL="0" distR="0">
            <wp:extent cx="626110" cy="50419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2">
                      <a:extLst>
                        <a:ext uri="{28A0092B-C50C-407E-A947-70E740481C1C}"/>
                      </a:extLst>
                    </a:blip>
                    <a:srcRect/>
                    <a:stretch>
                      <a:fillRect/>
                    </a:stretch>
                  </pic:blipFill>
                  <pic:spPr bwMode="auto">
                    <a:xfrm>
                      <a:off x="0" y="0"/>
                      <a:ext cx="626110" cy="504190"/>
                    </a:xfrm>
                    <a:prstGeom prst="rect">
                      <a:avLst/>
                    </a:prstGeom>
                    <a:noFill/>
                    <a:ln>
                      <a:noFill/>
                    </a:ln>
                  </pic:spPr>
                </pic:pic>
              </a:graphicData>
            </a:graphic>
          </wp:inline>
        </w:drawing>
      </w:r>
    </w:p>
    <w:p>
      <w:pPr>
        <w:spacing w:after="0" w:line="2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Date: June 5, 2025</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15875</wp:posOffset>
            </wp:positionV>
            <wp:extent cx="7147560" cy="152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2">
            <w:col w:w="4820" w:space="720"/>
            <w:col w:w="5700"/>
          </w:cols>
          <w:pgMar w:left="320" w:top="820" w:right="339" w:bottom="1440" w:gutter="0" w:footer="0" w:header="0"/>
        </w:sectPr>
      </w:pPr>
    </w:p>
    <w:bookmarkStart w:id="492" w:name="page493"/>
    <w:bookmarkEnd w:id="492"/>
    <w:p>
      <w:pPr>
        <w:jc w:val="right"/>
        <w:spacing w:after="0"/>
        <w:rPr>
          <w:sz w:val="20"/>
          <w:szCs w:val="20"/>
          <w:color w:val="auto"/>
        </w:rPr>
      </w:pPr>
      <w:r>
        <w:rPr>
          <w:rFonts w:ascii="Times New Roman" w:cs="Times New Roman" w:eastAsia="Times New Roman" w:hAnsi="Times New Roman"/>
          <w:sz w:val="16"/>
          <w:szCs w:val="16"/>
          <w:b w:val="1"/>
          <w:bCs w:val="1"/>
          <w:color w:val="auto"/>
        </w:rPr>
        <w:t>Exhibit 10.26</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June 2024 edition</w:t>
      </w:r>
    </w:p>
    <w:p>
      <w:pPr>
        <w:spacing w:after="0" w:line="3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9"/>
          <w:szCs w:val="29"/>
          <w:b w:val="1"/>
          <w:bCs w:val="1"/>
          <w:color w:val="auto"/>
        </w:rPr>
        <w:t>Contract for loans of working capital</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 xml:space="preserve">Contract number: </w:t>
      </w:r>
      <w:r>
        <w:rPr>
          <w:rFonts w:ascii="Times New Roman" w:cs="Times New Roman" w:eastAsia="Times New Roman" w:hAnsi="Times New Roman"/>
          <w:sz w:val="16"/>
          <w:szCs w:val="16"/>
          <w:u w:val="single" w:color="auto"/>
          <w:color w:val="auto"/>
        </w:rPr>
        <w:t>DD6232025003</w:t>
      </w:r>
    </w:p>
    <w:p>
      <w:pPr>
        <w:spacing w:after="0" w:line="211"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Lender</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Industrial Bank Co., Ltd Shanghai Pudong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-88265</wp:posOffset>
            </wp:positionV>
            <wp:extent cx="40640" cy="8128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4">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Address</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No.710 Dongfang Road, China (Shanghai) Pilot Free Trade 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-88265</wp:posOffset>
            </wp:positionV>
            <wp:extent cx="40640" cy="8128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5">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Legal representative/person in charge</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Jianping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-88265</wp:posOffset>
            </wp:positionV>
            <wp:extent cx="40640" cy="8128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6">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Borrower</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JAJI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-88265</wp:posOffset>
            </wp:positionV>
            <wp:extent cx="40640" cy="8128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7">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Address</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Room 5107, Building 5, No. 555 Dongchuan Road, Minhang District,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-88265</wp:posOffset>
            </wp:positionV>
            <wp:extent cx="40640" cy="8128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8">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8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 xml:space="preserve">Legal representative/person in charge: </w:t>
      </w:r>
      <w:r>
        <w:rPr>
          <w:rFonts w:ascii="Times New Roman" w:cs="Times New Roman" w:eastAsia="Times New Roman" w:hAnsi="Times New Roman"/>
          <w:sz w:val="16"/>
          <w:szCs w:val="16"/>
          <w:u w:val="single" w:color="auto"/>
          <w:color w:val="auto"/>
        </w:rPr>
        <w:t>Jian Xu</w:t>
      </w:r>
    </w:p>
    <w:p>
      <w:pPr>
        <w:spacing w:after="0" w:line="213" w:lineRule="exact"/>
        <w:rPr>
          <w:sz w:val="20"/>
          <w:szCs w:val="20"/>
          <w:color w:val="auto"/>
        </w:rPr>
      </w:pPr>
    </w:p>
    <w:p>
      <w:pPr>
        <w:ind w:left="1240"/>
        <w:spacing w:after="0" w:line="195" w:lineRule="exact"/>
        <w:rPr>
          <w:sz w:val="20"/>
          <w:szCs w:val="20"/>
          <w:color w:val="auto"/>
        </w:rPr>
      </w:pPr>
      <w:r>
        <w:rPr>
          <w:rFonts w:ascii="Times New Roman" w:cs="Times New Roman" w:eastAsia="Times New Roman" w:hAnsi="Times New Roman"/>
          <w:sz w:val="16"/>
          <w:szCs w:val="16"/>
          <w:b w:val="1"/>
          <w:bCs w:val="1"/>
          <w:color w:val="auto"/>
        </w:rPr>
        <w:t>Contract signing location</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Jin’an District,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400050</wp:posOffset>
            </wp:positionV>
            <wp:extent cx="7147560" cy="152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-88265</wp:posOffset>
            </wp:positionV>
            <wp:extent cx="40640" cy="8128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60">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93" w:name="page494"/>
    <w:bookmarkEnd w:id="493"/>
    <w:p>
      <w:pPr>
        <w:jc w:val="center"/>
        <w:spacing w:after="0"/>
        <w:rPr>
          <w:sz w:val="20"/>
          <w:szCs w:val="20"/>
          <w:color w:val="auto"/>
        </w:rPr>
      </w:pPr>
      <w:r>
        <w:rPr>
          <w:rFonts w:ascii="Times New Roman" w:cs="Times New Roman" w:eastAsia="Times New Roman" w:hAnsi="Times New Roman"/>
          <w:sz w:val="16"/>
          <w:szCs w:val="16"/>
          <w:color w:val="auto"/>
        </w:rPr>
        <w:t>Important Notice for Signing</w:t>
      </w:r>
    </w:p>
    <w:p>
      <w:pPr>
        <w:spacing w:after="0" w:line="211"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b w:val="1"/>
          <w:bCs w:val="1"/>
          <w:color w:val="auto"/>
        </w:rPr>
        <w:t>In order to protect your rights, please carefully read, check and confirm the following matters before signing this contract</w:t>
      </w:r>
      <w:r>
        <w:rPr>
          <w:rFonts w:ascii="SimSun" w:cs="SimSun" w:eastAsia="SimSun" w:hAnsi="SimSu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-88265</wp:posOffset>
            </wp:positionV>
            <wp:extent cx="40640" cy="8128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1">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6"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the right to sign this contract. If it is necessary to obtain the consent of others according to law, you and your company have obtained full authorization; If it involves processing the personal information of others, you and your company have obtained written consent from others for the processing of their personal information by Industrial Bank of China</w:t>
      </w:r>
      <w:r>
        <w:rPr>
          <w:rFonts w:ascii="SimSun" w:cs="SimSun" w:eastAsia="SimSun" w:hAnsi="SimSun"/>
          <w:sz w:val="16"/>
          <w:szCs w:val="16"/>
          <w:color w:val="auto"/>
        </w:rPr>
        <w:t>；</w:t>
      </w:r>
    </w:p>
    <w:p>
      <w:pPr>
        <w:spacing w:after="0" w:line="202"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carefully read and fully understood the terms of the contract, and have paid special attention to the content related to the assumption of responsibility, exemption or reduction of Industrial Bank’s responsibility, and personal information processing that have a significant interest in you and your company, as well as the content in bold font</w:t>
      </w:r>
      <w:r>
        <w:rPr>
          <w:rFonts w:ascii="SimSun" w:cs="SimSun" w:eastAsia="SimSun" w:hAnsi="SimSun"/>
          <w:sz w:val="16"/>
          <w:szCs w:val="16"/>
          <w:color w:val="auto"/>
        </w:rPr>
        <w:t>；</w:t>
      </w:r>
    </w:p>
    <w:p>
      <w:pPr>
        <w:spacing w:after="0" w:line="202" w:lineRule="exact"/>
        <w:rPr>
          <w:sz w:val="20"/>
          <w:szCs w:val="20"/>
          <w:color w:val="auto"/>
        </w:rPr>
      </w:pPr>
    </w:p>
    <w:p>
      <w:pPr>
        <w:jc w:val="both"/>
        <w:ind w:right="20" w:firstLine="289"/>
        <w:spacing w:after="0" w:line="213"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fully understood the meaning and corresponding legal consequences of the contract terms, and are willing to accept these terms and conditions</w:t>
      </w:r>
      <w:r>
        <w:rPr>
          <w:rFonts w:ascii="SimSun" w:cs="SimSun" w:eastAsia="SimSun" w:hAnsi="SimSun"/>
          <w:sz w:val="16"/>
          <w:szCs w:val="16"/>
          <w:color w:val="auto"/>
        </w:rPr>
        <w:t>；</w:t>
      </w:r>
    </w:p>
    <w:p>
      <w:pPr>
        <w:spacing w:after="0" w:line="200" w:lineRule="exact"/>
        <w:rPr>
          <w:sz w:val="20"/>
          <w:szCs w:val="20"/>
          <w:color w:val="auto"/>
        </w:rPr>
      </w:pPr>
    </w:p>
    <w:p>
      <w:pPr>
        <w:jc w:val="both"/>
        <w:ind w:right="20" w:firstLine="289"/>
        <w:spacing w:after="0" w:line="201" w:lineRule="exact"/>
        <w:rPr>
          <w:sz w:val="20"/>
          <w:szCs w:val="20"/>
          <w:color w:val="auto"/>
        </w:rPr>
      </w:pPr>
      <w:r>
        <w:rPr>
          <w:rFonts w:ascii="Times New Roman" w:cs="Times New Roman" w:eastAsia="Times New Roman" w:hAnsi="Times New Roman"/>
          <w:sz w:val="16"/>
          <w:szCs w:val="16"/>
          <w:color w:val="auto"/>
        </w:rPr>
        <w:t xml:space="preserve">4 </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paid special attention to the provisions regarding your and your company’s use of credit funds for the purposes specified in the contract, the prohibition of misappropriation of credit funds (including but not limited to purchasing or investing credit funds in real estate), and the requirement to issue a commitment letter for the use of funds to Industrial Bank. You and your company are fully aware and understand that Industrial Bank will take measures such as early loan collection, cessation of disbursement of loans/financing not yet issued under this contract, cessation of payment of loans/financing not yet paid under this contract, reduction or cessation of credit to Industrial Bank, and hold you and your company legally responsible for the consequences of misappropriation of credit funds</w:t>
      </w:r>
      <w:r>
        <w:rPr>
          <w:rFonts w:ascii="SimSun" w:cs="SimSun" w:eastAsia="SimSun" w:hAnsi="SimSun"/>
          <w:sz w:val="16"/>
          <w:szCs w:val="16"/>
          <w:color w:val="auto"/>
        </w:rPr>
        <w:t>；</w:t>
      </w:r>
    </w:p>
    <w:p>
      <w:pPr>
        <w:spacing w:after="0" w:line="203" w:lineRule="exact"/>
        <w:rPr>
          <w:sz w:val="20"/>
          <w:szCs w:val="20"/>
          <w:color w:val="auto"/>
        </w:rPr>
      </w:pPr>
    </w:p>
    <w:p>
      <w:pPr>
        <w:jc w:val="both"/>
        <w:ind w:right="20" w:firstLine="289"/>
        <w:spacing w:after="0" w:line="201"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By signing this contract, you and the relevant individuals agree and authorize Industrial Bank to process your and your personal information and keep it for the period specified by Industrial Bank; You and related individuals are aware that you have the right to be informed, make decisions, withdraw consent, restrict or refuse third-party processing rights in the processing of personal information. Industrial Bank has provided information and decision-making services for personal information processing through diversified means (including but not limited to on-site notification); If you and related individuals intend to revoke, restrict or refuse the authorization of Industrial Bank to process personal information, they may handle it in accordance with the provisions of this contract or the management procedures of Industrial Bank.</w:t>
      </w:r>
      <w:r>
        <w:rPr>
          <w:rFonts w:ascii="SimSun" w:cs="SimSun" w:eastAsia="SimSun" w:hAnsi="SimSun"/>
          <w:sz w:val="16"/>
          <w:szCs w:val="16"/>
          <w:color w:val="auto"/>
        </w:rPr>
        <w:t>；</w:t>
      </w:r>
    </w:p>
    <w:p>
      <w:pPr>
        <w:spacing w:after="0" w:line="20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contract text provided by Industrial Bank is only a demonstration text, with blank lines left after the relevant clauses of the contract, and “supplementary clauses” added at the end of the contract for all parties to modify, supplement or delete the contract;</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you and your company have any questions about this contract, or if you and your company find that there are illegal and irregular situations in the contract and the business fees under the contract, please call the phone number of Industrial Bank in a timely manner or directly complain or consult with the operating branch of Industrial Bank, contact number: 95561.</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4" w:name="page495"/>
    <w:bookmarkEnd w:id="494"/>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Upon the borrower’s application, the lender has reviewed and agreed to grant the borrower a working capital loan. In order to clarify the rights and obligations of both parties, abide by their promises, and in accordance with relevant laws and regulations of the People’s Republic of China, through equal consultation, both parties hereby sign this contract for mutual compliance.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and borrower confirm that the loan under this contract belongs to the first of the following situations:</w:t>
      </w:r>
    </w:p>
    <w:p>
      <w:pPr>
        <w:spacing w:after="0" w:line="201" w:lineRule="exact"/>
        <w:rPr>
          <w:sz w:val="20"/>
          <w:szCs w:val="20"/>
          <w:color w:val="auto"/>
        </w:rPr>
      </w:pPr>
    </w:p>
    <w:p>
      <w:pPr>
        <w:jc w:val="both"/>
        <w:ind w:right="20" w:firstLine="285"/>
        <w:spacing w:after="0" w:line="267" w:lineRule="auto"/>
        <w:tabs>
          <w:tab w:leader="none" w:pos="520" w:val="left"/>
        </w:tabs>
        <w:numPr>
          <w:ilvl w:val="0"/>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is a sub contract of the “Credit Line Agreement” (i.e. the main contract) with the number SX6232025001 signed by the lender and borrower on January 15, 2025. The loan amount is included in the credit line under the “Credit Line Agreement”. Among them, the foreign currency loan amount shall be converted into RMB and included in the credit limit based on the middle rate announced by the lender on the day of signing this contract.</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is an independent legal document signed by the lender and borrower.</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 Definition and Interpretation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Unless otherwise agreed in writing by both parties, the following terms in this contract shall be defined and interpreted as follows:</w:t>
      </w:r>
    </w:p>
    <w:p>
      <w:pPr>
        <w:spacing w:after="0" w:line="213"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“Working capital loans” refer to local and foreign currency loans applied by borrowers to lenders for daily production and operation turnover.</w:t>
      </w:r>
    </w:p>
    <w:p>
      <w:pPr>
        <w:spacing w:after="0" w:line="214"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“Debt” or “main debt” refers to the debt formed by the borrower (debtor) submitting an application to the lender (creditor), and the lender providing financing to the borrower according to this contract after review and approval (including principal, interest, penalty interest, compound interest, liquidated damages, damages, and the cost of realizing the debt by the creditor, etc.). The creditor’s rights against the borrower owned by the lender under this contract correspond to the borrower’s obligations to the lender under this contract.</w:t>
      </w:r>
    </w:p>
    <w:p>
      <w:pPr>
        <w:spacing w:after="0" w:line="178"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cost of realizing creditor’s rights refers to the litigation (arbitration) fees, lawyer’s fees, travel expenses, execution fees, preservation fees, and other expenses paid by the lender to realize creditor’s rights through litigation, arbitration, and applying to a notary public for an execution certificate.</w:t>
      </w:r>
    </w:p>
    <w:p>
      <w:pPr>
        <w:spacing w:after="0" w:line="15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Article 5 of this contract defines and interprets the following terms as follows</w:t>
      </w:r>
      <w:r>
        <w:rPr>
          <w:rFonts w:ascii="SimSun" w:cs="SimSun" w:eastAsia="SimSun" w:hAnsi="SimSun"/>
          <w:sz w:val="16"/>
          <w:szCs w:val="16"/>
          <w:color w:val="auto"/>
        </w:rPr>
        <w:t>：</w:t>
      </w:r>
    </w:p>
    <w:p>
      <w:pPr>
        <w:spacing w:after="0" w:line="20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“Fixed interest rate” refers to the interest rate that remains unchanged during the loan term. For example, if the loan is disbursed in installments, it means that the interest rate remains unchanged between the actual disbursement date of each disbursement and the maturity date of the loan under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“Floating interest rate” refers to the interest rate that varies within the loan term according to the agreed cycle and magnitude between the borrower and lender.</w:t>
      </w:r>
    </w:p>
    <w:p>
      <w:pPr>
        <w:spacing w:after="0" w:line="201"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“Floating cycle” refers to the frequency of changes in the loan interest rate agreed upon by both parties. Within a floating period, the loan interest rate is calculated and determined based on the pricing benchmark interest rate according to the pricing method stipulated in the contract, and the loan interest rate remains unchanged during the floating period; When one floating cycle expires and enters the next floating cycle, the loan interest rate is calculated and determined based on the pricing benchmark interest rate of the new floating cycle according to the pricing method agreed in the contract, and the loan interest rate remains unchanged during the floating cycle.</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5" w:name="page496"/>
    <w:bookmarkEnd w:id="495"/>
    <w:p>
      <w:pPr>
        <w:jc w:val="both"/>
        <w:ind w:right="20" w:firstLine="289"/>
        <w:spacing w:after="0" w:line="210" w:lineRule="exact"/>
        <w:rPr>
          <w:sz w:val="20"/>
          <w:szCs w:val="20"/>
          <w:color w:val="auto"/>
        </w:rPr>
      </w:pPr>
      <w:r>
        <w:rPr>
          <w:rFonts w:ascii="Times New Roman" w:cs="Times New Roman" w:eastAsia="Times New Roman" w:hAnsi="Times New Roman"/>
          <w:sz w:val="16"/>
          <w:szCs w:val="16"/>
          <w:color w:val="auto"/>
        </w:rPr>
        <w:t>“Pricing benchmark interest rate” refers to the interest rate standard used to determine the loan interest rate under this contract, including but not limited to the quoted interest rates published in China or relevant countries, regions, and markets, such as LPR SHIBOR, SOFR</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SOFR term interest rates </w:t>
      </w:r>
      <w:r>
        <w:rPr>
          <w:rFonts w:ascii="SimSun" w:cs="SimSun" w:eastAsia="SimSun" w:hAnsi="SimSun"/>
          <w:sz w:val="16"/>
          <w:szCs w:val="16"/>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STR</w:t>
      </w:r>
      <w:r>
        <w:rPr>
          <w:rFonts w:ascii="SimSun" w:cs="SimSun" w:eastAsia="SimSun" w:hAnsi="SimSun"/>
          <w:sz w:val="16"/>
          <w:szCs w:val="16"/>
          <w:color w:val="auto"/>
        </w:rPr>
        <w:t>、</w:t>
      </w:r>
      <w:r>
        <w:rPr>
          <w:rFonts w:ascii="Times New Roman" w:cs="Times New Roman" w:eastAsia="Times New Roman" w:hAnsi="Times New Roman"/>
          <w:sz w:val="16"/>
          <w:szCs w:val="16"/>
          <w:color w:val="auto"/>
        </w:rPr>
        <w:t>SONIA</w:t>
      </w:r>
      <w:r>
        <w:rPr>
          <w:rFonts w:ascii="SimSun" w:cs="SimSun" w:eastAsia="SimSun" w:hAnsi="SimSun"/>
          <w:sz w:val="16"/>
          <w:szCs w:val="16"/>
          <w:color w:val="auto"/>
        </w:rPr>
        <w:t>、</w:t>
      </w:r>
      <w:r>
        <w:rPr>
          <w:rFonts w:ascii="Times New Roman" w:cs="Times New Roman" w:eastAsia="Times New Roman" w:hAnsi="Times New Roman"/>
          <w:sz w:val="16"/>
          <w:szCs w:val="16"/>
          <w:color w:val="auto"/>
        </w:rPr>
        <w:t>TSRR</w:t>
      </w:r>
      <w:r>
        <w:rPr>
          <w:rFonts w:ascii="SimSun" w:cs="SimSun" w:eastAsia="SimSun" w:hAnsi="SimSun"/>
          <w:sz w:val="16"/>
          <w:szCs w:val="16"/>
          <w:color w:val="auto"/>
        </w:rPr>
        <w:t>、</w:t>
      </w:r>
      <w:r>
        <w:rPr>
          <w:rFonts w:ascii="Times New Roman" w:cs="Times New Roman" w:eastAsia="Times New Roman" w:hAnsi="Times New Roman"/>
          <w:sz w:val="16"/>
          <w:szCs w:val="16"/>
          <w:color w:val="auto"/>
        </w:rPr>
        <w:t>TONA</w:t>
      </w:r>
      <w:r>
        <w:rPr>
          <w:rFonts w:ascii="SimSun" w:cs="SimSun" w:eastAsia="SimSun" w:hAnsi="SimSun"/>
          <w:sz w:val="16"/>
          <w:szCs w:val="16"/>
          <w:color w:val="auto"/>
        </w:rPr>
        <w:t>、</w:t>
      </w:r>
      <w:r>
        <w:rPr>
          <w:rFonts w:ascii="Times New Roman" w:cs="Times New Roman" w:eastAsia="Times New Roman" w:hAnsi="Times New Roman"/>
          <w:sz w:val="16"/>
          <w:szCs w:val="16"/>
          <w:color w:val="auto"/>
        </w:rPr>
        <w:t>SARON</w:t>
      </w:r>
      <w:r>
        <w:rPr>
          <w:rFonts w:ascii="SimSun" w:cs="SimSun" w:eastAsia="SimSun" w:hAnsi="SimSun"/>
          <w:sz w:val="16"/>
          <w:szCs w:val="16"/>
          <w:color w:val="auto"/>
        </w:rPr>
        <w:t>、</w:t>
      </w:r>
      <w:r>
        <w:rPr>
          <w:rFonts w:ascii="Times New Roman" w:cs="Times New Roman" w:eastAsia="Times New Roman" w:hAnsi="Times New Roman"/>
          <w:sz w:val="16"/>
          <w:szCs w:val="16"/>
          <w:color w:val="auto"/>
        </w:rPr>
        <w:t>HIBOR</w:t>
      </w:r>
      <w:r>
        <w:rPr>
          <w:rFonts w:ascii="SimSun" w:cs="SimSun" w:eastAsia="SimSun" w:hAnsi="SimSun"/>
          <w:sz w:val="16"/>
          <w:szCs w:val="16"/>
          <w:color w:val="auto"/>
        </w:rPr>
        <w:t>、</w:t>
      </w:r>
      <w:r>
        <w:rPr>
          <w:rFonts w:ascii="Times New Roman" w:cs="Times New Roman" w:eastAsia="Times New Roman" w:hAnsi="Times New Roman"/>
          <w:sz w:val="16"/>
          <w:szCs w:val="16"/>
          <w:color w:val="auto"/>
        </w:rPr>
        <w:t>SIBOR</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central bank’s benchmark interest rate for RMB deposits, etc.</w:t>
      </w:r>
    </w:p>
    <w:p>
      <w:pPr>
        <w:spacing w:after="0" w:line="190"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“LPR” refers to the loan market quoted interest rate calculated and published by the National Interbank Funding Center authorized by the People’s Bank of China. According to banking practices, both parties agree to determine the pricing benchmark interest rate rule under this contract as the T-1 day LPR, where “T” is the day when the loan interest rate is determined, and “T-1” is the previous working day of that day.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“SHIBOR” refers to the Shanghai Interbank Offered Rate published by the National Interbank Funding Center and applicable on the same day.</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“SOFR” refers to the secured overnight financing rate in US dollars. According to banking practices, both parties agree to determine the pricing benchmark interest rate rule under this contract as the T-5 day SOFR, where “T” is the day the loan interest rate is determined, and “T-5” is the first five working days of that day.</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“SOFR term rate” refers to the Chicago Mercantile Exchange’s forward-looking mortgage financing rate, denominated in US dollars. According to banking practices, both parties agree to determine the pricing benchmark interest rate rule under this contract as the T-2 day SOFR term interest rate, where “T” is the day the loan interest rate is determined, and “T-2” is the first two working days of that day.</w:t>
      </w:r>
    </w:p>
    <w:p>
      <w:pPr>
        <w:spacing w:after="0" w:line="120" w:lineRule="exact"/>
        <w:rPr>
          <w:sz w:val="20"/>
          <w:szCs w:val="20"/>
          <w:color w:val="auto"/>
        </w:rPr>
      </w:pPr>
    </w:p>
    <w:p>
      <w:pPr>
        <w:jc w:val="both"/>
        <w:ind w:right="20" w:firstLine="289"/>
        <w:spacing w:after="0" w:line="232" w:lineRule="exact"/>
        <w:rPr>
          <w:sz w:val="20"/>
          <w:szCs w:val="20"/>
          <w:color w:val="auto"/>
        </w:rPr>
      </w:pPr>
      <w:r>
        <w:rPr>
          <w:rFonts w:ascii="Times New Roman" w:cs="Times New Roman" w:eastAsia="Times New Roman" w:hAnsi="Times New Roman"/>
          <w:sz w:val="16"/>
          <w:szCs w:val="16"/>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STR” refers to the short-term interest rate in euros, denominated in euros. According to banking practices, both parties agree to determine the pricing benchmark interest rate rule under this contract as T-5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STR, where “T” is the day when the loan interest rate is determined, and “T-5” is the first five working days of that day.</w:t>
      </w:r>
    </w:p>
    <w:p>
      <w:pPr>
        <w:spacing w:after="0" w:line="150"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“SONIA” refers to the overnight average index of pounds, denominated in pounds. According to banking practices, both parties agree to determine the pricing benchmark interest rate rule under this contract as the T-5 day SONIA, where “T” is the day the loan interest rate is determined, and “T-5” is the first five working days of that day.</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“TSRR” refers to the term interest rate of the overnight average index of GBP, denominated in GBP. According to banking practices, both parties agree to determine the pricing benchmark interest rate rule under this contract as the T-2 day TSRR term interest rate, where “T” is the day the loan interest rate is determined, and “T-2” is the first two working days of that day.</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“TONA” refers to the average overnight interest rate in Tokyo, denominated in Japanese yen. According to banking practices, both parties agree to determine the pricing benchmark interest rate rule under this contract as the T-5 day TONA, where “T” is the day the loan interest rate is determined, and “T-5” is the first five working days of that day.</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“SARON” refers to the overnight average interest rate in Switzerland, denominated in Swiss francs. According to banking industry practices, both parties agree to determine the pricing benchmark interest rate rule under this contract as T-5 SARON, where “T” is the day when the loan interest rate is determined, and “T-5” is the first five working days of that day.</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6" w:name="page497"/>
    <w:bookmarkEnd w:id="496"/>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“HIBOR” refers to the Hong Kong interbank lending rate for Hong Kong dollars in the financial markets. According to banking practices, both parties agree to determine the pricing benchmark interest rate rule under this contract as HIBOR on the T-2 day, where “T” is the day when the loan interest rate is determined, and “T-2” is the first two working days of that day.</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“SIBOR” refers to the Singapore Interbank Offered Rate, which is applicable only to Singapore dollars. According to banking practices, both parties agree to determine the pricing benchmark interest rate rule under this contract as the T-2 day SIBOR, where “T” is the day when the loan interest rate is determined, and “T-2” is the first two working days of that day.</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central bank’s benchmark interest rate for RMB deposits” refers to the RMB deposit benchmark interest rate published by the People’s Bank of China and applicable on the same day,</w:t>
      </w:r>
    </w:p>
    <w:p>
      <w:pPr>
        <w:spacing w:after="0" w:line="107" w:lineRule="exact"/>
        <w:rPr>
          <w:sz w:val="20"/>
          <w:szCs w:val="20"/>
          <w:color w:val="auto"/>
        </w:rPr>
      </w:pPr>
    </w:p>
    <w:p>
      <w:pPr>
        <w:jc w:val="both"/>
        <w:ind w:right="20" w:firstLine="289"/>
        <w:spacing w:after="0" w:line="210" w:lineRule="exact"/>
        <w:rPr>
          <w:sz w:val="20"/>
          <w:szCs w:val="20"/>
          <w:color w:val="auto"/>
        </w:rPr>
      </w:pPr>
      <w:r>
        <w:rPr>
          <w:rFonts w:ascii="Times New Roman" w:cs="Times New Roman" w:eastAsia="Times New Roman" w:hAnsi="Times New Roman"/>
          <w:sz w:val="16"/>
          <w:szCs w:val="16"/>
          <w:color w:val="auto"/>
        </w:rPr>
        <w:t>Among them, the currencies and specific values of “LPR”, “SHIBOR”, “SOFR”, “SOFR term interest rate”,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STR”, “SONIA”, “TSRR”, “TONA”, “SARON”, “HIBOR”, “SIBOR” and “central bank RMB deposit benchmark interest rate” determined according to the applicable pricing benchmark interest rate rules under this contract shall be subject to the query results of the core system of Industrial Bank.</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loan interest rate determination date can be the actual loan disbursement date, contract signing date, or repricing date.</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“Loan interest rate” refers to the interest rate for the execution of this contract, which is determined by both parties through negotiation and in accordance with the pricing formula of the loan interest rate in this contract. It is based on the pricing benchmark interest rate on the date of determining the loan interest rate in this contract, and is formed by floating the number of points added or subtracted.</w:t>
      </w:r>
    </w:p>
    <w:p>
      <w:pPr>
        <w:spacing w:after="0" w:line="168"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“major transaction” stipulated in Article 13 of this contract refers to (including but not limited to) any transaction that is determined to occur or is likely to seriously affect the basic structure of the borrower’s company, changes in company shareholders, contingent liabilities, cash flow, profitability, core trade secrets, core competitiveness, important assets of the company, significant creditor’s rights and debts of the company, repayment ability, and ability to perform this contract, or any other transaction that the lender and/or borrower deems to constitute a major transaction.</w:t>
      </w:r>
    </w:p>
    <w:p>
      <w:pPr>
        <w:spacing w:after="0" w:line="190" w:lineRule="exact"/>
        <w:rPr>
          <w:sz w:val="20"/>
          <w:szCs w:val="20"/>
          <w:color w:val="auto"/>
        </w:rPr>
      </w:pPr>
    </w:p>
    <w:p>
      <w:pPr>
        <w:jc w:val="both"/>
        <w:ind w:right="20" w:firstLine="289"/>
        <w:spacing w:after="0" w:line="198"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“major events” stipulated in Article 13 of this contract refer to (including but not limited to) any determined or potential events that will seriously affect the ability of senior management personnel of the borrower company to perform their duties, the employment and termination of employees engaged in core business of the company, core trade secrets of the company, core competitiveness of the company, basic structure of the company, changes in shareholders of the company, contingent liabilities of the company, survival of the company, legality of the company’s business operations, company stability, development, profitability, debt repayment ability of the company, and the ability of the company to perform this contract, as well as other events deemed by the lender and/or borrower to constitute significant events.</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In this contract, “working days” refer to working days outside of statutory holidays and weekends in China (excluding Hong Kong, Macao, and Taiwan). “Business Day” in this contract refers to the business day of the lender’s bank. During the performance of the contract, if a withdrawal or repayment date is not a business day, it shall be postponed to the next business day.</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7" w:name="page498"/>
    <w:bookmarkEnd w:id="497"/>
    <w:p>
      <w:pPr>
        <w:ind w:left="280"/>
        <w:spacing w:after="0"/>
        <w:rPr>
          <w:sz w:val="20"/>
          <w:szCs w:val="20"/>
          <w:color w:val="auto"/>
        </w:rPr>
      </w:pPr>
      <w:r>
        <w:rPr>
          <w:rFonts w:ascii="Times New Roman" w:cs="Times New Roman" w:eastAsia="Times New Roman" w:hAnsi="Times New Roman"/>
          <w:sz w:val="16"/>
          <w:szCs w:val="16"/>
          <w:b w:val="1"/>
          <w:bCs w:val="1"/>
          <w:color w:val="auto"/>
        </w:rPr>
        <w:t>Article 2 Loan Amount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agrees to grant the borrower a loan of RMB (amount in words) four million yuan (currency).</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3 Purpose of Loan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This loan is used for daily business operations such as upstream procurement and payment of employee salaries. Without the written consent of the lender, the borrower shall not use the loan for other purposes.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4 Term of loan</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loan term is 12 months, from January 15, 2025 to January 14, 2026.</w:t>
      </w:r>
    </w:p>
    <w:p>
      <w:pPr>
        <w:spacing w:after="0" w:line="214"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For a one-time loan, the loan disbursement date shall be based on the actual disbursement date recorded in the loan receipt and loan voucher. If the actual disbursement date is later than the loan disbursement date recorded in the preceding paragraph, the loan maturity date shall be correspondingly extended.</w:t>
      </w:r>
    </w:p>
    <w:p>
      <w:pPr>
        <w:spacing w:after="0" w:line="190"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 xml:space="preserve">3 </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loan allocation plan is :</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_/_year_/_month_/_date_/_amount; _/_year_/_month_/_date_/_amount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shall apply to the lender for withdrawal procedures three working days before each withdrawal date or at any other time requested in writing by the lender.</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borrower fails to withdraw the loan in accordance with the agreed installment period and amount, the lender has the right to demand that the borrower pay a penalty in accordance with the provisions of Article 23, Special Agreement Clause 7 of this contract. If the borrower belongs to small and micro enterprises that comply with national regulations, policies, etc., no penalty will be charged for this breach of contract.</w:t>
      </w:r>
    </w:p>
    <w:p>
      <w:pPr>
        <w:spacing w:after="0" w:line="168"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Subject to the conditions precedent for withdrawal as stipulated in Article 6 of this Agreement, the lender shall pay the loan funds in accordance with the provisions of Article 7 of this Agreement.</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lender has the right to adjust the loan allocation plan appropriately based on whether the loan meets the provisions of relevant laws, regulations, policies, and the withdrawal prerequisites stipulated in this contract, the payment conditions of the loan funds, the signing and processing time of the corresponding guarantee contract and guarantee procedures in this contract, as well as other factors deemed necessary by the lender.</w:t>
      </w:r>
    </w:p>
    <w:p>
      <w:pPr>
        <w:spacing w:after="0" w:line="189"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loan is used in installments, the actual disbursement date recorded in the loan receipt or loan voucher shall prevail for each disbursement date, and the same maturity date shall be implemented. That is, for each disbursement of loans, the maturity date determined in the loan receipt or loan voucher for the first disbursement shall be the same maturity date.</w:t>
      </w:r>
    </w:p>
    <w:p>
      <w:pPr>
        <w:spacing w:after="0" w:line="189"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 xml:space="preserve">7 </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lender receives the loan in advance according to the circumstances stipulated in this contract, it shall be deemed that the loan maturity date has been correspondingly advanced.</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98" w:name="page499"/>
    <w:bookmarkEnd w:id="498"/>
    <w:p>
      <w:pPr>
        <w:ind w:left="280"/>
        <w:spacing w:after="0"/>
        <w:rPr>
          <w:sz w:val="20"/>
          <w:szCs w:val="20"/>
          <w:color w:val="auto"/>
        </w:rPr>
      </w:pPr>
      <w:r>
        <w:rPr>
          <w:rFonts w:ascii="Times New Roman" w:cs="Times New Roman" w:eastAsia="Times New Roman" w:hAnsi="Times New Roman"/>
          <w:sz w:val="16"/>
          <w:szCs w:val="16"/>
          <w:b w:val="1"/>
          <w:bCs w:val="1"/>
          <w:color w:val="auto"/>
        </w:rPr>
        <w:t>Article 5 Loan Interest Rate and Interest Collection</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Loan interest rate (referring to the annualized interest rate calculated using the simple interest method, the same below)</w:t>
      </w:r>
    </w:p>
    <w:p>
      <w:pPr>
        <w:spacing w:after="0" w:line="202" w:lineRule="exact"/>
        <w:rPr>
          <w:sz w:val="20"/>
          <w:szCs w:val="20"/>
          <w:color w:val="auto"/>
        </w:rPr>
      </w:pPr>
    </w:p>
    <w:p>
      <w:pPr>
        <w:ind w:left="520" w:hanging="235"/>
        <w:spacing w:after="0"/>
        <w:tabs>
          <w:tab w:leader="none" w:pos="520" w:val="left"/>
        </w:tabs>
        <w:numPr>
          <w:ilvl w:val="0"/>
          <w:numId w:val="4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benchmark interest rate shall be executed according to the first of the following agreements:</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LPR one year 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SHIBOR__term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 SOFR;</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 SOFR term interest rate__term grade;</w:t>
      </w:r>
    </w:p>
    <w:p>
      <w:pPr>
        <w:spacing w:after="0" w:line="164" w:lineRule="exact"/>
        <w:rPr>
          <w:rFonts w:ascii="Times New Roman" w:cs="Times New Roman" w:eastAsia="Times New Roman" w:hAnsi="Times New Roman"/>
          <w:sz w:val="16"/>
          <w:szCs w:val="16"/>
          <w:color w:val="auto"/>
        </w:rPr>
      </w:pPr>
    </w:p>
    <w:p>
      <w:pPr>
        <w:ind w:left="280"/>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STR;</w:t>
      </w:r>
    </w:p>
    <w:p>
      <w:pPr>
        <w:spacing w:after="0" w:line="236"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 SONIA;</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 TSRR__term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 TONA;</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SARON;</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 HIBOR__term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 SIBOR__term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 The benchmark interest rate for RMB deposits by the central bank__term grade.</w:t>
      </w:r>
    </w:p>
    <w:p>
      <w:pPr>
        <w:spacing w:after="0" w:line="201"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Among them, RMB fixed rate loans should choose LPR as the pricing benchmark interest rate. The pricing benchmark interest rate shall be used within the currency range specified in Article 1 “Definition and Interpretation” of the pricing benchmark interest rate.</w:t>
      </w:r>
    </w:p>
    <w:p>
      <w:pPr>
        <w:spacing w:after="0" w:line="143" w:lineRule="exact"/>
        <w:rPr>
          <w:sz w:val="20"/>
          <w:szCs w:val="20"/>
          <w:color w:val="auto"/>
        </w:rPr>
      </w:pPr>
    </w:p>
    <w:p>
      <w:pPr>
        <w:ind w:left="520" w:hanging="235"/>
        <w:spacing w:after="0"/>
        <w:tabs>
          <w:tab w:leader="none" w:pos="520" w:val="left"/>
        </w:tabs>
        <w:numPr>
          <w:ilvl w:val="0"/>
          <w:numId w:val="4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formula for the loan interest rate is: interest rate= pricing benchmark interest rate+__% or -_0.5_%.</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interest rate shall be executed according to the first of the following agreements: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fixed interest rate. The interest rate shall be determined in the following method B:</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A. The loan interest rate shall be determined based on the benchmark interest rate and pricing formula on the actual disbursement date. The interest rate shall remain unchanged between the actual disbursement date and the loan maturity date of this contract.</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B. According to the pricing benchmark interest rate and pricing formula agreed upon on the date of contract signing, the fixed interest rate for the loan is 2.6% annual interest rate. If there is an adjustment to the pricing benchmark interest rate on the actual disbursement date, the plus or minus points in the pricing formula will be adjusted accordingly, and the above-mentioned annualized interest rate agreed upon in this contract will remain unchanged.</w:t>
      </w:r>
    </w:p>
    <w:p>
      <w:pPr>
        <w:spacing w:after="0" w:line="156" w:lineRule="exact"/>
        <w:rPr>
          <w:sz w:val="20"/>
          <w:szCs w:val="20"/>
          <w:color w:val="auto"/>
        </w:rPr>
      </w:pPr>
    </w:p>
    <w:p>
      <w:pPr>
        <w:ind w:right="20" w:firstLine="285"/>
        <w:spacing w:after="0" w:line="283" w:lineRule="auto"/>
        <w:tabs>
          <w:tab w:leader="none" w:pos="526" w:val="left"/>
        </w:tabs>
        <w:numPr>
          <w:ilvl w:val="0"/>
          <w:numId w:val="4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Floating interest rates. Determine the loan interest rate based on the benchmark interest rate and pricing formula on the actual disbursement date and repricing date, and calculate interest in segments. The repricing date shall be executed according to the _/_ method as follows:</w:t>
      </w:r>
    </w:p>
    <w:p>
      <w:pPr>
        <w:spacing w:after="0" w:line="14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A. The floating period is _/_(month/quarter/half a year/year), and the corresponding day of each full cycle from the actual disbursement date of the loan is the contract repricing date. If there is no corresponding day in the current month, the last day of that month shall be the corresponding day.</w:t>
      </w:r>
    </w:p>
    <w:p>
      <w:pPr>
        <w:spacing w:after="0" w:line="119" w:lineRule="exact"/>
        <w:rPr>
          <w:sz w:val="20"/>
          <w:szCs w:val="20"/>
          <w:color w:val="auto"/>
        </w:rPr>
      </w:pPr>
    </w:p>
    <w:p>
      <w:pPr>
        <w:ind w:right="20" w:firstLine="285"/>
        <w:spacing w:after="0" w:line="225" w:lineRule="exact"/>
        <w:tabs>
          <w:tab w:leader="none" w:pos="482" w:val="left"/>
        </w:tabs>
        <w:numPr>
          <w:ilvl w:val="0"/>
          <w:numId w:val="4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those using SOFR</w:t>
      </w:r>
      <w:r>
        <w:rPr>
          <w:rFonts w:ascii="SimSun" w:cs="SimSun" w:eastAsia="SimSun" w:hAnsi="SimSun"/>
          <w:sz w:val="16"/>
          <w:szCs w:val="16"/>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STR</w:t>
      </w:r>
      <w:r>
        <w:rPr>
          <w:rFonts w:ascii="SimSun" w:cs="SimSun" w:eastAsia="SimSun" w:hAnsi="SimSun"/>
          <w:sz w:val="16"/>
          <w:szCs w:val="16"/>
          <w:color w:val="auto"/>
        </w:rPr>
        <w:t>、</w:t>
      </w:r>
      <w:r>
        <w:rPr>
          <w:rFonts w:ascii="Times New Roman" w:cs="Times New Roman" w:eastAsia="Times New Roman" w:hAnsi="Times New Roman"/>
          <w:sz w:val="16"/>
          <w:szCs w:val="16"/>
          <w:color w:val="auto"/>
        </w:rPr>
        <w:t>SONIA</w:t>
      </w:r>
      <w:r>
        <w:rPr>
          <w:rFonts w:ascii="SimSun" w:cs="SimSun" w:eastAsia="SimSun" w:hAnsi="SimSun"/>
          <w:sz w:val="16"/>
          <w:szCs w:val="16"/>
          <w:color w:val="auto"/>
        </w:rPr>
        <w:t>、</w:t>
      </w:r>
      <w:r>
        <w:rPr>
          <w:rFonts w:ascii="Times New Roman" w:cs="Times New Roman" w:eastAsia="Times New Roman" w:hAnsi="Times New Roman"/>
          <w:sz w:val="16"/>
          <w:szCs w:val="16"/>
          <w:color w:val="auto"/>
        </w:rPr>
        <w:t>TONA</w:t>
      </w:r>
      <w:r>
        <w:rPr>
          <w:rFonts w:ascii="SimSun" w:cs="SimSun" w:eastAsia="SimSun" w:hAnsi="SimSun"/>
          <w:sz w:val="16"/>
          <w:szCs w:val="16"/>
          <w:color w:val="auto"/>
        </w:rPr>
        <w:t>、</w:t>
      </w:r>
      <w:r>
        <w:rPr>
          <w:rFonts w:ascii="Times New Roman" w:cs="Times New Roman" w:eastAsia="Times New Roman" w:hAnsi="Times New Roman"/>
          <w:sz w:val="16"/>
          <w:szCs w:val="16"/>
          <w:color w:val="auto"/>
        </w:rPr>
        <w:t>SARON as the pricing benchmark interest rate, each interest day during the interest period (i.e. each natural day during the loan period) shall be the contract repricing date.</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 other pricing method:_______/______.</w:t>
      </w:r>
    </w:p>
    <w:p>
      <w:pPr>
        <w:spacing w:after="0" w:line="201" w:lineRule="exact"/>
        <w:rPr>
          <w:sz w:val="20"/>
          <w:szCs w:val="20"/>
          <w:color w:val="auto"/>
        </w:rPr>
      </w:pPr>
    </w:p>
    <w:p>
      <w:pPr>
        <w:jc w:val="both"/>
        <w:ind w:right="20" w:firstLine="285"/>
        <w:spacing w:after="0" w:line="267" w:lineRule="auto"/>
        <w:tabs>
          <w:tab w:leader="none" w:pos="517" w:val="left"/>
        </w:tabs>
        <w:numPr>
          <w:ilvl w:val="0"/>
          <w:numId w:val="4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benchmark interest rate corresponding to the loans used under this contract shall be determined based on the actual disbursement date (or repricing date, if any) of each loan. During the loan period, unless otherwise agreed in the contract, if the loan interest rate is adjusted according to the contract, the borrower will not be notified.</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499" w:name="page500"/>
    <w:bookmarkEnd w:id="499"/>
    <w:p>
      <w:pPr>
        <w:jc w:val="both"/>
        <w:ind w:left="-40" w:firstLine="285"/>
        <w:spacing w:after="0" w:line="257" w:lineRule="auto"/>
        <w:tabs>
          <w:tab w:leader="none" w:pos="482" w:val="left"/>
        </w:tabs>
        <w:numPr>
          <w:ilvl w:val="0"/>
          <w:numId w:val="4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China or relevant countries/regions cancel the pricing benchmark interest rate under this contract, or the market no longer publishes the pricing benchmark interest rate, or regulatory authorities require the loan issued under this contract, the lender has the right to re determine the loan interest rate based on the same period’s interest rate policies of China or relevant countries/regions, in accordance with the principles of fairness and good faith, and referring to industry practices, interest rate conditions, and other factors, and notify the borrower. If the borrower has objections, they should negotiate with the lender. If the negotiation fails within five working days from the date of the lender’s notification, the lender has the right to receive the loan in advance, and the borrower shall immediately repay the remaining loan principal and interest. If the lender requests or national or regulatory policies require the borrower to sign a supplementary agreement on relevant matters at that time, the borrower should cooperate.</w:t>
      </w:r>
    </w:p>
    <w:p>
      <w:pPr>
        <w:spacing w:after="0" w:line="177" w:lineRule="exact"/>
        <w:rPr>
          <w:sz w:val="20"/>
          <w:szCs w:val="20"/>
          <w:color w:val="auto"/>
        </w:rPr>
      </w:pPr>
    </w:p>
    <w:p>
      <w:pPr>
        <w:ind w:left="240"/>
        <w:spacing w:after="0" w:line="195"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Loan interest repayment method</w:t>
      </w:r>
    </w:p>
    <w:p>
      <w:pPr>
        <w:spacing w:after="0" w:line="202" w:lineRule="exact"/>
        <w:rPr>
          <w:sz w:val="20"/>
          <w:szCs w:val="20"/>
          <w:color w:val="auto"/>
        </w:rPr>
      </w:pPr>
    </w:p>
    <w:p>
      <w:pPr>
        <w:jc w:val="both"/>
        <w:ind w:left="-40" w:right="20" w:firstLine="285"/>
        <w:spacing w:after="0" w:line="267" w:lineRule="auto"/>
        <w:tabs>
          <w:tab w:leader="none" w:pos="495"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Calculation of loan interest. The principal of domestic and foreign currency loans shall bear interest from the date when the lender transfers it to the borrower’s account in accordance with the provisions of this contract. Daily accrued interest on loans=daily loan balance x daily interest rate. The conversion of daily interest rates to annual interest rates shall be carried out in accordance with the regulations of the People’s Bank of China and international conventions.</w:t>
      </w:r>
    </w:p>
    <w:p>
      <w:pPr>
        <w:spacing w:after="0" w:line="155" w:lineRule="exact"/>
        <w:rPr>
          <w:rFonts w:ascii="Times New Roman" w:cs="Times New Roman" w:eastAsia="Times New Roman" w:hAnsi="Times New Roman"/>
          <w:sz w:val="16"/>
          <w:szCs w:val="16"/>
          <w:color w:val="auto"/>
        </w:rPr>
      </w:pPr>
    </w:p>
    <w:p>
      <w:pPr>
        <w:ind w:left="480" w:hanging="235"/>
        <w:spacing w:after="0"/>
        <w:tabs>
          <w:tab w:leader="none" w:pos="48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repayment method of loan interest shall be executed the first type of agreement:</w:t>
      </w:r>
    </w:p>
    <w:p>
      <w:pPr>
        <w:spacing w:after="0" w:line="201" w:lineRule="exact"/>
        <w:rPr>
          <w:sz w:val="20"/>
          <w:szCs w:val="20"/>
          <w:color w:val="auto"/>
        </w:rPr>
      </w:pPr>
    </w:p>
    <w:p>
      <w:pPr>
        <w:ind w:left="-40" w:right="20" w:firstLine="285"/>
        <w:spacing w:after="0" w:line="283" w:lineRule="auto"/>
        <w:tabs>
          <w:tab w:leader="none" w:pos="471"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agreement in this contract stipulates that the 21st day of the last month of each quarter shall be the interest payment date. The borrower shall pay the current loan interest to the lender on the interest payment date and settle the remaining principal and interest upon maturity of the loan.</w:t>
      </w:r>
    </w:p>
    <w:p>
      <w:pPr>
        <w:spacing w:after="0" w:line="143" w:lineRule="exact"/>
        <w:rPr>
          <w:rFonts w:ascii="Times New Roman" w:cs="Times New Roman" w:eastAsia="Times New Roman" w:hAnsi="Times New Roman"/>
          <w:sz w:val="16"/>
          <w:szCs w:val="16"/>
          <w:color w:val="auto"/>
        </w:rPr>
      </w:pPr>
    </w:p>
    <w:p>
      <w:pPr>
        <w:jc w:val="both"/>
        <w:ind w:left="-40" w:right="20" w:firstLine="285"/>
        <w:spacing w:after="0" w:line="267" w:lineRule="auto"/>
        <w:tabs>
          <w:tab w:leader="none" w:pos="481"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actual disbursement date of the loan, the corresponding day of each full month/quarter/half year/year (if there is no corresponding day in the current month, the last day of that month shall be the corresponding day) shall be the interest payment date for each period. The borrower shall pay the current loan interest to the lender on the interest payment date and settle the remaining principal and interest upon maturity of the loan.</w:t>
      </w:r>
    </w:p>
    <w:p>
      <w:pPr>
        <w:spacing w:after="0" w:line="155" w:lineRule="exact"/>
        <w:rPr>
          <w:rFonts w:ascii="Times New Roman" w:cs="Times New Roman" w:eastAsia="Times New Roman" w:hAnsi="Times New Roman"/>
          <w:sz w:val="16"/>
          <w:szCs w:val="16"/>
          <w:color w:val="auto"/>
        </w:rPr>
      </w:pPr>
    </w:p>
    <w:p>
      <w:pPr>
        <w:jc w:val="both"/>
        <w:ind w:left="-40" w:right="20" w:firstLine="285"/>
        <w:spacing w:after="0" w:line="267" w:lineRule="auto"/>
        <w:tabs>
          <w:tab w:leader="none" w:pos="488"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interest payment date is MM/DD/YYYY. From the first interest payment date, every __(month/quarter/half year/year) corresponding day (if there is no corresponding day in the current month, the last day of that month shall be the corresponding day) shall be the interest payment date for each period. The borrower shall pay the current loan interest to the lender on the interest payment date and settle the remaining principal and interest upon maturity of the loan.</w:t>
      </w:r>
    </w:p>
    <w:p>
      <w:pPr>
        <w:spacing w:after="0" w:line="155" w:lineRule="exact"/>
        <w:rPr>
          <w:rFonts w:ascii="Times New Roman" w:cs="Times New Roman" w:eastAsia="Times New Roman" w:hAnsi="Times New Roman"/>
          <w:sz w:val="16"/>
          <w:szCs w:val="16"/>
          <w:color w:val="auto"/>
        </w:rPr>
      </w:pPr>
    </w:p>
    <w:p>
      <w:pPr>
        <w:ind w:left="480" w:hanging="235"/>
        <w:spacing w:after="0"/>
        <w:tabs>
          <w:tab w:leader="none" w:pos="48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repayment method:__________/________.</w:t>
      </w:r>
    </w:p>
    <w:p>
      <w:pPr>
        <w:spacing w:after="0" w:line="213" w:lineRule="exact"/>
        <w:rPr>
          <w:sz w:val="20"/>
          <w:szCs w:val="20"/>
          <w:color w:val="auto"/>
        </w:rPr>
      </w:pPr>
    </w:p>
    <w:p>
      <w:pPr>
        <w:ind w:left="24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Penalty interest and compound interest</w:t>
      </w:r>
    </w:p>
    <w:p>
      <w:pPr>
        <w:spacing w:after="0" w:line="202" w:lineRule="exact"/>
        <w:rPr>
          <w:sz w:val="20"/>
          <w:szCs w:val="20"/>
          <w:color w:val="auto"/>
        </w:rPr>
      </w:pPr>
    </w:p>
    <w:p>
      <w:pPr>
        <w:jc w:val="both"/>
        <w:ind w:left="-40" w:firstLine="285"/>
        <w:spacing w:after="0" w:line="257" w:lineRule="auto"/>
        <w:tabs>
          <w:tab w:leader="none" w:pos="477"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use the loan for the purpose specified in this contract, the lender shall have the right to charge penalty interest on the misappropriated loan from the date of misappropriation. The penalty interest rate shall be 100% higher than the loan interest rate; If the borrower fails to repay the loan on time and does not reach an agreement with the lender regarding the extension, i.e. the loan is overdue, the lender has the right to charge penalty interest on the overdue loan from the date of overdue. The penalty interest rate is 50% higher than the loan interest rate; The lender has the right to charge compound interest at the loan overdue penalty interest rate agreed upon in this contract for the interest not paid on time (including interest before and after the loan maturity, misappropriation penalty interest, and overdue penalty interest). If the same loan is overdue and not used for the purpose specified in the contract, the penalty interest rate shall be calculated based on the higher one.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147560" cy="152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20"/>
          </w:cols>
          <w:pgMar w:left="360" w:top="820" w:right="319" w:bottom="1440" w:gutter="0" w:footer="0" w:header="0"/>
        </w:sectPr>
      </w:pPr>
    </w:p>
    <w:bookmarkStart w:id="500" w:name="page501"/>
    <w:bookmarkEnd w:id="500"/>
    <w:p>
      <w:pPr>
        <w:ind w:right="20" w:firstLine="285"/>
        <w:spacing w:after="0" w:line="283" w:lineRule="auto"/>
        <w:tabs>
          <w:tab w:leader="none" w:pos="524"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interest rate is fixed, the penalty interest rate is also fixed; If the loan interest rate adopts a floating interest rate, the penalty interest rate is also a floating interest rate, and its floating period is consistent with the floating period of the loan interest rate.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of penalty interest and compound interest shall be carried out in accordance with the loan interest repayment method stipulated in this contract.</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6 Conditions Precedent for Withdrawal</w:t>
      </w:r>
    </w:p>
    <w:p>
      <w:pPr>
        <w:spacing w:after="0" w:line="215" w:lineRule="exact"/>
        <w:rPr>
          <w:sz w:val="20"/>
          <w:szCs w:val="20"/>
          <w:color w:val="auto"/>
        </w:rPr>
      </w:pPr>
    </w:p>
    <w:p>
      <w:pPr>
        <w:ind w:firstLine="289"/>
        <w:spacing w:after="0" w:line="213"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borrower may apply to the lender for the disbursement of the loan under this contract only after meeting the following withdrawal prerequisites required by the lender</w:t>
      </w:r>
      <w:r>
        <w:rPr>
          <w:rFonts w:ascii="SimSun" w:cs="SimSun" w:eastAsia="SimSun" w:hAnsi="SimSun"/>
          <w:sz w:val="16"/>
          <w:szCs w:val="16"/>
          <w:color w:val="auto"/>
        </w:rPr>
        <w:t>：</w:t>
      </w:r>
    </w:p>
    <w:p>
      <w:pPr>
        <w:spacing w:after="0" w:line="188" w:lineRule="exact"/>
        <w:rPr>
          <w:sz w:val="20"/>
          <w:szCs w:val="20"/>
          <w:color w:val="auto"/>
        </w:rPr>
      </w:pPr>
    </w:p>
    <w:p>
      <w:pPr>
        <w:ind w:right="20" w:firstLine="285"/>
        <w:spacing w:after="0" w:line="206" w:lineRule="exact"/>
        <w:tabs>
          <w:tab w:leader="none" w:pos="514" w:val="left"/>
        </w:tabs>
        <w:numPr>
          <w:ilvl w:val="0"/>
          <w:numId w:val="4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delivered the following documents to the lender, and the information stated in the documents has not changed and remains valid, or the borrower has provided satisfactory explanations and clarifications to the lender regarding the changes</w:t>
      </w:r>
      <w:r>
        <w:rPr>
          <w:rFonts w:ascii="SimSun" w:cs="SimSun" w:eastAsia="SimSun" w:hAnsi="SimSun"/>
          <w:sz w:val="16"/>
          <w:szCs w:val="16"/>
          <w:color w:val="auto"/>
        </w:rPr>
        <w:t>：</w:t>
      </w:r>
    </w:p>
    <w:p>
      <w:pPr>
        <w:spacing w:after="0" w:line="190" w:lineRule="exact"/>
        <w:rPr>
          <w:sz w:val="20"/>
          <w:szCs w:val="20"/>
          <w:color w:val="auto"/>
        </w:rPr>
      </w:pPr>
    </w:p>
    <w:p>
      <w:pPr>
        <w:ind w:left="460" w:hanging="175"/>
        <w:spacing w:after="0"/>
        <w:tabs>
          <w:tab w:leader="none" w:pos="460" w:val="left"/>
        </w:tabs>
        <w:numPr>
          <w:ilvl w:val="0"/>
          <w:numId w:val="49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 loan application form, which mainly includes but is not limited to: loan project name, amount, purpose, term, repayment plan, and repayment source;</w:t>
      </w:r>
    </w:p>
    <w:p>
      <w:pPr>
        <w:spacing w:after="0" w:line="201" w:lineRule="exact"/>
        <w:rPr>
          <w:sz w:val="20"/>
          <w:szCs w:val="20"/>
          <w:color w:val="auto"/>
        </w:rPr>
      </w:pPr>
    </w:p>
    <w:p>
      <w:pPr>
        <w:jc w:val="both"/>
        <w:ind w:firstLine="285"/>
        <w:spacing w:after="0" w:line="261" w:lineRule="auto"/>
        <w:tabs>
          <w:tab w:leader="none" w:pos="476" w:val="left"/>
        </w:tabs>
        <w:numPr>
          <w:ilvl w:val="0"/>
          <w:numId w:val="4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borrower’s legal and valid business license, company articles of association, loan card and password/credit code, legal representative and board members and main responsible persons registered and filed with the industrial and commercial administration department, list and signature samples of financial responsible persons, valid identification documents of the legal representative or its authorized representative, written documents of the legal representative or its authorized representative and relevant natural persons agreeing to the lender’s processing of their personal information, and other company documents deemed necessary by the lender;</w:t>
      </w:r>
    </w:p>
    <w:p>
      <w:pPr>
        <w:spacing w:after="0" w:line="162" w:lineRule="exact"/>
        <w:rPr>
          <w:sz w:val="20"/>
          <w:szCs w:val="20"/>
          <w:color w:val="auto"/>
        </w:rPr>
      </w:pPr>
    </w:p>
    <w:p>
      <w:pPr>
        <w:jc w:val="both"/>
        <w:ind w:right="20" w:firstLine="285"/>
        <w:spacing w:after="0" w:line="267" w:lineRule="auto"/>
        <w:tabs>
          <w:tab w:leader="none" w:pos="478" w:val="left"/>
        </w:tabs>
        <w:numPr>
          <w:ilvl w:val="0"/>
          <w:numId w:val="4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shall convene a resolution of the board of directors or shareholders in accordance with legal procedures, which has been passed by a vote of a quorum of directors or shareholders, and is true, legal, and valid. The resolution of the board of directors or shareholders or other documents deemed necessary by the lender regarding agreeing to apply for loans under this contract from the lender, clarifying the purpose of the loan, and accepting all loan conditions requested by the lender;</w:t>
      </w:r>
    </w:p>
    <w:p>
      <w:pPr>
        <w:spacing w:after="0" w:line="156" w:lineRule="exact"/>
        <w:rPr>
          <w:sz w:val="20"/>
          <w:szCs w:val="20"/>
          <w:color w:val="auto"/>
        </w:rPr>
      </w:pPr>
    </w:p>
    <w:p>
      <w:pPr>
        <w:ind w:right="20" w:firstLine="285"/>
        <w:spacing w:after="0" w:line="283" w:lineRule="auto"/>
        <w:tabs>
          <w:tab w:leader="none" w:pos="482" w:val="left"/>
        </w:tabs>
        <w:numPr>
          <w:ilvl w:val="0"/>
          <w:numId w:val="49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reports for the past three years (with audit reports and notes) recognized by the lender, financial statements for the most recent period and the same period last year. Borrowers who have been established for less than three years shall submit annual statements since their establishment;</w:t>
      </w:r>
    </w:p>
    <w:p>
      <w:pPr>
        <w:spacing w:after="0" w:line="143" w:lineRule="exact"/>
        <w:rPr>
          <w:sz w:val="20"/>
          <w:szCs w:val="20"/>
          <w:color w:val="auto"/>
        </w:rPr>
      </w:pPr>
    </w:p>
    <w:p>
      <w:pPr>
        <w:ind w:left="460" w:hanging="175"/>
        <w:spacing w:after="0"/>
        <w:tabs>
          <w:tab w:leader="none" w:pos="460" w:val="left"/>
        </w:tabs>
        <w:numPr>
          <w:ilvl w:val="0"/>
          <w:numId w:val="49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Related party information;</w:t>
      </w:r>
    </w:p>
    <w:p>
      <w:pPr>
        <w:spacing w:after="0" w:line="201" w:lineRule="exact"/>
        <w:rPr>
          <w:sz w:val="20"/>
          <w:szCs w:val="20"/>
          <w:color w:val="auto"/>
        </w:rPr>
      </w:pPr>
    </w:p>
    <w:p>
      <w:pPr>
        <w:ind w:firstLine="285"/>
        <w:spacing w:after="0" w:line="283" w:lineRule="auto"/>
        <w:tabs>
          <w:tab w:leader="none" w:pos="491" w:val="left"/>
        </w:tabs>
        <w:numPr>
          <w:ilvl w:val="0"/>
          <w:numId w:val="50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For applying for temporary working capital loans, relevant contracts, vouchers or materials such as purchase contracts, order contracts, debt certificates, etc. must be provided;</w:t>
      </w:r>
    </w:p>
    <w:p>
      <w:pPr>
        <w:spacing w:after="0" w:line="143" w:lineRule="exact"/>
        <w:rPr>
          <w:sz w:val="20"/>
          <w:szCs w:val="20"/>
          <w:color w:val="auto"/>
        </w:rPr>
      </w:pPr>
    </w:p>
    <w:p>
      <w:pPr>
        <w:jc w:val="both"/>
        <w:ind w:right="20" w:firstLine="285"/>
        <w:spacing w:after="0" w:line="198" w:lineRule="exact"/>
        <w:tabs>
          <w:tab w:leader="none" w:pos="473" w:val="left"/>
        </w:tabs>
        <w:numPr>
          <w:ilvl w:val="0"/>
          <w:numId w:val="5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mortgage/pledge guarantee method is to be adopted, proof of ownership of the mortgage/pledge property rights, evaluation value report must be provided, and the mortgage/pledge registration procedures required by relevant laws and regulations have been properly handled. The original copies of relevant ownership proof documents, registration proof documents, etc. have been handed over to the lender for storage as required by the lender; To adopt a third-party guarantee, relevant guarantee materials must be provided in accordance with the requirements of items 2 to 4 above, and the guarantee contract has become effective; The above guarantee shall remain valid and effective</w:t>
      </w:r>
      <w:r>
        <w:rPr>
          <w:rFonts w:ascii="SimSun" w:cs="SimSun" w:eastAsia="SimSun" w:hAnsi="SimSun"/>
          <w:sz w:val="16"/>
          <w:szCs w:val="16"/>
          <w:color w:val="auto"/>
        </w:rPr>
        <w:t>；</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1" w:name="page502"/>
    <w:bookmarkEnd w:id="501"/>
    <w:p>
      <w:pPr>
        <w:jc w:val="both"/>
        <w:ind w:left="-40" w:right="20" w:firstLine="285"/>
        <w:spacing w:after="0" w:line="202" w:lineRule="exact"/>
        <w:tabs>
          <w:tab w:leader="none" w:pos="435" w:val="left"/>
        </w:tabs>
        <w:numPr>
          <w:ilvl w:val="0"/>
          <w:numId w:val="50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lender requests to handle insurance for the mortgaged/pledged property, the insurance procedures with the lender as the first beneficiary have been completed and the original insurance policy has been handed over to the lender for safekeeping; And the insurance shall remain in effect; If the borrower provides mortgage/pledge, the borrower hereby transfers the right to claim insurance benefits due to the occurrence of insurance events to the lender</w:t>
      </w:r>
      <w:r>
        <w:rPr>
          <w:rFonts w:ascii="SimSun" w:cs="SimSun" w:eastAsia="SimSun" w:hAnsi="SimSun"/>
          <w:sz w:val="16"/>
          <w:szCs w:val="16"/>
          <w:color w:val="auto"/>
        </w:rPr>
        <w:t>；</w:t>
      </w:r>
    </w:p>
    <w:p>
      <w:pPr>
        <w:spacing w:after="0" w:line="189" w:lineRule="exact"/>
        <w:rPr>
          <w:sz w:val="20"/>
          <w:szCs w:val="20"/>
          <w:color w:val="auto"/>
        </w:rPr>
      </w:pPr>
    </w:p>
    <w:p>
      <w:pPr>
        <w:ind w:left="-40" w:right="20" w:firstLine="285"/>
        <w:spacing w:after="0" w:line="283" w:lineRule="auto"/>
        <w:tabs>
          <w:tab w:leader="none" w:pos="505" w:val="left"/>
        </w:tabs>
        <w:numPr>
          <w:ilvl w:val="0"/>
          <w:numId w:val="50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Special industry enterprises must provide special industry production and operation licenses or enterprise qualification level certificates issued by authorized departments for approval;</w:t>
      </w:r>
    </w:p>
    <w:p>
      <w:pPr>
        <w:spacing w:after="0" w:line="143" w:lineRule="exact"/>
        <w:rPr>
          <w:sz w:val="20"/>
          <w:szCs w:val="20"/>
          <w:color w:val="auto"/>
        </w:rPr>
      </w:pPr>
    </w:p>
    <w:p>
      <w:pPr>
        <w:ind w:left="420" w:hanging="175"/>
        <w:spacing w:after="0"/>
        <w:tabs>
          <w:tab w:leader="none" w:pos="420" w:val="left"/>
        </w:tabs>
        <w:numPr>
          <w:ilvl w:val="0"/>
          <w:numId w:val="50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either party to this contract requests notarization or other procedures, the relevant notarization procedures have been completed;</w:t>
      </w:r>
    </w:p>
    <w:p>
      <w:pPr>
        <w:spacing w:after="0" w:line="213" w:lineRule="exact"/>
        <w:rPr>
          <w:sz w:val="20"/>
          <w:szCs w:val="20"/>
          <w:color w:val="auto"/>
        </w:rPr>
      </w:pPr>
    </w:p>
    <w:p>
      <w:pPr>
        <w:ind w:left="440" w:hanging="195"/>
        <w:spacing w:after="0"/>
        <w:tabs>
          <w:tab w:leader="none" w:pos="440" w:val="left"/>
        </w:tabs>
        <w:numPr>
          <w:ilvl w:val="0"/>
          <w:numId w:val="50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opened an account at the lender’s request and voluntarily accepts the lender’s credit supervision and payment settlement supervision;</w:t>
      </w:r>
    </w:p>
    <w:p>
      <w:pPr>
        <w:spacing w:after="0" w:line="225" w:lineRule="exact"/>
        <w:rPr>
          <w:sz w:val="20"/>
          <w:szCs w:val="20"/>
          <w:color w:val="auto"/>
        </w:rPr>
      </w:pPr>
    </w:p>
    <w:p>
      <w:pPr>
        <w:ind w:left="-40" w:right="20" w:firstLine="285"/>
        <w:spacing w:after="0" w:line="213" w:lineRule="exact"/>
        <w:tabs>
          <w:tab w:leader="none" w:pos="493" w:val="left"/>
        </w:tabs>
        <w:numPr>
          <w:ilvl w:val="0"/>
          <w:numId w:val="50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applying for a foreign exchange project loan must provide a valid proof of the purpose of the foreign exchange loan and approval from relevant departments, and comply with relevant foreign exchange management policies</w:t>
      </w:r>
      <w:r>
        <w:rPr>
          <w:rFonts w:ascii="SimSun" w:cs="SimSun" w:eastAsia="SimSun" w:hAnsi="SimSun"/>
          <w:sz w:val="16"/>
          <w:szCs w:val="16"/>
          <w:color w:val="auto"/>
        </w:rPr>
        <w:t>；</w:t>
      </w:r>
    </w:p>
    <w:p>
      <w:pPr>
        <w:spacing w:after="0" w:line="201" w:lineRule="exact"/>
        <w:rPr>
          <w:sz w:val="20"/>
          <w:szCs w:val="20"/>
          <w:color w:val="auto"/>
        </w:rPr>
      </w:pPr>
    </w:p>
    <w:p>
      <w:pPr>
        <w:ind w:left="440" w:hanging="195"/>
        <w:spacing w:after="0"/>
        <w:tabs>
          <w:tab w:leader="none" w:pos="440" w:val="left"/>
        </w:tabs>
        <w:numPr>
          <w:ilvl w:val="0"/>
          <w:numId w:val="50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Value added tax, business tax, and income tax declaration forms requested by the lender;</w:t>
      </w:r>
    </w:p>
    <w:p>
      <w:pPr>
        <w:spacing w:after="0" w:line="225" w:lineRule="exact"/>
        <w:rPr>
          <w:sz w:val="20"/>
          <w:szCs w:val="20"/>
          <w:color w:val="auto"/>
        </w:rPr>
      </w:pPr>
    </w:p>
    <w:p>
      <w:pPr>
        <w:ind w:left="440" w:hanging="195"/>
        <w:spacing w:after="0"/>
        <w:tabs>
          <w:tab w:leader="none" w:pos="440" w:val="left"/>
        </w:tabs>
        <w:numPr>
          <w:ilvl w:val="0"/>
          <w:numId w:val="50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issued a commitment letter for the use of credit funds as requested by the lender;</w:t>
      </w:r>
    </w:p>
    <w:p>
      <w:pPr>
        <w:spacing w:after="0" w:line="225" w:lineRule="exact"/>
        <w:rPr>
          <w:sz w:val="20"/>
          <w:szCs w:val="20"/>
          <w:color w:val="auto"/>
        </w:rPr>
      </w:pPr>
    </w:p>
    <w:p>
      <w:pPr>
        <w:ind w:left="440" w:hanging="195"/>
        <w:spacing w:after="0"/>
        <w:tabs>
          <w:tab w:leader="none" w:pos="440" w:val="left"/>
        </w:tabs>
        <w:numPr>
          <w:ilvl w:val="0"/>
          <w:numId w:val="50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and relevant natural persons have issued a written document agreeing to the lender’s processing of their personal information as requested by the lender;</w:t>
      </w:r>
    </w:p>
    <w:p>
      <w:pPr>
        <w:spacing w:after="0" w:line="225" w:lineRule="exact"/>
        <w:rPr>
          <w:sz w:val="20"/>
          <w:szCs w:val="20"/>
          <w:color w:val="auto"/>
        </w:rPr>
      </w:pPr>
    </w:p>
    <w:p>
      <w:pPr>
        <w:ind w:left="240"/>
        <w:spacing w:after="0" w:line="184" w:lineRule="exact"/>
        <w:rPr>
          <w:sz w:val="20"/>
          <w:szCs w:val="20"/>
          <w:color w:val="auto"/>
        </w:rPr>
      </w:pPr>
      <w:r>
        <w:rPr>
          <w:rFonts w:ascii="MS PGothic" w:cs="MS PGothic" w:eastAsia="MS PGothic" w:hAnsi="MS PGothic"/>
          <w:sz w:val="16"/>
          <w:szCs w:val="16"/>
          <w:color w:val="auto"/>
        </w:rPr>
        <w:t>⑯</w:t>
      </w:r>
      <w:r>
        <w:rPr>
          <w:rFonts w:ascii="Times New Roman" w:cs="Times New Roman" w:eastAsia="Times New Roman" w:hAnsi="Times New Roman"/>
          <w:sz w:val="16"/>
          <w:szCs w:val="16"/>
          <w:color w:val="auto"/>
        </w:rPr>
        <w:t>Other documents, reports, vouchers, and other materials requested by the lender.</w:t>
      </w:r>
    </w:p>
    <w:p>
      <w:pPr>
        <w:spacing w:after="0" w:line="213" w:lineRule="exact"/>
        <w:rPr>
          <w:sz w:val="20"/>
          <w:szCs w:val="20"/>
          <w:color w:val="auto"/>
        </w:rPr>
      </w:pPr>
    </w:p>
    <w:p>
      <w:pPr>
        <w:ind w:left="-40" w:firstLine="285"/>
        <w:spacing w:after="0" w:line="283" w:lineRule="auto"/>
        <w:tabs>
          <w:tab w:leader="none" w:pos="484"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established in accordance with the law, has legal and compliant production and operation, has the ability to continue operating, and has a legitimate source of repayment;</w:t>
      </w:r>
    </w:p>
    <w:p>
      <w:pPr>
        <w:spacing w:after="0" w:line="155" w:lineRule="exact"/>
        <w:rPr>
          <w:rFonts w:ascii="Times New Roman" w:cs="Times New Roman" w:eastAsia="Times New Roman" w:hAnsi="Times New Roman"/>
          <w:sz w:val="16"/>
          <w:szCs w:val="16"/>
          <w:color w:val="auto"/>
        </w:rPr>
      </w:pPr>
    </w:p>
    <w:p>
      <w:pPr>
        <w:ind w:left="460" w:hanging="215"/>
        <w:spacing w:after="0" w:line="195" w:lineRule="exact"/>
        <w:tabs>
          <w:tab w:leader="none" w:pos="460"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the loan is clear, legal and compliant</w:t>
      </w:r>
      <w:r>
        <w:rPr>
          <w:rFonts w:ascii="SimSun" w:cs="SimSun" w:eastAsia="SimSun" w:hAnsi="SimSun"/>
          <w:sz w:val="16"/>
          <w:szCs w:val="16"/>
          <w:color w:val="auto"/>
        </w:rPr>
        <w:t>；</w:t>
      </w:r>
    </w:p>
    <w:p>
      <w:pPr>
        <w:spacing w:after="0" w:line="202" w:lineRule="exact"/>
        <w:rPr>
          <w:rFonts w:ascii="Times New Roman" w:cs="Times New Roman" w:eastAsia="Times New Roman" w:hAnsi="Times New Roman"/>
          <w:sz w:val="16"/>
          <w:szCs w:val="16"/>
          <w:color w:val="auto"/>
        </w:rPr>
      </w:pPr>
    </w:p>
    <w:p>
      <w:pPr>
        <w:ind w:left="-40" w:right="20" w:firstLine="285"/>
        <w:spacing w:after="0" w:line="283" w:lineRule="auto"/>
        <w:tabs>
          <w:tab w:leader="none" w:pos="486"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and commitments made by the borrower in Article 11 of this contract shall remain true and valid; No default or potential default has occurred on or prior to the date of loan application;</w:t>
      </w:r>
    </w:p>
    <w:p>
      <w:pPr>
        <w:spacing w:after="0" w:line="143" w:lineRule="exact"/>
        <w:rPr>
          <w:rFonts w:ascii="Times New Roman" w:cs="Times New Roman" w:eastAsia="Times New Roman" w:hAnsi="Times New Roman"/>
          <w:sz w:val="16"/>
          <w:szCs w:val="16"/>
          <w:color w:val="auto"/>
        </w:rPr>
      </w:pPr>
    </w:p>
    <w:p>
      <w:pPr>
        <w:jc w:val="both"/>
        <w:ind w:left="-40" w:firstLine="285"/>
        <w:spacing w:after="0" w:line="267" w:lineRule="auto"/>
        <w:tabs>
          <w:tab w:leader="none" w:pos="477"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completed the loan receipts or vouchers related to the loan disbursement. The promissory note or loan voucher is an integral part of this contract and has the same legal effect as this contract. If there is any inconsistency between the loan amount, loan term, loan interest rate, etc. under this contract and the record on the loan receipt or loan voucher, the record on the loan receipt or loan voucher shall prevail;</w:t>
      </w:r>
    </w:p>
    <w:p>
      <w:pPr>
        <w:spacing w:after="0" w:line="155" w:lineRule="exact"/>
        <w:rPr>
          <w:rFonts w:ascii="Times New Roman" w:cs="Times New Roman" w:eastAsia="Times New Roman" w:hAnsi="Times New Roman"/>
          <w:sz w:val="16"/>
          <w:szCs w:val="16"/>
          <w:color w:val="auto"/>
        </w:rPr>
      </w:pPr>
    </w:p>
    <w:p>
      <w:pPr>
        <w:jc w:val="both"/>
        <w:ind w:left="-40" w:firstLine="285"/>
        <w:spacing w:after="0" w:line="267" w:lineRule="auto"/>
        <w:tabs>
          <w:tab w:leader="none" w:pos="484"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 good credit condition and no major bad records; If the borrower is a newly established legal entity, its controlling shareholder should have good credit standing (the borrower should provide a written document from the natural person controlling shareholder agreeing to the lender’s handling of their personal information), and there should be no significant adverse records;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147560" cy="152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7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20"/>
          </w:cols>
          <w:pgMar w:left="360" w:top="821" w:right="319" w:bottom="1440" w:gutter="0" w:footer="0" w:header="0"/>
        </w:sectPr>
      </w:pPr>
    </w:p>
    <w:bookmarkStart w:id="502" w:name="page503"/>
    <w:bookmarkEnd w:id="502"/>
    <w:p>
      <w:pPr>
        <w:ind w:left="280"/>
        <w:spacing w:after="0"/>
        <w:rPr>
          <w:sz w:val="20"/>
          <w:szCs w:val="20"/>
          <w:color w:val="auto"/>
        </w:rPr>
      </w:pPr>
      <w:r>
        <w:rPr>
          <w:rFonts w:ascii="Times New Roman" w:cs="Times New Roman" w:eastAsia="Times New Roman" w:hAnsi="Times New Roman"/>
          <w:sz w:val="16"/>
          <w:szCs w:val="16"/>
          <w:color w:val="auto"/>
        </w:rPr>
        <w:t>(7) Other withdrawal prerequisites requested by the lender.</w:t>
      </w:r>
    </w:p>
    <w:p>
      <w:pPr>
        <w:spacing w:after="0" w:line="21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lender’s performance of obligations under this contract is conditional on the satisfaction of the withdrawal conditions stipulated in this clause. The lender has the right to unilaterally decide to reduce or waive a partial withdrawal prerequisite, and the borrower or guarantor shall not use this condition as a defense against the lender.</w:t>
      </w:r>
    </w:p>
    <w:p>
      <w:pPr>
        <w:spacing w:after="0" w:line="190"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lender has the right to adjust the loan disbursement appropriately based on factors such as whether the financing project meets relevant laws, regulations, policies, and the withdrawal prerequisites required by the lender, the signing of the corresponding guarantee contract under this contract, and the processing time of guarantee procedures.</w:t>
      </w:r>
    </w:p>
    <w:p>
      <w:pPr>
        <w:spacing w:after="0" w:line="189" w:lineRule="exact"/>
        <w:rPr>
          <w:sz w:val="20"/>
          <w:szCs w:val="20"/>
          <w:color w:val="auto"/>
        </w:rPr>
      </w:pPr>
    </w:p>
    <w:p>
      <w:pPr>
        <w:jc w:val="both"/>
        <w:ind w:firstLine="289"/>
        <w:spacing w:after="0" w:line="197"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agrees that, after the signing of this contract, if any withdrawal by the borrower fails to meet the conditions precedent for withdrawal or payment of loan funds as stipulated in this contract, the lender has the right to stop disbursement, stop payment of loan funds, or terminate this loan contract. The borrower shall bear the responsibility or losses arising from this. The lender shall notify the borrower of the termination of the contract, and the borrower’s objection period shall be five working days, calculated from the date when the termination notice is delivered to the borrower in the manner stipulated in this contract. If the borrower does not raise any objections, this contract shall be automatically terminated upon the expiration of the objection period. If the borrower has objections but both parties fail to reach an agreement within five working days after the expiration of the objection period, the lender has the right to receive the loan in advance according to the provisions of this contract.</w:t>
      </w:r>
    </w:p>
    <w:p>
      <w:pPr>
        <w:spacing w:after="0" w:line="191"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 xml:space="preserve">5 </w:t>
      </w:r>
      <w:r>
        <w:rPr>
          <w:rFonts w:ascii="SimSun" w:cs="SimSun" w:eastAsia="SimSun" w:hAnsi="SimSun"/>
          <w:sz w:val="16"/>
          <w:szCs w:val="16"/>
          <w:color w:val="auto"/>
        </w:rPr>
        <w:t>、</w:t>
      </w:r>
      <w:r>
        <w:rPr>
          <w:rFonts w:ascii="Times New Roman" w:cs="Times New Roman" w:eastAsia="Times New Roman" w:hAnsi="Times New Roman"/>
          <w:sz w:val="16"/>
          <w:szCs w:val="16"/>
          <w:color w:val="auto"/>
        </w:rPr>
        <w:t>After review by the lender, if the borrower meets the prerequisite conditions for withdrawal as stipulated in this contract, the lender shall pay the loan funds in accordance with Article 7 of this contract.</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7 Account Monitoring and Loan Fund Payment</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Account monitoring</w:t>
      </w:r>
    </w:p>
    <w:p>
      <w:pPr>
        <w:spacing w:after="0" w:line="20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According to relevant national laws, regulations, and regulatory requirements, the borrower promises to meet the withdrawal prerequisites stipulated in the contract before applying for loan disbursement, and accept the lender’s supervision on the use of loan funds for the agreed purposes. The lender has the right to monitor the basic deposit account, general deposit account, and special deposit account opened by the borrower, and supervise and control the disbursement, payment, and repayment of loan funds in accordance with the contractual provisions.</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 designates the following account as a dedicated fund withdrawal account and provides timely information on the inflow and outflow of funds in this account: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name:_______/_______; Account number:_____/__________;</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Bank:____________/___________.</w:t>
      </w:r>
    </w:p>
    <w:p>
      <w:pPr>
        <w:spacing w:after="0" w:line="184"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lender may negotiate and sign a separate account management agreement with the borrower based on their credit status, financing situation, etc., specifying the management of the inflow and outflow of funds from the designated account. The lender has the right to recover the loan in advance based on the borrower’s fund recovery situation.</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3" w:name="page504"/>
    <w:bookmarkEnd w:id="503"/>
    <w:p>
      <w:pPr>
        <w:ind w:left="280"/>
        <w:spacing w:after="0" w:line="195"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Payment of borrowed funds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lender has the right to manage and control the payment of loan funds through entrusted payment by the lender or self payment by the borrower.</w:t>
      </w:r>
    </w:p>
    <w:p>
      <w:pPr>
        <w:spacing w:after="0" w:line="201" w:lineRule="exact"/>
        <w:rPr>
          <w:sz w:val="20"/>
          <w:szCs w:val="20"/>
          <w:color w:val="auto"/>
        </w:rPr>
      </w:pPr>
    </w:p>
    <w:p>
      <w:pPr>
        <w:ind w:right="20" w:firstLine="285"/>
        <w:spacing w:after="0" w:line="283" w:lineRule="auto"/>
        <w:tabs>
          <w:tab w:leader="none" w:pos="476" w:val="left"/>
        </w:tabs>
        <w:numPr>
          <w:ilvl w:val="0"/>
          <w:numId w:val="51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“Entrusted payment” by the lender refers to the borrower authorizing the lender to pay the loan funds to the borrower’s counterparty that meets the purpose specified in this contract.</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borrower adopts the entrusted payment method, before the disbursement of the loan funds, the borrower shall provide relevant transaction information that meets the purpose specified in this contract. After being reviewed and approved by the lender, the loan funds shall be promptly paid to the borrower’s counterparty through the borrower’s account.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If the borrower adopts the method of entrusted payment by the lender, and after the loan funds are paid to the borrower’s counterparty, if the loan funds are returned due to reasons such as revocation, termination, or invalidity of the underlying transaction contract, the lender has the right to receive the returned loan funds in advance in accordance with Article 12 of this contract.</w:t>
      </w:r>
    </w:p>
    <w:p>
      <w:pPr>
        <w:spacing w:after="0" w:line="156" w:lineRule="exact"/>
        <w:rPr>
          <w:sz w:val="20"/>
          <w:szCs w:val="20"/>
          <w:color w:val="auto"/>
        </w:rPr>
      </w:pPr>
    </w:p>
    <w:p>
      <w:pPr>
        <w:ind w:firstLine="285"/>
        <w:spacing w:after="0" w:line="283" w:lineRule="auto"/>
        <w:tabs>
          <w:tab w:leader="none" w:pos="494" w:val="left"/>
        </w:tabs>
        <w:numPr>
          <w:ilvl w:val="0"/>
          <w:numId w:val="51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“Self payment” by the borrower refers to the act of the lender disbursing the loan funds to the borrower’s account, and the borrower making the self payment to the borrower’s counterparty that meets the agreed purpose of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borrower adopts the self payment method, the borrower should regularly summarize and report the payment of the loan funds to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Entrusted payment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payment of loan funds that fall under one of the following circumstances, shall be made through the entrusted payment method of the lender:</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A. the borrower and the lender establish a new credit relationship, and the borrower’s internal rating at the lender’s location is below B level (inclusive). “Newly established credit business relationship” refers to the lender and the borrower establishing a credit business relationship for the first time or not having had a credit business relationship within 2 years;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 Working capital loans for exchange;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C. If the payment object is clear and the single payment amount to a certain transaction object of the borrower exceeds RMB 10 million (including) (for foreign currency loans, it shall be converted according to the middle price announced by the lender on the payment date);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 Other:_________________/____________________.</w:t>
      </w:r>
    </w:p>
    <w:p>
      <w:pPr>
        <w:spacing w:after="0" w:line="201"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If entrusted payment is adopted, the lender should, in principle, pay the loan funds to the borrower’s transaction partner through the borrower’s account within five working days of the loan disbursement. If the borrower is unable to complete the entrusted payment due to their own reasons, the lender shall complete the external payment within ten working days at the latest upon mutual agreement with the borrower. If the entrusted payment cannot be completed due to force majeure, the lender shall negotiate with the borrower to determine a reasonable payment deadline.</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04" w:name="page505"/>
    <w:bookmarkEnd w:id="504"/>
    <w:p>
      <w:pPr>
        <w:jc w:val="both"/>
        <w:ind w:firstLine="285"/>
        <w:spacing w:after="0" w:line="267" w:lineRule="auto"/>
        <w:tabs>
          <w:tab w:leader="none" w:pos="527"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process of loan disbursement and payment, if the borrower encounters the following situations, they shall supplement the loan disbursement and payment conditions as requested by the lender. The lender has the right to adopt stricter loan disbursement and payment conditions, and has the right to stop the disbursement and payment of loan funds. Corresponding measures shall be taken in accordance with Article 14 (2) of this contract:</w:t>
      </w:r>
    </w:p>
    <w:p>
      <w:pPr>
        <w:spacing w:after="0" w:line="156" w:lineRule="exact"/>
        <w:rPr>
          <w:sz w:val="20"/>
          <w:szCs w:val="20"/>
          <w:color w:val="auto"/>
        </w:rPr>
      </w:pPr>
    </w:p>
    <w:p>
      <w:pPr>
        <w:ind w:left="460" w:hanging="175"/>
        <w:spacing w:after="0"/>
        <w:tabs>
          <w:tab w:leader="none" w:pos="460" w:val="left"/>
        </w:tabs>
        <w:numPr>
          <w:ilvl w:val="0"/>
          <w:numId w:val="51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 decline in credit status;</w:t>
      </w:r>
    </w:p>
    <w:p>
      <w:pPr>
        <w:spacing w:after="0" w:line="201" w:lineRule="exact"/>
        <w:rPr>
          <w:sz w:val="20"/>
          <w:szCs w:val="20"/>
          <w:color w:val="auto"/>
        </w:rPr>
      </w:pPr>
    </w:p>
    <w:p>
      <w:pPr>
        <w:ind w:left="460" w:hanging="175"/>
        <w:spacing w:after="0"/>
        <w:tabs>
          <w:tab w:leader="none" w:pos="460" w:val="left"/>
        </w:tabs>
        <w:numPr>
          <w:ilvl w:val="0"/>
          <w:numId w:val="5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main business has weak profitability;</w:t>
      </w:r>
    </w:p>
    <w:p>
      <w:pPr>
        <w:spacing w:after="0" w:line="201" w:lineRule="exact"/>
        <w:rPr>
          <w:sz w:val="20"/>
          <w:szCs w:val="20"/>
          <w:color w:val="auto"/>
        </w:rPr>
      </w:pPr>
    </w:p>
    <w:p>
      <w:pPr>
        <w:ind w:left="460" w:hanging="175"/>
        <w:spacing w:after="0"/>
        <w:tabs>
          <w:tab w:leader="none" w:pos="460" w:val="left"/>
        </w:tabs>
        <w:numPr>
          <w:ilvl w:val="0"/>
          <w:numId w:val="5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Abnormal use of borrowed funds;</w:t>
      </w:r>
    </w:p>
    <w:p>
      <w:pPr>
        <w:spacing w:after="0" w:line="201" w:lineRule="exact"/>
        <w:rPr>
          <w:sz w:val="20"/>
          <w:szCs w:val="20"/>
          <w:color w:val="auto"/>
        </w:rPr>
      </w:pPr>
    </w:p>
    <w:p>
      <w:pPr>
        <w:ind w:left="460" w:hanging="175"/>
        <w:spacing w:after="0"/>
        <w:tabs>
          <w:tab w:leader="none" w:pos="460" w:val="left"/>
        </w:tabs>
        <w:numPr>
          <w:ilvl w:val="0"/>
          <w:numId w:val="51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situations deemed by the lender.</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8 Repayment of Loan Principal and Interest</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principal of the loan under this contract shall be repaid in the second manner specified below:</w:t>
      </w:r>
    </w:p>
    <w:p>
      <w:pPr>
        <w:spacing w:after="0" w:line="202" w:lineRule="exact"/>
        <w:rPr>
          <w:sz w:val="20"/>
          <w:szCs w:val="20"/>
          <w:color w:val="auto"/>
        </w:rPr>
      </w:pPr>
    </w:p>
    <w:p>
      <w:pPr>
        <w:ind w:left="280" w:right="5060" w:firstLine="5"/>
        <w:spacing w:after="0" w:line="501" w:lineRule="auto"/>
        <w:tabs>
          <w:tab w:leader="none" w:pos="498" w:val="left"/>
        </w:tabs>
        <w:numPr>
          <w:ilvl w:val="0"/>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the loan principal in installments, with the following repayment amount and date: __YY__MM__DD repay _____(amount); __YY__MM__DD repay _____(amount); __YY__MM__DD repay _____(amount); __YY__MM__DD repay _____(amount);</w:t>
      </w:r>
    </w:p>
    <w:p>
      <w:pPr>
        <w:spacing w:after="0" w:line="2"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If the lender adjusts the loan installment plan, the loan installment repayment date and amount stipulated in this clause shall remain unchanged, and the borrower shall repay the loan principal on schedule.</w:t>
      </w:r>
    </w:p>
    <w:p>
      <w:pPr>
        <w:spacing w:after="0" w:line="143" w:lineRule="exact"/>
        <w:rPr>
          <w:sz w:val="20"/>
          <w:szCs w:val="20"/>
          <w:color w:val="auto"/>
        </w:rPr>
      </w:pPr>
    </w:p>
    <w:p>
      <w:pPr>
        <w:ind w:left="520" w:hanging="235"/>
        <w:spacing w:after="0"/>
        <w:tabs>
          <w:tab w:leader="none" w:pos="520" w:val="left"/>
        </w:tabs>
        <w:numPr>
          <w:ilvl w:val="0"/>
          <w:numId w:val="5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the principal of the loan in full at once on the due date of the loan.</w:t>
      </w:r>
    </w:p>
    <w:p>
      <w:pPr>
        <w:spacing w:after="0" w:line="200" w:lineRule="exact"/>
        <w:rPr>
          <w:rFonts w:ascii="Times New Roman" w:cs="Times New Roman" w:eastAsia="Times New Roman" w:hAnsi="Times New Roman"/>
          <w:sz w:val="16"/>
          <w:szCs w:val="16"/>
          <w:color w:val="auto"/>
        </w:rPr>
      </w:pPr>
    </w:p>
    <w:p>
      <w:pPr>
        <w:ind w:left="500" w:hanging="215"/>
        <w:spacing w:after="0"/>
        <w:tabs>
          <w:tab w:leader="none" w:pos="500" w:val="left"/>
        </w:tabs>
        <w:numPr>
          <w:ilvl w:val="0"/>
          <w:numId w:val="5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method: __________________/___________________.</w:t>
      </w:r>
    </w:p>
    <w:p>
      <w:pPr>
        <w:spacing w:after="0" w:line="213"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shall repay the principal and interest of the loan under this contract to the lender in full and on time on the repayment date and interest payment date specified in this contract.</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repayment date falls on a non lender’s business day, the repayment shall be postponed to the next lender’s business day, and such non lender’s business day shall be counted as the actual number of days occupied by the loan. When the borrower repays the principal of the last installment of the loan, the interest shall be settled along with the principal and shall not be bound by the interest payment date stipulated in Article 5 of this contract.</w:t>
      </w:r>
    </w:p>
    <w:p>
      <w:pPr>
        <w:spacing w:after="0" w:line="189"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fails to repay the loan under the loan contract on time and needs to extend the repayment period, a written loan extension application should be submitted to the lender 10 working days before the loan maturity date. If approved by the lender, both parties shall sign a separate “Loan Extension Contract” as a supplementary contract to this contract.</w:t>
      </w:r>
    </w:p>
    <w:p>
      <w:pPr>
        <w:spacing w:after="0" w:line="177"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cumulative extension period of loans with a term of less than one year shall not exceed the original loan term; The cumulative extension period of loans with a term exceeding one year shall not exceed half of the original loan term.</w:t>
      </w:r>
    </w:p>
    <w:p>
      <w:pPr>
        <w:spacing w:after="0" w:line="15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Early repayment</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shall repay the principal and interest of the loan on the date specified in this contract.</w:t>
      </w:r>
    </w:p>
    <w:p>
      <w:pPr>
        <w:spacing w:after="0" w:line="20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If the borrower requests to repay the principal and interest of the loan in part or in full in advance, they shall notify the lender in written 10 days in advance, and obtain the lender’s written consent. With the written consent of the lender, after the borrower repays a portion of the loan principal and interest in advance, the borrower shall negotiate with the lender to determine the number of repayment periods, repayment time, and repayment amount thereafter. Interest shall be charged on the principal of the loan repaid in advance based on the actual usage period and the loan interest rate agreed upon in this contract. The lender will no longer adjust the loan interest calculated and collected before the early repayment.</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05" w:name="page506"/>
    <w:bookmarkEnd w:id="505"/>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borrower requests early repayment, the lender has the right to demand the borrower to pay a penalty in accordance with the provisions of Article 23, Special Provisions 18 of this contract. If the borrower belongs to small and micro enterprises that comply with national regulations, policies, etc., no penalty will be charged for this breach of contract.</w:t>
      </w:r>
    </w:p>
    <w:p>
      <w:pPr>
        <w:spacing w:after="0" w:line="168" w:lineRule="exact"/>
        <w:rPr>
          <w:sz w:val="20"/>
          <w:szCs w:val="20"/>
          <w:color w:val="auto"/>
        </w:rPr>
      </w:pPr>
    </w:p>
    <w:p>
      <w:pPr>
        <w:jc w:val="both"/>
        <w:ind w:firstLine="289"/>
        <w:spacing w:after="0" w:line="19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borrower fails to fulfill its obligations as stipulated in this contract, the borrower hereby irrevocably authorizes the lender to directly deduct funds from any account opened by the borrower with the lender and all branches and subsidiaries of Industrial Bank without going through judicial procedures, including but not limited to loan principal and interest (including principal, interest, penalty interest, compound interest), liquidated damages, damages, and expenses incurred by the lender in realizing the creditor’s rights. The borrower agrees that the lender has the right to determine the specific order of deduction. If the currency of the funds in the account is inconsistent with the loan currency, the lender has the right to convert them into the loan currency for deduction based on the middle price announced by the lender on the day of deduction. If any account specified in this clause involves wealth management products or structural deposits, the borrower hereby irrevocably authorizes the lender to directly initiate relevant product redemption applications or take other necessary measures on behalf of the lender to ensure the smooth deduction of the above-mentioned funds. The borrower shall provide all necessary cooperation.</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9 Guarantee</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guarantee contract of this contract includes but is not limited to the following contracts: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The Maximum Guarantee Contract (Contract Name) with the serial number BZHQ2024001 is guaranteed by CLPS Shanghai Co., Ltd;</w:t>
      </w:r>
    </w:p>
    <w:p>
      <w:pPr>
        <w:spacing w:after="0" w:line="213"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In addition to the signed guarantee contracts mentioned above, in the event of exchange rate fluctuations or any other events that the lender believes may affect the borrower or guarantor’s ability to perform, the lender has the right to request the borrower to supplement the security deposit or provide new guarantees, and sign relevant guarantee contracts. The borrower shall cooperate as requested by the lender.</w:t>
      </w:r>
    </w:p>
    <w:p>
      <w:pPr>
        <w:spacing w:after="0" w:line="189"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Before the signing of the guarantee contract under this contract and the completion of the guarantee procedures, the lender has the right to temporarily refuse to fulfill all obligations such as loan disbursement under this contract.</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10 Rights and Obligations of Both Parties</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Rights and obligations of the lender</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Rights of the lender:</w:t>
      </w:r>
    </w:p>
    <w:p>
      <w:pPr>
        <w:spacing w:after="0" w:line="201" w:lineRule="exact"/>
        <w:rPr>
          <w:sz w:val="20"/>
          <w:szCs w:val="20"/>
          <w:color w:val="auto"/>
        </w:rPr>
      </w:pPr>
    </w:p>
    <w:p>
      <w:pPr>
        <w:ind w:left="460" w:hanging="175"/>
        <w:spacing w:after="0"/>
        <w:tabs>
          <w:tab w:leader="none" w:pos="460" w:val="left"/>
        </w:tabs>
        <w:numPr>
          <w:ilvl w:val="0"/>
          <w:numId w:val="52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the right to request genuine information, including personal information, from the borrower;</w:t>
      </w:r>
    </w:p>
    <w:p>
      <w:pPr>
        <w:spacing w:after="0" w:line="201" w:lineRule="exact"/>
        <w:rPr>
          <w:sz w:val="20"/>
          <w:szCs w:val="20"/>
          <w:color w:val="auto"/>
        </w:rPr>
      </w:pPr>
    </w:p>
    <w:p>
      <w:pPr>
        <w:ind w:left="460" w:hanging="175"/>
        <w:spacing w:after="0"/>
        <w:tabs>
          <w:tab w:leader="none" w:pos="460" w:val="left"/>
        </w:tabs>
        <w:numPr>
          <w:ilvl w:val="0"/>
          <w:numId w:val="52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the right to demand timely repayment of the loan principal and interest;</w:t>
      </w:r>
    </w:p>
    <w:p>
      <w:pPr>
        <w:spacing w:after="0" w:line="201" w:lineRule="exact"/>
        <w:rPr>
          <w:sz w:val="20"/>
          <w:szCs w:val="20"/>
          <w:color w:val="auto"/>
        </w:rPr>
      </w:pPr>
    </w:p>
    <w:p>
      <w:pPr>
        <w:ind w:left="460" w:hanging="175"/>
        <w:spacing w:after="0"/>
        <w:tabs>
          <w:tab w:leader="none" w:pos="460" w:val="left"/>
        </w:tabs>
        <w:numPr>
          <w:ilvl w:val="0"/>
          <w:numId w:val="52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request the borrower to provide various information related to the loan;</w:t>
      </w:r>
    </w:p>
    <w:p>
      <w:pPr>
        <w:spacing w:after="0" w:line="201" w:lineRule="exact"/>
        <w:rPr>
          <w:sz w:val="20"/>
          <w:szCs w:val="20"/>
          <w:color w:val="auto"/>
        </w:rPr>
      </w:pPr>
    </w:p>
    <w:p>
      <w:pPr>
        <w:ind w:left="460" w:hanging="175"/>
        <w:spacing w:after="0"/>
        <w:tabs>
          <w:tab w:leader="none" w:pos="460" w:val="left"/>
        </w:tabs>
        <w:numPr>
          <w:ilvl w:val="0"/>
          <w:numId w:val="52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understand the borrower’s production, operation, and financial situation;</w:t>
      </w:r>
    </w:p>
    <w:p>
      <w:pPr>
        <w:spacing w:after="0" w:line="201" w:lineRule="exact"/>
        <w:rPr>
          <w:sz w:val="20"/>
          <w:szCs w:val="20"/>
          <w:color w:val="auto"/>
        </w:rPr>
      </w:pPr>
    </w:p>
    <w:p>
      <w:pPr>
        <w:ind w:left="5560" w:right="4500" w:hanging="5275"/>
        <w:spacing w:after="0" w:line="785" w:lineRule="auto"/>
        <w:tabs>
          <w:tab w:leader="none" w:pos="465" w:val="left"/>
        </w:tabs>
        <w:numPr>
          <w:ilvl w:val="0"/>
          <w:numId w:val="52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supervise the borrower to use the loan for the purposes specified in this contract;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147560" cy="152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6" w:name="page507"/>
    <w:bookmarkEnd w:id="506"/>
    <w:p>
      <w:pPr>
        <w:ind w:left="420" w:hanging="175"/>
        <w:spacing w:after="0"/>
        <w:tabs>
          <w:tab w:leader="none" w:pos="420" w:val="left"/>
        </w:tabs>
        <w:numPr>
          <w:ilvl w:val="0"/>
          <w:numId w:val="52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supervise the use of loans and make requests;</w:t>
      </w:r>
    </w:p>
    <w:p>
      <w:pPr>
        <w:spacing w:after="0" w:line="201" w:lineRule="exact"/>
        <w:rPr>
          <w:sz w:val="20"/>
          <w:szCs w:val="20"/>
          <w:color w:val="auto"/>
        </w:rPr>
      </w:pPr>
    </w:p>
    <w:p>
      <w:pPr>
        <w:ind w:left="-40" w:right="20" w:firstLine="285"/>
        <w:spacing w:after="0" w:line="283" w:lineRule="auto"/>
        <w:tabs>
          <w:tab w:leader="none" w:pos="439" w:val="left"/>
        </w:tabs>
        <w:numPr>
          <w:ilvl w:val="0"/>
          <w:numId w:val="52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borrower bears multiple debts of the same type to the lender, and the borrower’s payment is insufficient or may not be sufficient to repay all the debts, the lender shall determine the specific order of repayment or deduction during the repayment process;</w:t>
      </w:r>
    </w:p>
    <w:p>
      <w:pPr>
        <w:spacing w:after="0" w:line="143" w:lineRule="exact"/>
        <w:rPr>
          <w:sz w:val="20"/>
          <w:szCs w:val="20"/>
          <w:color w:val="auto"/>
        </w:rPr>
      </w:pPr>
    </w:p>
    <w:p>
      <w:pPr>
        <w:jc w:val="both"/>
        <w:ind w:left="-40" w:firstLine="285"/>
        <w:spacing w:after="0" w:line="256" w:lineRule="auto"/>
        <w:tabs>
          <w:tab w:leader="none" w:pos="454" w:val="left"/>
        </w:tabs>
        <w:numPr>
          <w:ilvl w:val="0"/>
          <w:numId w:val="52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the right to deduct the loan principal and interest (including principal, interest, penalty interest, compound interest), liquidated damages, damages, and the lender’s expenses for realizing the creditor’s rights from any account opened by the borrower with the lender and all branches and subsidiaries of Industrial Bank without going through judicial procedures. The borrower agrees that the lender has the right to decide on the specific deduction order. If the currency of the funds in the account is different from the loan currency, the lender has the right to convert them into the loan currency for deduction based on the middle price announced by the lender on the deduction day; If any account specified in this clause involves wealth management products or structured deposits, the borrower hereby irrevocably authorizes the lender to directly initiate relevant product redemption applications or take other necessary measures on behalf of the lender to ensure the smooth deduction of the above-mentioned funds;</w:t>
      </w:r>
    </w:p>
    <w:p>
      <w:pPr>
        <w:spacing w:after="0" w:line="165" w:lineRule="exact"/>
        <w:rPr>
          <w:sz w:val="20"/>
          <w:szCs w:val="20"/>
          <w:color w:val="auto"/>
        </w:rPr>
      </w:pPr>
    </w:p>
    <w:p>
      <w:pPr>
        <w:ind w:left="-40" w:right="20" w:firstLine="285"/>
        <w:spacing w:after="0" w:line="283" w:lineRule="auto"/>
        <w:tabs>
          <w:tab w:leader="none" w:pos="471" w:val="left"/>
        </w:tabs>
        <w:numPr>
          <w:ilvl w:val="0"/>
          <w:numId w:val="52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lender has the right to transfer all the creditor’s rights and security interests under this contract to a third party at any time without obtaining the borrower’s consent. The lender transfers the loan and security interests under this contract, and the borrower still assumes all obligations under this contract;</w:t>
      </w:r>
    </w:p>
    <w:p>
      <w:pPr>
        <w:spacing w:after="0" w:line="143" w:lineRule="exact"/>
        <w:rPr>
          <w:sz w:val="20"/>
          <w:szCs w:val="20"/>
          <w:color w:val="auto"/>
        </w:rPr>
      </w:pPr>
    </w:p>
    <w:p>
      <w:pPr>
        <w:jc w:val="both"/>
        <w:ind w:left="-40" w:firstLine="285"/>
        <w:spacing w:after="0" w:line="256" w:lineRule="auto"/>
        <w:tabs>
          <w:tab w:leader="none" w:pos="450" w:val="left"/>
        </w:tabs>
        <w:numPr>
          <w:ilvl w:val="0"/>
          <w:numId w:val="52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borrower fails to repay the loan principal and interest in accordance with the contract, or fails to implement the repayment of principal and interest, or violates any obligations stipulated in this contract, the lender has the right to report and disclose the borrower’s breach of trust information to the People’s Bank of China and its established or approved credit reporting agencies and credit reporting systems, or banking associations, banking supervision agencies, or other administrative/judicial/supervisory departments and their established or recognized information management systems or news media, and take legal measures such as collection, litigation, arbitration, or applying to a notary public to issue an execution certificate. At the same time, the lender may take or cooperate with other banking and financial institutions to reduce or stop credit, stop opening new settlement accounts, and suspend the borrower’s legal representative/borrower’s new credit cards, etc. Disciplinary and rights protection measures;</w:t>
      </w:r>
    </w:p>
    <w:p>
      <w:pPr>
        <w:spacing w:after="0" w:line="177" w:lineRule="exact"/>
        <w:rPr>
          <w:sz w:val="20"/>
          <w:szCs w:val="20"/>
          <w:color w:val="auto"/>
        </w:rPr>
      </w:pPr>
    </w:p>
    <w:p>
      <w:pPr>
        <w:ind w:left="240"/>
        <w:spacing w:after="0" w:line="184" w:lineRule="exact"/>
        <w:rPr>
          <w:sz w:val="20"/>
          <w:szCs w:val="20"/>
          <w:color w:val="auto"/>
        </w:rPr>
      </w:pPr>
      <w:r>
        <w:rPr>
          <w:rFonts w:ascii="MS PGothic" w:cs="MS PGothic" w:eastAsia="MS PGothic" w:hAnsi="MS PGothic"/>
          <w:sz w:val="16"/>
          <w:szCs w:val="16"/>
          <w:color w:val="auto"/>
        </w:rPr>
        <w:t>⑪</w:t>
      </w:r>
      <w:r>
        <w:rPr>
          <w:rFonts w:ascii="Times New Roman" w:cs="Times New Roman" w:eastAsia="Times New Roman" w:hAnsi="Times New Roman"/>
          <w:sz w:val="16"/>
          <w:szCs w:val="16"/>
          <w:color w:val="auto"/>
        </w:rPr>
        <w:t>The right to unilaterally decide to receive the loan in advance based on the borrower’s fund withdrawal situation;</w:t>
      </w:r>
    </w:p>
    <w:p>
      <w:pPr>
        <w:spacing w:after="0" w:line="225" w:lineRule="exact"/>
        <w:rPr>
          <w:sz w:val="20"/>
          <w:szCs w:val="20"/>
          <w:color w:val="auto"/>
        </w:rPr>
      </w:pPr>
    </w:p>
    <w:p>
      <w:pPr>
        <w:ind w:left="-40" w:right="20" w:firstLine="285"/>
        <w:spacing w:after="0" w:line="299" w:lineRule="auto"/>
        <w:tabs>
          <w:tab w:leader="none" w:pos="423" w:val="left"/>
        </w:tabs>
        <w:numPr>
          <w:ilvl w:val="0"/>
          <w:numId w:val="5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When there are exchange rate fluctuations or other situations that creditors believe may affect their creditor’s security, the debtor has the obligation to supplement collateral such as margin as requested by the creditor, or implement other risk mitigation measures recognized by the creditor;</w:t>
      </w:r>
    </w:p>
    <w:p>
      <w:pPr>
        <w:spacing w:after="0" w:line="143" w:lineRule="exact"/>
        <w:rPr>
          <w:sz w:val="20"/>
          <w:szCs w:val="20"/>
          <w:color w:val="auto"/>
        </w:rPr>
      </w:pPr>
    </w:p>
    <w:p>
      <w:pPr>
        <w:ind w:left="240"/>
        <w:spacing w:after="0" w:line="184" w:lineRule="exact"/>
        <w:rPr>
          <w:sz w:val="20"/>
          <w:szCs w:val="20"/>
          <w:color w:val="auto"/>
        </w:rPr>
      </w:pPr>
      <w:r>
        <w:rPr>
          <w:rFonts w:ascii="MS PGothic" w:cs="MS PGothic" w:eastAsia="MS PGothic" w:hAnsi="MS PGothic"/>
          <w:sz w:val="16"/>
          <w:szCs w:val="16"/>
          <w:color w:val="auto"/>
        </w:rPr>
        <w:t>⑬</w:t>
      </w:r>
      <w:r>
        <w:rPr>
          <w:rFonts w:ascii="Times New Roman" w:cs="Times New Roman" w:eastAsia="Times New Roman" w:hAnsi="Times New Roman"/>
          <w:sz w:val="16"/>
          <w:szCs w:val="16"/>
          <w:color w:val="auto"/>
        </w:rPr>
        <w:t>The right to enjoy other rights stipulated by laws, regulations, rules or as stipulated in this contract.</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 Obligations of the lender:</w:t>
      </w:r>
    </w:p>
    <w:p>
      <w:pPr>
        <w:spacing w:after="0" w:line="213" w:lineRule="exact"/>
        <w:rPr>
          <w:sz w:val="20"/>
          <w:szCs w:val="20"/>
          <w:color w:val="auto"/>
        </w:rPr>
      </w:pPr>
    </w:p>
    <w:p>
      <w:pPr>
        <w:ind w:left="540" w:hanging="295"/>
        <w:spacing w:after="0"/>
        <w:tabs>
          <w:tab w:leader="none" w:pos="540" w:val="left"/>
        </w:tabs>
        <w:numPr>
          <w:ilvl w:val="0"/>
          <w:numId w:val="53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disburse and pay the loan funds in accordance with the provisions of this contract;</w:t>
      </w:r>
    </w:p>
    <w:p>
      <w:pPr>
        <w:spacing w:after="0" w:line="225" w:lineRule="exact"/>
        <w:rPr>
          <w:sz w:val="20"/>
          <w:szCs w:val="20"/>
          <w:color w:val="auto"/>
        </w:rPr>
      </w:pPr>
    </w:p>
    <w:p>
      <w:pPr>
        <w:ind w:left="240" w:right="2860" w:firstLine="5"/>
        <w:spacing w:after="0" w:line="509" w:lineRule="auto"/>
        <w:tabs>
          <w:tab w:leader="none" w:pos="541" w:val="left"/>
        </w:tabs>
        <w:numPr>
          <w:ilvl w:val="0"/>
          <w:numId w:val="53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Keep the borrower’s debts, finances, production, and business operations confidential, except for the following situations: Legal and regulatory provisions;</w:t>
      </w:r>
    </w:p>
    <w:p>
      <w:pPr>
        <w:spacing w:after="0" w:line="1" w:lineRule="exact"/>
        <w:rPr>
          <w:rFonts w:ascii="MS PGothic" w:cs="MS PGothic" w:eastAsia="MS PGothic" w:hAnsi="MS PGothic"/>
          <w:sz w:val="16"/>
          <w:szCs w:val="16"/>
          <w:color w:val="auto"/>
        </w:rPr>
      </w:pPr>
    </w:p>
    <w:p>
      <w:pPr>
        <w:ind w:left="2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Regulatory regulations or requirements;</w:t>
      </w:r>
    </w:p>
    <w:p>
      <w:pPr>
        <w:spacing w:after="0" w:line="200" w:lineRule="exact"/>
        <w:rPr>
          <w:rFonts w:ascii="MS PGothic" w:cs="MS PGothic" w:eastAsia="MS PGothic" w:hAnsi="MS PGothic"/>
          <w:sz w:val="16"/>
          <w:szCs w:val="16"/>
          <w:color w:val="auto"/>
        </w:rPr>
      </w:pPr>
    </w:p>
    <w:p>
      <w:pPr>
        <w:ind w:left="2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Disclose information to the cooperating parties of the lender.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147560" cy="152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20"/>
          </w:cols>
          <w:pgMar w:left="360" w:top="820" w:right="319" w:bottom="1440" w:gutter="0" w:footer="0" w:header="0"/>
        </w:sectPr>
      </w:pPr>
    </w:p>
    <w:bookmarkStart w:id="507" w:name="page508"/>
    <w:bookmarkEnd w:id="507"/>
    <w:p>
      <w:pPr>
        <w:ind w:left="280"/>
        <w:spacing w:after="0" w:line="195"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Rights and obligations of the borrower</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borrower has the following rights:</w:t>
      </w:r>
    </w:p>
    <w:p>
      <w:pPr>
        <w:spacing w:after="0" w:line="213" w:lineRule="exact"/>
        <w:rPr>
          <w:sz w:val="20"/>
          <w:szCs w:val="20"/>
          <w:color w:val="auto"/>
        </w:rPr>
      </w:pPr>
    </w:p>
    <w:p>
      <w:pPr>
        <w:ind w:left="580" w:hanging="295"/>
        <w:spacing w:after="0"/>
        <w:tabs>
          <w:tab w:leader="none" w:pos="580" w:val="left"/>
        </w:tabs>
        <w:numPr>
          <w:ilvl w:val="0"/>
          <w:numId w:val="53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right to withdraw and use all loans in accordance with the provisions of this contract;</w:t>
      </w:r>
    </w:p>
    <w:p>
      <w:pPr>
        <w:spacing w:after="0" w:line="225" w:lineRule="exact"/>
        <w:rPr>
          <w:sz w:val="20"/>
          <w:szCs w:val="20"/>
          <w:color w:val="auto"/>
        </w:rPr>
      </w:pPr>
    </w:p>
    <w:p>
      <w:pPr>
        <w:ind w:left="580" w:hanging="295"/>
        <w:spacing w:after="0"/>
        <w:tabs>
          <w:tab w:leader="none" w:pos="580" w:val="left"/>
        </w:tabs>
        <w:numPr>
          <w:ilvl w:val="0"/>
          <w:numId w:val="53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lender has the right to demand that they assume confidentiality obligations for the information provided in accordance with the provisions of this contract.</w:t>
      </w:r>
    </w:p>
    <w:p>
      <w:pPr>
        <w:spacing w:after="0" w:line="224" w:lineRule="exact"/>
        <w:rPr>
          <w:rFonts w:ascii="MS PGothic" w:cs="MS PGothic" w:eastAsia="MS PGothic" w:hAnsi="MS PGothic"/>
          <w:sz w:val="16"/>
          <w:szCs w:val="16"/>
          <w:color w:val="auto"/>
        </w:rPr>
      </w:pPr>
    </w:p>
    <w:p>
      <w:pPr>
        <w:ind w:left="280"/>
        <w:spacing w:after="0" w:line="195" w:lineRule="exact"/>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(2) Borrower’s Obligations</w:t>
      </w:r>
      <w:r>
        <w:rPr>
          <w:rFonts w:ascii="SimSun" w:cs="SimSun" w:eastAsia="SimSun" w:hAnsi="SimSun"/>
          <w:sz w:val="16"/>
          <w:szCs w:val="16"/>
          <w:color w:val="auto"/>
        </w:rPr>
        <w:t>：</w:t>
      </w:r>
    </w:p>
    <w:p>
      <w:pPr>
        <w:spacing w:after="0" w:line="214" w:lineRule="exact"/>
        <w:rPr>
          <w:sz w:val="20"/>
          <w:szCs w:val="20"/>
          <w:color w:val="auto"/>
        </w:rPr>
      </w:pPr>
    </w:p>
    <w:p>
      <w:pPr>
        <w:ind w:right="20" w:firstLine="285"/>
        <w:spacing w:after="0" w:line="299" w:lineRule="auto"/>
        <w:tabs>
          <w:tab w:leader="none" w:pos="589" w:val="left"/>
        </w:tabs>
        <w:numPr>
          <w:ilvl w:val="0"/>
          <w:numId w:val="53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shall truthfully provide the required documents and materials, including all account opening banks, account numbers, deposit and loan balances, as well as relevant personal information, and cooperate with the lender’s investigation, review, and inspection;</w:t>
      </w:r>
    </w:p>
    <w:p>
      <w:pPr>
        <w:spacing w:after="0" w:line="143" w:lineRule="exact"/>
        <w:rPr>
          <w:sz w:val="20"/>
          <w:szCs w:val="20"/>
          <w:color w:val="auto"/>
        </w:rPr>
      </w:pPr>
    </w:p>
    <w:p>
      <w:pPr>
        <w:ind w:right="20" w:firstLine="285"/>
        <w:spacing w:after="0" w:line="299" w:lineRule="auto"/>
        <w:tabs>
          <w:tab w:leader="none" w:pos="631" w:val="left"/>
        </w:tabs>
        <w:numPr>
          <w:ilvl w:val="0"/>
          <w:numId w:val="5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Accept the lender’s supervision or inspection of its use of credit funds and related production, operation, and financial activities, and promptly take reasonable measures to address the lender’s suggestions or requirements;</w:t>
      </w:r>
    </w:p>
    <w:p>
      <w:pPr>
        <w:spacing w:after="0" w:line="143" w:lineRule="exact"/>
        <w:rPr>
          <w:sz w:val="20"/>
          <w:szCs w:val="20"/>
          <w:color w:val="auto"/>
        </w:rPr>
      </w:pPr>
    </w:p>
    <w:p>
      <w:pPr>
        <w:jc w:val="both"/>
        <w:ind w:firstLine="285"/>
        <w:spacing w:after="0" w:line="260" w:lineRule="auto"/>
        <w:tabs>
          <w:tab w:leader="none" w:pos="643" w:val="left"/>
        </w:tabs>
        <w:numPr>
          <w:ilvl w:val="0"/>
          <w:numId w:val="53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loan shall be used for the purpose agreed in this contract, not for other purposes, and shall not be used for fixed assets investment; Engaging in equity investments without borrowing; Not used in areas and purposes prohibited by the state for production/operation; No need to borrow money to speculate or invest in financial products such as stocks, securities, futures, and wealth management products; No need to borrow money to purchase property or engage in/invest in the real estate industry, etc; Engaging in borrowing activities between enterprises or between enterprises and individuals without borrowing money; No need to borrow money to seek illegal income; Not to use illegal means to obtain credit funds, and not to occupy or misappropriate loans in other ways; Not borrowing to engage in other illegal activities or other fields that violate national laws and policies; And engaging in areas where regulatory agencies prohibit the entry of bank credit funds without borrowing;</w:t>
      </w:r>
    </w:p>
    <w:p>
      <w:pPr>
        <w:spacing w:after="0" w:line="175" w:lineRule="exact"/>
        <w:rPr>
          <w:sz w:val="20"/>
          <w:szCs w:val="20"/>
          <w:color w:val="auto"/>
        </w:rPr>
      </w:pPr>
    </w:p>
    <w:p>
      <w:pPr>
        <w:ind w:left="580" w:hanging="295"/>
        <w:spacing w:after="0"/>
        <w:tabs>
          <w:tab w:leader="none" w:pos="580" w:val="left"/>
        </w:tabs>
        <w:numPr>
          <w:ilvl w:val="0"/>
          <w:numId w:val="5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According to Article 7 of this contract, accept the lender’s monitoring of the borrower’s account and management of loan fund payments;</w:t>
      </w:r>
    </w:p>
    <w:p>
      <w:pPr>
        <w:spacing w:after="0" w:line="225" w:lineRule="exact"/>
        <w:rPr>
          <w:sz w:val="20"/>
          <w:szCs w:val="20"/>
          <w:color w:val="auto"/>
        </w:rPr>
      </w:pPr>
    </w:p>
    <w:p>
      <w:pPr>
        <w:ind w:left="580" w:hanging="295"/>
        <w:spacing w:after="0" w:line="195" w:lineRule="exact"/>
        <w:tabs>
          <w:tab w:leader="none" w:pos="580" w:val="left"/>
        </w:tabs>
        <w:numPr>
          <w:ilvl w:val="0"/>
          <w:numId w:val="53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principal and interest of the loan shall be repaid in full and on time in accordance with the provisions of this contract</w:t>
      </w:r>
      <w:r>
        <w:rPr>
          <w:rFonts w:ascii="SimSun" w:cs="SimSun" w:eastAsia="SimSun" w:hAnsi="SimSun"/>
          <w:sz w:val="16"/>
          <w:szCs w:val="16"/>
          <w:color w:val="auto"/>
        </w:rPr>
        <w:t>；</w:t>
      </w:r>
    </w:p>
    <w:p>
      <w:pPr>
        <w:spacing w:after="0" w:line="214" w:lineRule="exact"/>
        <w:rPr>
          <w:sz w:val="20"/>
          <w:szCs w:val="20"/>
          <w:color w:val="auto"/>
        </w:rPr>
      </w:pPr>
    </w:p>
    <w:p>
      <w:pPr>
        <w:ind w:left="580" w:hanging="295"/>
        <w:spacing w:after="0"/>
        <w:tabs>
          <w:tab w:leader="none" w:pos="580" w:val="left"/>
        </w:tabs>
        <w:numPr>
          <w:ilvl w:val="0"/>
          <w:numId w:val="54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Without the written consent of the lender, the debt under this contract shall not be transferred in whole or in part to a third party;</w:t>
      </w:r>
    </w:p>
    <w:p>
      <w:pPr>
        <w:spacing w:after="0" w:line="225" w:lineRule="exact"/>
        <w:rPr>
          <w:sz w:val="20"/>
          <w:szCs w:val="20"/>
          <w:color w:val="auto"/>
        </w:rPr>
      </w:pPr>
    </w:p>
    <w:p>
      <w:pPr>
        <w:ind w:left="580" w:hanging="295"/>
        <w:spacing w:after="0"/>
        <w:tabs>
          <w:tab w:leader="none" w:pos="580" w:val="left"/>
        </w:tabs>
        <w:numPr>
          <w:ilvl w:val="0"/>
          <w:numId w:val="54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Not reducing registered capital in any way; Without the written consent of the lender, the subscription period for registered capital shall not be extended;</w:t>
      </w:r>
    </w:p>
    <w:p>
      <w:pPr>
        <w:spacing w:after="0" w:line="225" w:lineRule="exact"/>
        <w:rPr>
          <w:sz w:val="20"/>
          <w:szCs w:val="20"/>
          <w:color w:val="auto"/>
        </w:rPr>
      </w:pPr>
    </w:p>
    <w:p>
      <w:pPr>
        <w:jc w:val="both"/>
        <w:ind w:right="20" w:firstLine="285"/>
        <w:spacing w:after="0" w:line="275" w:lineRule="auto"/>
        <w:tabs>
          <w:tab w:leader="none" w:pos="608" w:val="left"/>
        </w:tabs>
        <w:numPr>
          <w:ilvl w:val="0"/>
          <w:numId w:val="5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Before any major events such as merger, division, equity transfer, external investment, or substantial increase in debt financing occur, the borrower shall notify the lender in writing at least 30 working days in advance and obtain the lender’s written consent. The borrower shall actively implement the guarantee measures for timely and full repayment of the loan principal and interest under this contract in accordance with the lender’s requirements. The above major issues include but are not limited to:</w:t>
      </w:r>
    </w:p>
    <w:p>
      <w:pPr>
        <w:spacing w:after="0" w:line="149"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Applying for loans or liabilities from banks or other third parties, or providing loans to third parties, or providing guarantees for the debts of third parties, which substantially increases debt financing and affects or may affect the repayment of loan principal and interest;</w:t>
      </w:r>
    </w:p>
    <w:p>
      <w:pPr>
        <w:spacing w:after="0" w:line="143"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Make significant changes in property rights and adjustments to business operations (including but not limited to signing joint venture or cooperation contracts with foreign investors, Hong Kong, Macao, and Taiwan merchants; revoking, closing, stopping production, or transferring production; separating, merging, merging, or being merged; restructuring, forming, or transforming into a joint-stock company; external investment; investing in fixed assets such as houses, machinery and equipment, or intangible assets such as trademarks, patents, proprietary technologies, land use rights, or investing in joint-stock companies or investment companies, and conducting property rights and management rights transactions through leasing, contracting, joint ventures, custody, etc.);</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08" w:name="page509"/>
    <w:bookmarkEnd w:id="508"/>
    <w:p>
      <w:pPr>
        <w:ind w:left="240"/>
        <w:spacing w:after="0"/>
        <w:rPr>
          <w:sz w:val="20"/>
          <w:szCs w:val="20"/>
          <w:color w:val="auto"/>
        </w:rPr>
      </w:pPr>
      <w:r>
        <w:rPr>
          <w:rFonts w:ascii="Times New Roman" w:cs="Times New Roman" w:eastAsia="Times New Roman" w:hAnsi="Times New Roman"/>
          <w:sz w:val="16"/>
          <w:szCs w:val="16"/>
          <w:color w:val="auto"/>
        </w:rPr>
        <w:t>The change of equity meets the circumstances stipulated in Article 23, Special Provisions, and Article 20 of this contract.</w:t>
      </w:r>
    </w:p>
    <w:p>
      <w:pPr>
        <w:spacing w:after="0" w:line="201" w:lineRule="exact"/>
        <w:rPr>
          <w:sz w:val="20"/>
          <w:szCs w:val="20"/>
          <w:color w:val="auto"/>
        </w:rPr>
      </w:pPr>
    </w:p>
    <w:p>
      <w:pPr>
        <w:ind w:left="-40" w:firstLine="285"/>
        <w:spacing w:after="0" w:line="283" w:lineRule="auto"/>
        <w:tabs>
          <w:tab w:leader="none" w:pos="465" w:val="left"/>
        </w:tabs>
        <w:numPr>
          <w:ilvl w:val="0"/>
          <w:numId w:val="5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shall notify the lender in writing within 7 working days from the date of occurrence or possible occurrence of the following situations, and actively implement the guarantee measures for timely and full repayment of the loan principal and interest under this contract in accordance with the lender’s requirements: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Significant financial losses, asset losses, or other financial crises occur;</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the event of suspension of business, revocation or cancellation of business license, application or application for bankruptcy, dissolution, etc;</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If there is a significant crisis in the operation or finance of its controlling shareholders and other affiliated companies, which affects its normal operation;</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borrower’s legal representative, directors, or senior management personnel undergo personnel changes that affect their normal operations;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guarantor’s equity has changed to meet the circumstances stipulated in Article 23, Special Provisions, and Article 21 of this contract;</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There is a significant related party transaction between the borrower and its controlling shareholder or other related companies, which affects its normal operation;</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litigation, arbitration, criminal or administrative penalty that has a significant adverse effect on its business or property condition;</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Other significant events that may affect its ability to repay debts occur.</w:t>
      </w:r>
    </w:p>
    <w:p>
      <w:pPr>
        <w:spacing w:after="0" w:line="201" w:lineRule="exact"/>
        <w:rPr>
          <w:sz w:val="20"/>
          <w:szCs w:val="20"/>
          <w:color w:val="auto"/>
        </w:rPr>
      </w:pPr>
    </w:p>
    <w:p>
      <w:pPr>
        <w:ind w:left="-40" w:firstLine="285"/>
        <w:spacing w:after="0" w:line="283" w:lineRule="auto"/>
        <w:tabs>
          <w:tab w:leader="none" w:pos="459" w:val="left"/>
        </w:tabs>
        <w:numPr>
          <w:ilvl w:val="0"/>
          <w:numId w:val="54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At the request of the lender (which request to notify the borrower in advance in a reasonable manner, unless prior notice is not required due to the occurrence of a breach or potential breach or due to specific circumstances), representatives of the lender are allowed to engage in the following activities during normal office hours: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Visit the location where the borrower conducts business activities;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Visit the location where the borrower conducts business activities;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Query the borrower’s account book records and all other records;</w:t>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Inquire with the borrower’s employees, agents, contractors, and subcontractors who are aware or may be aware of the relevant information required by the lender.</w:t>
      </w:r>
    </w:p>
    <w:p>
      <w:pPr>
        <w:spacing w:after="0" w:line="213" w:lineRule="exact"/>
        <w:rPr>
          <w:sz w:val="20"/>
          <w:szCs w:val="20"/>
          <w:color w:val="auto"/>
        </w:rPr>
      </w:pPr>
    </w:p>
    <w:p>
      <w:pPr>
        <w:ind w:left="-40" w:firstLine="285"/>
        <w:spacing w:after="0" w:line="299" w:lineRule="auto"/>
        <w:tabs>
          <w:tab w:leader="none" w:pos="426" w:val="left"/>
        </w:tabs>
        <w:numPr>
          <w:ilvl w:val="0"/>
          <w:numId w:val="54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guarantees to maintain its current assets and net asset value, asset liability ratio, asset current ratio, and other financial conditions within the scope specified in Article 23, Special Provisions 22 of this contract during the loan period.</w:t>
      </w:r>
    </w:p>
    <w:p>
      <w:pPr>
        <w:spacing w:after="0" w:line="143" w:lineRule="exact"/>
        <w:rPr>
          <w:sz w:val="20"/>
          <w:szCs w:val="20"/>
          <w:color w:val="auto"/>
        </w:rPr>
      </w:pPr>
    </w:p>
    <w:p>
      <w:pPr>
        <w:ind w:left="240"/>
        <w:spacing w:after="0" w:line="184" w:lineRule="exact"/>
        <w:rPr>
          <w:sz w:val="20"/>
          <w:szCs w:val="20"/>
          <w:color w:val="auto"/>
        </w:rPr>
      </w:pPr>
      <w:r>
        <w:rPr>
          <w:rFonts w:ascii="MS PGothic" w:cs="MS PGothic" w:eastAsia="MS PGothic" w:hAnsi="MS PGothic"/>
          <w:sz w:val="16"/>
          <w:szCs w:val="16"/>
          <w:color w:val="auto"/>
        </w:rPr>
        <w:t>⑫</w:t>
      </w:r>
      <w:r>
        <w:rPr>
          <w:rFonts w:ascii="Times New Roman" w:cs="Times New Roman" w:eastAsia="Times New Roman" w:hAnsi="Times New Roman"/>
          <w:sz w:val="16"/>
          <w:szCs w:val="16"/>
          <w:color w:val="auto"/>
        </w:rPr>
        <w:t>For the collection letter or document sent or otherwise delivered by the lender to the borrower, the borrower must sign for it and hand over the receipt to the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15875</wp:posOffset>
            </wp:positionV>
            <wp:extent cx="7147560" cy="152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00"/>
          </w:cols>
          <w:pgMar w:left="360" w:top="820" w:right="339" w:bottom="1440" w:gutter="0" w:footer="0" w:header="0"/>
        </w:sectPr>
      </w:pPr>
    </w:p>
    <w:bookmarkStart w:id="509" w:name="page510"/>
    <w:bookmarkEnd w:id="509"/>
    <w:p>
      <w:pPr>
        <w:ind w:left="280"/>
        <w:spacing w:after="0"/>
        <w:rPr>
          <w:sz w:val="20"/>
          <w:szCs w:val="20"/>
          <w:color w:val="auto"/>
        </w:rPr>
      </w:pPr>
      <w:r>
        <w:rPr>
          <w:rFonts w:ascii="Times New Roman" w:cs="Times New Roman" w:eastAsia="Times New Roman" w:hAnsi="Times New Roman"/>
          <w:sz w:val="16"/>
          <w:szCs w:val="16"/>
          <w:b w:val="1"/>
          <w:bCs w:val="1"/>
          <w:color w:val="auto"/>
        </w:rPr>
        <w:t>Article 11 Declaration and Commitment of the Borrower</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voluntarily makes the following statements and commitments, and assumes legal responsibility for the authenticity of their content:</w:t>
      </w:r>
    </w:p>
    <w:p>
      <w:pPr>
        <w:spacing w:after="0" w:line="21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is a legal entity established and validly existing under the laws of the People’s Republic of China, with full civil capacity. The borrower guarantees to provide relevant certificates, permits, certificates, and other documents as requested by the lender.</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 xml:space="preserve">2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has sufficient ability to fulfill all obligations and responsibilities under this contract, and shall not be relieved or exempted from its repayment responsibility due to any instructions, changes in financial status, or agreements signed with any unit.</w:t>
      </w:r>
    </w:p>
    <w:p>
      <w:pPr>
        <w:spacing w:after="0" w:line="190"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has full authorization and legal rights to sign this contract. The borrower has obtained and completed all internal approvals, authorizations, or other related procedures required for</w:t>
      </w:r>
    </w:p>
    <w:p>
      <w:pPr>
        <w:spacing w:after="0" w:line="2"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the signing and performance of this contract, and has obtained and completed all necessary approvals, registrations, authorizations, approvals, permits, or other related procedures from any government department or other authority required for the signing and performance of this contract. All approvals, registrations, approvals, permits, authorizations, and other related procedures required for the signing of this contract shall remain fully legal and valid.</w:t>
      </w:r>
    </w:p>
    <w:p>
      <w:pPr>
        <w:spacing w:after="0" w:line="176"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borrower’s signing of this contract fully complies with the borrower’s relevant articles of association, internal decisions, and resolutions of the shareholders’ meeting and board of directors, and undertakes that such internal decisions, shareholders’ meeting and board of directors resolutions fully comply with national laws and regulations and the company’s articles of association, and there is no invalidity, non establishment or revocability. This contract also does not conflict or violate any of the borrower’s articles of association, internal decisions, shareholder meetings, board resolutions, or borrower policies.</w:t>
      </w:r>
    </w:p>
    <w:p>
      <w:pPr>
        <w:spacing w:after="0" w:line="190"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 xml:space="preserve">5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signing and performance of this contract is based on the borrower’s true expression of intention. The loan financing meets the requirements of laws and regulations, and the signing and performance of this contract do not violate any binding laws, regulations, rules or contractual provisions on the borrower. This contract is legal, valid, and enforceable. If the borrower’s rights defects during the signing and performance of this contract render this contract invalid, the borrower will immediately and unconditionally compensate the lender for all losses.</w:t>
      </w:r>
    </w:p>
    <w:p>
      <w:pPr>
        <w:spacing w:after="0" w:line="190"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All documents, financial statements, and other information provided by the borrower to the lender under this contract are true, complete, accurate, and valid, and shall continue to maintain all financial indicators required by the lender.</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agrees that the loan business under this contract shall be bound by the lender’s regulations, practices, and practices. The lender has the right to recover the loan in advance based on the borrower’s fund recovery situation.</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8</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bears multiple debts of the same type to the lender, and the borrower’s payment is insufficient or may not be sufficient to repay all the debts, the lender shall decide on the specific order of repayment or deduction.</w:t>
      </w:r>
    </w:p>
    <w:p>
      <w:pPr>
        <w:spacing w:after="0" w:line="190" w:lineRule="exact"/>
        <w:rPr>
          <w:sz w:val="20"/>
          <w:szCs w:val="20"/>
          <w:color w:val="auto"/>
        </w:rPr>
      </w:pPr>
    </w:p>
    <w:p>
      <w:pPr>
        <w:jc w:val="both"/>
        <w:ind w:firstLine="289"/>
        <w:spacing w:after="0" w:line="197" w:lineRule="exact"/>
        <w:rPr>
          <w:sz w:val="20"/>
          <w:szCs w:val="20"/>
          <w:color w:val="auto"/>
        </w:rPr>
      </w:pPr>
      <w:r>
        <w:rPr>
          <w:rFonts w:ascii="Times New Roman" w:cs="Times New Roman" w:eastAsia="Times New Roman" w:hAnsi="Times New Roman"/>
          <w:sz w:val="16"/>
          <w:szCs w:val="16"/>
          <w:color w:val="auto"/>
        </w:rPr>
        <w:t>9</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fails to fulfill its obligations as stipulated in this contract, the borrower hereby authorizes the lender to directly deduct the loan principal and interest (including principal, interest, penalty interest, compound interest), liquidated damages, damages, and the lender’s expenses for realizing the creditor’s rights from any account opened by the borrower with the lender and all branches and subsidiaries of Industrial Bank without going through judicial procedures. The borrower agrees that the lender has the right to decide on the specific order of deduction. If the currency of the funds in the account is different from the borrowing currency, the lender has the right to convert them into the borrowing currency for deduction based on the middle price announced by the lender on the deduction day. If any account specified in this clause involves wealth management products or structured deposits, the borrower hereby irrevocably authorizes the lender to directly initiate relevant product redemption applications or take other necessary measures on behalf of the lender to ensure the smooth deduction of the above-mentioned funds, and the borrower shall provide all necessary cooperation.</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10" w:name="page511"/>
    <w:bookmarkEnd w:id="510"/>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10</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Regardless of whether before or after the signing of this contract, if the borrower submits any documents related to specific transactions to the lender for review, the borrower guarantees the authenticity of all documents, and the lender will only make a decision on the surface authenticity of the transaction documents. The lender neither participates in nor is aware of the substance of the specific transactions engaged in by the borrower, nor assumes any responsibility.</w:t>
      </w:r>
    </w:p>
    <w:p>
      <w:pPr>
        <w:spacing w:after="0" w:line="189"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11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confirms that, except as disclosed in writing to the lender, the borrower has not concealed any of the following events that have occurred or are about to occur that may cause the lender to disagree with the disbursement of the loan under this contract:</w:t>
      </w:r>
    </w:p>
    <w:p>
      <w:pPr>
        <w:spacing w:after="0" w:line="178" w:lineRule="exact"/>
        <w:rPr>
          <w:sz w:val="20"/>
          <w:szCs w:val="20"/>
          <w:color w:val="auto"/>
        </w:rPr>
      </w:pPr>
    </w:p>
    <w:p>
      <w:pPr>
        <w:ind w:right="20" w:firstLine="285"/>
        <w:spacing w:after="0" w:line="283" w:lineRule="auto"/>
        <w:tabs>
          <w:tab w:leader="none" w:pos="518"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debts or contingent liabilities borne by the borrower, including but not limited to any undisclosed mortgages, pledges, liens, and other debt burdens established on the borrower’s assets or earnings;</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violations of discipline, law, or claims related to the borrower or the borrower’s key management personnel;</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breaches the debt contract between the borrower and any other creditor;</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31"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not engaged in, and there is no outstanding or, to the best of the borrower’s knowledge, possible litigation, arbitration or administrative penalty against it or its property, and no liquidation, closure or other similar proceedings have occurred against the borrower, whether voluntarily or by a third party;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that may affect the borrower’s financial condition and solvency.</w:t>
      </w:r>
    </w:p>
    <w:p>
      <w:pPr>
        <w:spacing w:after="0" w:line="213"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12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undertakes to use the loan for the purposes specified in this contract and shall not misappropriate it for any other purpose or be used for any purpose that violates the provisions of this contract. Accept and cooperate with the lender at any time for loan payment management, post loan management, and related inspections, and cooperate with the lender to supervise, inspect, and count the borrower’s use of loan funds, production and operation, financial activities, material inventory, assets and liabilities, bank deposits, cash inventory, and other necessary or appropriate requirements as deemed by the lender.</w:t>
      </w:r>
    </w:p>
    <w:p>
      <w:pPr>
        <w:spacing w:after="0" w:line="190" w:lineRule="exact"/>
        <w:rPr>
          <w:sz w:val="20"/>
          <w:szCs w:val="20"/>
          <w:color w:val="auto"/>
        </w:rPr>
      </w:pPr>
    </w:p>
    <w:p>
      <w:pPr>
        <w:jc w:val="both"/>
        <w:ind w:firstLine="289"/>
        <w:spacing w:after="0" w:line="197" w:lineRule="exact"/>
        <w:rPr>
          <w:sz w:val="20"/>
          <w:szCs w:val="20"/>
          <w:color w:val="auto"/>
        </w:rPr>
      </w:pPr>
      <w:r>
        <w:rPr>
          <w:rFonts w:ascii="Times New Roman" w:cs="Times New Roman" w:eastAsia="Times New Roman" w:hAnsi="Times New Roman"/>
          <w:sz w:val="16"/>
          <w:szCs w:val="16"/>
          <w:color w:val="auto"/>
        </w:rPr>
        <w:t>13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Provide sufficient, valid or other acceptable guarantees recognized by the lender as appropriate. If the guarantee under this contract involves real estate mortgage, the borrower shall promptly fulfill the obligation to inform the lender when they become aware of the information that the mortgaged property will be demolished; If the mortgaged property is demolished and the form of compensation through property rights exchange is adopted, the lender has the right to demand the borrower to repay the debt in advance, or to re establish the mortgage and sign a new mortgage agreement. After the original mortgaged property is lost but before the new mortgage registration is processed, a guarantor with sufficient guarantee conditions should be provided as collateral; For the demolished real estate compensated through compensation, the borrower is responsible for requesting the mortgagor to continue providing collateral for the main creditor’s rights by opening a special deposit account or deposit certificate for the demolition compensation.</w:t>
      </w:r>
    </w:p>
    <w:p>
      <w:pPr>
        <w:spacing w:after="0" w:line="189"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shall not reduce the registered capital in any way. Without the prior written consent of the lender, the debt under this contract shall not be transferred in whole or in part to a third party. Before the full repayment of the debts under this contract, without obtaining the written consent of the lender, no debt between the borrower and other creditors (excluding other branches of Industrial Bank) shall be repaid in advance.</w:t>
      </w:r>
    </w:p>
    <w:p>
      <w:pPr>
        <w:spacing w:after="0" w:line="189"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15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Promptly notify the lender of any significant adverse events that may affect the borrower’s ability to repay debts, and obtain written consent from the lender before conducting major events such as mergers, divisions, equity transfers, external investments, or substantial increases in debt financing.</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11" w:name="page512"/>
    <w:bookmarkEnd w:id="511"/>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lender is involved in litigation, arbitration or other disputes with the borrower or any third party related to the borrower due to the performance of obligations under this contract, resulting in the lender being forced to become involved in disputes between the borrower and any third party, the lender shall bear all litigation, arbitration fees, lawyer fees and other expenses paid by the lender as a result.</w:t>
      </w:r>
    </w:p>
    <w:p>
      <w:pPr>
        <w:spacing w:after="0" w:line="189"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Due to the settlement business under this contract, the borrower must handle it through the settlement account opened with the lender.</w:t>
      </w:r>
    </w:p>
    <w:p>
      <w:pPr>
        <w:spacing w:after="0" w:line="214"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18</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promises that the information disclosed in the national enterprise credit information disclosure system is true, complete, legal and valid, and promises to continuously agree to the lender’s inquiry of the information disclosed or not disclosed by the enterprise in the system. If the lender requests capital verification, the borrower agrees to conduct the verification in accordance with the lender’s requirements and provide a capital verification report issued by a professional institution.</w:t>
      </w:r>
    </w:p>
    <w:p>
      <w:pPr>
        <w:spacing w:after="0" w:line="189"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19</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declares and authorizes that the lender has the right to conduct necessary investigations into the borrower’s credit situation in accordance with national laws, regulations, and relevant policies, including querying the borrower’s credit information from the financial credit information basic database established by the state. The lender may also submit relevant credit information to the national financial credit information basic database according to the needs of the People’s Bank of China for credit reporting of construction enterprises and individuals, and hereby allows relevant information to be lawfully queried within the authorized scope.</w:t>
      </w:r>
    </w:p>
    <w:p>
      <w:pPr>
        <w:spacing w:after="0" w:line="190"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 xml:space="preserve">20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declares and authorizes that the lender has the right to submit information related to this contract and other relevant information to the administrative/judicial/supervisory departments, banking regulatory authorities, banking associations, and other relevant information management work needs to the above-mentioned departments, institutions, and their established or recognized information management systems, and hereby allows relevant information to be lawfully queried.</w:t>
      </w:r>
    </w:p>
    <w:p>
      <w:pPr>
        <w:spacing w:after="0" w:line="189"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21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breaches this contract or encounters situations that may endanger the realization of the lender’s creditor’s rights, the lender has the right to request the borrower’s shareholders to accelerate the expiration of their subscribed capital obligations, and the borrower promises that their shareholders shall subscribe to capital in a timely manner as required by the lender. The lender has the right to demand that the borrower and its shareholders do not distribute dividends.</w:t>
      </w:r>
    </w:p>
    <w:p>
      <w:pPr>
        <w:spacing w:after="0" w:line="189"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22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promises that the transaction background of this loan business is true and legal, and has not been used for illegal purposes such as money laundering.</w:t>
      </w:r>
    </w:p>
    <w:p>
      <w:pPr>
        <w:spacing w:after="0" w:line="214"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23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irrevocably undertakes that in the event of a breach of any contractual obligations under this contract, the lender may submit and disclose the borrower’s breach of trust information to the People’s Bank of China and its established or approved credit reporting agencies and systems, or to banking associations, banking regulatory agencies, or other administrative/legal/supervisory departments and their established or approved information management systems or news media.</w:t>
      </w:r>
    </w:p>
    <w:p>
      <w:pPr>
        <w:spacing w:after="0" w:line="177"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 irrevocably authorizes the relevant banking association to share and even publicly disclose the borrower’s dishonest information among banking and financial institutions through appropriate means.</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borrower is aware that the lender has the right to take various measures in accordance with the provisions of this contract, and is aware that the lender has the right to take or the lender and other banking and financial institutions have the right to jointly take measures such as reducing or stopping credit, stopping the opening of new settlement accounts, suspending the operation of the borrower’s legal representative/borrower’s new credit card, and other joint dishonesty and rights protection measures.</w:t>
      </w:r>
    </w:p>
    <w:p>
      <w:pPr>
        <w:spacing w:after="0" w:line="168"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24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Other matters declared and promised by the borrower </w:t>
      </w:r>
      <w:r>
        <w:rPr>
          <w:rFonts w:ascii="SimSun" w:cs="SimSun" w:eastAsia="SimSun" w:hAnsi="SimSun"/>
          <w:sz w:val="16"/>
          <w:szCs w:val="16"/>
          <w:color w:val="auto"/>
        </w:rPr>
        <w:t>：</w:t>
      </w:r>
      <w:r>
        <w:rPr>
          <w:rFonts w:ascii="Times New Roman" w:cs="Times New Roman" w:eastAsia="Times New Roman" w:hAnsi="Times New Roman"/>
          <w:sz w:val="16"/>
          <w:szCs w:val="16"/>
          <w:color w:val="auto"/>
        </w:rPr>
        <w:t>________/________.</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8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12" w:name="page513"/>
    <w:bookmarkEnd w:id="512"/>
    <w:p>
      <w:pPr>
        <w:ind w:left="280"/>
        <w:spacing w:after="0"/>
        <w:rPr>
          <w:sz w:val="20"/>
          <w:szCs w:val="20"/>
          <w:color w:val="auto"/>
        </w:rPr>
      </w:pPr>
      <w:r>
        <w:rPr>
          <w:rFonts w:ascii="Times New Roman" w:cs="Times New Roman" w:eastAsia="Times New Roman" w:hAnsi="Times New Roman"/>
          <w:sz w:val="16"/>
          <w:szCs w:val="16"/>
          <w:b w:val="1"/>
          <w:bCs w:val="1"/>
          <w:color w:val="auto"/>
        </w:rPr>
        <w:t>Article 12: Advance Loan Collection</w:t>
      </w:r>
    </w:p>
    <w:p>
      <w:pPr>
        <w:spacing w:after="0" w:line="215"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 xml:space="preserve">1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During the loan period, if the borrower or guarantor (including but not limited to the guarantor, mortgagor, or pledgor, the same below) encounters any of the following situations, the lender has the right to unilaterally decide to stop paying the unused loan of the borrower, and to recover part or all of the loan principal and interest in advance. The loan to be repaid in installments shall be considered as early due if the lender has received the loan in advance according to the provisions of this contract for one of the loans, and other unexpired loans shall be deemed as early due:</w:t>
      </w:r>
    </w:p>
    <w:p>
      <w:pPr>
        <w:spacing w:after="0" w:line="178" w:lineRule="exact"/>
        <w:rPr>
          <w:sz w:val="20"/>
          <w:szCs w:val="20"/>
          <w:color w:val="auto"/>
        </w:rPr>
      </w:pPr>
    </w:p>
    <w:p>
      <w:pPr>
        <w:ind w:right="20" w:firstLine="285"/>
        <w:spacing w:after="0" w:line="283" w:lineRule="auto"/>
        <w:tabs>
          <w:tab w:leader="none" w:pos="518"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false materials or concealing important business and financial facts, any proof or document submitted to the lender, as well as any statement or commitment in Article 11 of this contract, is proven to be untrue, inaccurate, incomplete or intentionally misleading;</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written consent of the lender, changing the original purpose of the loan, misappropriating the loan, or engaging in illegal or irregular transactions using the</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w:t>
      </w:r>
    </w:p>
    <w:p>
      <w:pPr>
        <w:spacing w:after="0" w:line="184" w:lineRule="exact"/>
        <w:rPr>
          <w:rFonts w:ascii="Times New Roman" w:cs="Times New Roman" w:eastAsia="Times New Roman" w:hAnsi="Times New Roman"/>
          <w:sz w:val="16"/>
          <w:szCs w:val="16"/>
          <w:color w:val="auto"/>
        </w:rPr>
      </w:pPr>
    </w:p>
    <w:p>
      <w:pPr>
        <w:ind w:right="20" w:firstLine="285"/>
        <w:spacing w:after="0" w:line="283" w:lineRule="auto"/>
        <w:tabs>
          <w:tab w:leader="none" w:pos="516"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false contracts with related parties to discount or pledge creditor’s rights such as notes receivable and accounts receivable without actual trade background to the lender, in order to obtain the lender’s funds or credit;</w:t>
      </w:r>
    </w:p>
    <w:p>
      <w:pPr>
        <w:spacing w:after="0" w:line="155" w:lineRule="exact"/>
        <w:rPr>
          <w:rFonts w:ascii="Times New Roman" w:cs="Times New Roman" w:eastAsia="Times New Roman" w:hAnsi="Times New Roman"/>
          <w:sz w:val="16"/>
          <w:szCs w:val="16"/>
          <w:color w:val="auto"/>
        </w:rPr>
      </w:pPr>
    </w:p>
    <w:p>
      <w:pPr>
        <w:ind w:left="520" w:hanging="235"/>
        <w:spacing w:after="0" w:line="195" w:lineRule="exact"/>
        <w:tabs>
          <w:tab w:leader="none" w:pos="52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to accept the lender’s supervision and inspection of the use of their credit funds and related business and financial activities</w:t>
      </w:r>
      <w:r>
        <w:rPr>
          <w:rFonts w:ascii="SimSun" w:cs="SimSun" w:eastAsia="SimSun" w:hAnsi="SimSun"/>
          <w:sz w:val="16"/>
          <w:szCs w:val="16"/>
          <w:color w:val="auto"/>
        </w:rPr>
        <w:t>；</w:t>
      </w:r>
    </w:p>
    <w:p>
      <w:pPr>
        <w:spacing w:after="0" w:line="202" w:lineRule="exact"/>
        <w:rPr>
          <w:rFonts w:ascii="Times New Roman" w:cs="Times New Roman" w:eastAsia="Times New Roman" w:hAnsi="Times New Roman"/>
          <w:sz w:val="16"/>
          <w:szCs w:val="16"/>
          <w:color w:val="auto"/>
        </w:rPr>
      </w:pPr>
    </w:p>
    <w:p>
      <w:pPr>
        <w:ind w:right="20" w:firstLine="285"/>
        <w:spacing w:after="0" w:line="283" w:lineRule="auto"/>
        <w:tabs>
          <w:tab w:leader="none" w:pos="542"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events such as merger, division, acquisition, restructuring, equity transfer, external investment, substantial increase in debt financing, etc. that the lender believes may affect the safety of the loan;</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evading the creditor’s rights through related party transactions;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situation has deteriorated, and the solvency (including contingent liabilities) has significantly weakened;</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9"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or its affiliated enterprises, as well as the guarantor or guarantor’s affiliated enterprises, encounter cross breach situations as stipulated in Article 15 of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fails to repay the principal and interest of the loan under this contract on time;</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stops repaying its debts, or is unable or indicates that it is unable to repay its due debts;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18"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suspension of business, closure of business, declaration of bankruptcy, dissolution, revocation of business license, revocation, deterioration of financial condition, etc;</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614"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fails to fulfill the obligations stipulated in Article 10 and Article 13 of this contract, as well as other obligations stipulated in this contract, or the guarantor fails to fulfill the obligations stipulated in the guarantee contract;</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98"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used for guarantee, the value of the collateral has significantly decreased or may significantly decrease, or the right to pledge must be redeemed before the loan expires;</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641"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guarantor’s legal representative, individual investors, directors, supervisors, or senior management personnel undergo abnormal changes, disappearance, or are subject to legal investigation or restriction of personal freedom by judicial authorities, which has already or may affect the performance of obligations under this contract;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603"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borrower/guarantor or the controlling shareholder, actual controller or its affiliates of the borrower/guarantor are involved in significant litigation, arbitration or other disputes, or their significant assets are sealed, frozen, deducted, enforced or other measures with similar effects are taken, which may endanger or damage the rights and interests of the lender;</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605"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stipulated in this contract, or based on the borrower’s fund withdrawal situation, or other events that endanger, damage, or may endanger, damage the rights and interests of the lender.</w:t>
      </w:r>
    </w:p>
    <w:p>
      <w:pPr>
        <w:spacing w:after="0" w:line="155"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above situation of early loan collection occurs, the lender may unilaterally decide whether to grant the borrower a certain grace period based on the borrower’s production and operation, financial status, and fund recovery. If the lender grants the borrower a grace period and the borrower fails to take remedial measures or the remedial measures taken do not meet the lender’s requirements during the grace period, the lender has the right to unilaterally decide to receive the loan in advance; The lender can also decide to receive the loan in advance without giving the borrower a grace period.</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13" w:name="page514"/>
    <w:bookmarkEnd w:id="513"/>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When receiving the loan in advance, the lender has the right to take corresponding measures in accordance with the provisions of Article 14 (2) of this contract.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13 Obligations of the borrower to disclose major transactions and events to the lender</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shall promptly report in writing to the lender any significant transactions and events that have occurred.</w:t>
      </w:r>
    </w:p>
    <w:p>
      <w:pPr>
        <w:spacing w:after="0" w:line="214" w:lineRule="exact"/>
        <w:rPr>
          <w:sz w:val="20"/>
          <w:szCs w:val="20"/>
          <w:color w:val="auto"/>
        </w:rPr>
      </w:pPr>
    </w:p>
    <w:p>
      <w:pPr>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belongs to a group customer, the borrower shall promptly report to the lender related transactions of more than 10% of the borrower’s net assets in accordance with relevant regulations, including but not limited to:</w:t>
      </w:r>
    </w:p>
    <w:p>
      <w:pPr>
        <w:spacing w:after="0" w:line="178" w:lineRule="exact"/>
        <w:rPr>
          <w:sz w:val="20"/>
          <w:szCs w:val="20"/>
          <w:color w:val="auto"/>
        </w:rPr>
      </w:pPr>
    </w:p>
    <w:p>
      <w:pPr>
        <w:ind w:left="520" w:hanging="235"/>
        <w:spacing w:after="0"/>
        <w:tabs>
          <w:tab w:leader="none" w:pos="520" w:val="left"/>
        </w:tabs>
        <w:numPr>
          <w:ilvl w:val="0"/>
          <w:numId w:val="5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relationships between the parties involved in the transaction;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items and transaction nature;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or corresponding proportion of the transaction;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policy (including transactions with no or only symbolic amounts).</w:t>
      </w:r>
    </w:p>
    <w:p>
      <w:pPr>
        <w:spacing w:after="0" w:line="21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there is a significant change in the basic conditions of the contract that cannot be foreseen at the time of signing the contract and does not belong to commercial risks, and it is necessary to renegotiate, the lender should be notified in a timely manner within three working days after the change occurs.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14 Liability for Breach of Contract</w:t>
      </w:r>
    </w:p>
    <w:p>
      <w:pPr>
        <w:spacing w:after="0" w:line="215"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After this contract takes effect, both the borrower and the lender shall fulfill the obligations stipulated in this contract. If either party fails to perform or fully performs the obligations stipulated in this contract, they shall bear corresponding breach of contract responsibilities.</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fails to use the loan for the purpose specified in this contract, fails to make payment of the loan funds in the agreed manner, fails to comply with the declaration and commitment matters, distorts the information in the loan application documents, exceeds the agreed financial indicators, experiences significant cross breach events, and fails to fulfill any of the provisions of this contract, the lender has the right to take one or more of the following measures:</w:t>
      </w:r>
    </w:p>
    <w:p>
      <w:pPr>
        <w:spacing w:after="0" w:line="177" w:lineRule="exact"/>
        <w:rPr>
          <w:sz w:val="20"/>
          <w:szCs w:val="20"/>
          <w:color w:val="auto"/>
        </w:rPr>
      </w:pPr>
    </w:p>
    <w:p>
      <w:pPr>
        <w:ind w:left="520" w:hanging="235"/>
        <w:spacing w:after="0"/>
        <w:tabs>
          <w:tab w:leader="none" w:pos="520"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a deadline to rectify the breach of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the disbursement of outstanding loans under this contract and cease payment of outstanding loan funds under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7"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the borrower to provide additional loan disbursement and payment conditions that meet the lender’s requirements, or cancel the borrower’s use of the loan through “self payment”;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Unilateral decision to advance the maturity of all or part of the debt;</w:t>
      </w:r>
    </w:p>
    <w:p>
      <w:pPr>
        <w:spacing w:after="0" w:line="200" w:lineRule="exact"/>
        <w:rPr>
          <w:rFonts w:ascii="Times New Roman" w:cs="Times New Roman" w:eastAsia="Times New Roman" w:hAnsi="Times New Roman"/>
          <w:sz w:val="16"/>
          <w:szCs w:val="16"/>
          <w:color w:val="auto"/>
        </w:rPr>
      </w:pPr>
    </w:p>
    <w:p>
      <w:pPr>
        <w:ind w:right="20" w:firstLine="285"/>
        <w:spacing w:after="0" w:line="206" w:lineRule="exact"/>
        <w:tabs>
          <w:tab w:leader="none" w:pos="516"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Unilateral termination or termination of this contract, requiring the borrower to repay the principal and interest of the loan due or not yet due, and to pay or compensate for related losses</w:t>
      </w:r>
      <w:r>
        <w:rPr>
          <w:rFonts w:ascii="SimSun" w:cs="SimSun" w:eastAsia="SimSun" w:hAnsi="SimSun"/>
          <w:sz w:val="16"/>
          <w:szCs w:val="16"/>
          <w:color w:val="auto"/>
        </w:rPr>
        <w:t>；</w:t>
      </w:r>
    </w:p>
    <w:p>
      <w:pPr>
        <w:spacing w:after="0" w:line="189"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57"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is overdue, require the borrower to pay overdue penalty interest; If the borrower misappropriates the loan, demand that the borrower pay the misappropriation penalty interest; Require the borrower to pay compound interest on unpaid interest (including interest before and after loan maturity, misappropriation penalty interest, and overdue penalty interest);</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the borrower to add or replace the guarantor, collateral, collateral/pledge rights;</w:t>
      </w:r>
    </w:p>
    <w:p>
      <w:pPr>
        <w:spacing w:after="0" w:line="212" w:lineRule="exact"/>
        <w:rPr>
          <w:rFonts w:ascii="Times New Roman" w:cs="Times New Roman" w:eastAsia="Times New Roman" w:hAnsi="Times New Roman"/>
          <w:sz w:val="16"/>
          <w:szCs w:val="16"/>
          <w:color w:val="auto"/>
        </w:rPr>
      </w:pPr>
    </w:p>
    <w:p>
      <w:pPr>
        <w:ind w:left="520" w:hanging="235"/>
        <w:spacing w:after="0" w:line="195" w:lineRule="exact"/>
        <w:tabs>
          <w:tab w:leader="none" w:pos="520"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realize any rights under any guarantee related to the loan</w:t>
      </w:r>
      <w:r>
        <w:rPr>
          <w:rFonts w:ascii="SimSun" w:cs="SimSun" w:eastAsia="SimSun" w:hAnsi="SimSun"/>
          <w:sz w:val="16"/>
          <w:szCs w:val="16"/>
          <w:color w:val="auto"/>
        </w:rPr>
        <w: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14" w:name="page515"/>
    <w:bookmarkEnd w:id="514"/>
    <w:p>
      <w:pPr>
        <w:jc w:val="both"/>
        <w:ind w:right="20" w:firstLine="285"/>
        <w:spacing w:after="0" w:line="256" w:lineRule="auto"/>
        <w:tabs>
          <w:tab w:leader="none" w:pos="528" w:val="left"/>
        </w:tabs>
        <w:numPr>
          <w:ilvl w:val="0"/>
          <w:numId w:val="5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going through judicial procedures, the borrower may directly deduct funds from any account opened by the borrower with the lender and all branches and subsidiaries of Industrial Bank, or entrust the borrower’s account opening bank to deduct funds from its account, including but not limited to loan principal and interest (including principal, interest, penalty interest, compound interest),liquidated damages, damages, and expenses incurred by the lender in realizing the creditor’s rights. The borrower agrees that the lender has the right to decide the specific order of deduction. If the currency of the funds in the account is inconsistent with the loan currency, the lender has the right to convert them into the loan currency for deduction at the midpoint published by the lender on the day of deduction; If any account specified in this clause involves wealth management products or structured deposits, the lender has the right to directly initiate relevant product redemption applications or take other necessary measures on behalf of the lender to ensure the smooth deduction of the above-mentioned funds;</w:t>
      </w:r>
    </w:p>
    <w:p>
      <w:pPr>
        <w:spacing w:after="0" w:line="165" w:lineRule="exact"/>
        <w:rPr>
          <w:rFonts w:ascii="Times New Roman" w:cs="Times New Roman" w:eastAsia="Times New Roman" w:hAnsi="Times New Roman"/>
          <w:sz w:val="16"/>
          <w:szCs w:val="16"/>
          <w:color w:val="auto"/>
        </w:rPr>
      </w:pPr>
    </w:p>
    <w:p>
      <w:pPr>
        <w:ind w:right="20" w:firstLine="285"/>
        <w:spacing w:after="0" w:line="283" w:lineRule="auto"/>
        <w:tabs>
          <w:tab w:leader="none" w:pos="596" w:val="left"/>
        </w:tabs>
        <w:numPr>
          <w:ilvl w:val="0"/>
          <w:numId w:val="5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 lawsuit, arbitration, or apply to a notary public for an execution certificate, requiring the borrower to repay the principal and interest of the loan, and the cost of realizing the creditor’s rights shall be borne by the borrower;</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600" w:val="left"/>
        </w:tabs>
        <w:numPr>
          <w:ilvl w:val="0"/>
          <w:numId w:val="5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seize or retain any movable or immovable, tangible or intangible property of the borrower under the lender’s control and possession, or take other measures deemed appropriate by the lender;</w:t>
      </w:r>
    </w:p>
    <w:p>
      <w:pPr>
        <w:spacing w:after="0" w:line="143" w:lineRule="exact"/>
        <w:rPr>
          <w:rFonts w:ascii="Times New Roman" w:cs="Times New Roman" w:eastAsia="Times New Roman" w:hAnsi="Times New Roman"/>
          <w:sz w:val="16"/>
          <w:szCs w:val="16"/>
          <w:color w:val="auto"/>
        </w:rPr>
      </w:pPr>
    </w:p>
    <w:p>
      <w:pPr>
        <w:jc w:val="both"/>
        <w:ind w:firstLine="285"/>
        <w:spacing w:after="0" w:line="259" w:lineRule="auto"/>
        <w:tabs>
          <w:tab w:leader="none" w:pos="614" w:val="left"/>
        </w:tabs>
        <w:numPr>
          <w:ilvl w:val="0"/>
          <w:numId w:val="5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report and disclose the borrower’s breach of credit information to the People’s Bank of China and its established or approved credit reporting agencies and systems, or to the banking industry association, banking regulatory agencies, or other administrative/judicial/supervisory departments and their established or recognized information management systems or news media. At the same time, the lender may take or jointly with other banking and financial institutions to reduce or stop credit, stop opening new settlement accounts, suspend the borrower’s legal representative/borrower’s new credit card, and other joint measures to punish and protect the borrower’s credit;</w:t>
      </w:r>
    </w:p>
    <w:p>
      <w:pPr>
        <w:spacing w:after="0" w:line="161"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5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measures as required by laws and regulations, agreed upon in this contract, or deemed appropriate by the lender.</w:t>
      </w:r>
    </w:p>
    <w:p>
      <w:pPr>
        <w:spacing w:after="0" w:line="213"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lender fails to provide the loan on the agreed date and amount, and causes losses to the borrower in accordance with the withdrawal prerequisites and loan payment conditions stipulated in this contract, the lender shall compensate the borrower for the direct economic losses incurred as a result. However, regardless of the circumstances, the lender shall not be liable for any foreseeable or unforeseeable indirect losses incurred by the borrower as a result.</w:t>
      </w:r>
    </w:p>
    <w:p>
      <w:pPr>
        <w:spacing w:after="0" w:line="189"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During the performance of this contract, if the materials provided by the borrower are untrue, inaccurate, incomplete, or have other defects, resulting in the lender’s entrusted payment error, untimely payment, the borrower’s violation of the provisions of this contract in handling autonomous payment, or other losses, the lender shall not be held responsible.</w:t>
      </w:r>
    </w:p>
    <w:p>
      <w:pPr>
        <w:spacing w:after="0" w:line="189"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loan disbursement account or payment recipient account specified in this contract is frozen or other reasons result in loan disbursement and payment disputes or other losses, the lender shall not be held responsible.</w:t>
      </w:r>
    </w:p>
    <w:p>
      <w:pPr>
        <w:spacing w:after="0" w:line="190"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guarantor (i.e. guarantor, mortgagor, pledgor) under this contract encounters the following reasons, the lender has the right to take measures in accordance with the provisions of the second paragraph of this article:</w:t>
      </w:r>
    </w:p>
    <w:p>
      <w:pPr>
        <w:spacing w:after="0" w:line="178" w:lineRule="exact"/>
        <w:rPr>
          <w:sz w:val="20"/>
          <w:szCs w:val="20"/>
          <w:color w:val="auto"/>
        </w:rPr>
      </w:pPr>
    </w:p>
    <w:p>
      <w:pPr>
        <w:ind w:left="520" w:hanging="235"/>
        <w:spacing w:after="0"/>
        <w:tabs>
          <w:tab w:leader="none" w:pos="520" w:val="left"/>
        </w:tabs>
        <w:numPr>
          <w:ilvl w:val="0"/>
          <w:numId w:val="5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fails to fulfill the provisions of the guarantee contract, or the credit status deteriorates, or other events that weaken the guarantee ability occur;</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6" w:val="left"/>
        </w:tabs>
        <w:numPr>
          <w:ilvl w:val="0"/>
          <w:numId w:val="5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mortgagor fails to fulfill the provisions of the mortgage contract, intentionally damages the mortgaged property, or the value of the mortgaged property may or has significantly decreased, or other events that harm the lender’s mortgage right;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22" w:val="left"/>
        </w:tabs>
        <w:numPr>
          <w:ilvl w:val="0"/>
          <w:numId w:val="5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pledgor fails to fulfill the provisions of the pledge contract, or the value of the pledged property has significantly decreased or may significantly decrease, or the pledged right must be redeemed before the loan is repaid, or other events that damage the mortgage right of the loan hostage.</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15" w:name="page516"/>
    <w:bookmarkEnd w:id="515"/>
    <w:p>
      <w:pPr>
        <w:ind w:left="280"/>
        <w:spacing w:after="0"/>
        <w:rPr>
          <w:sz w:val="20"/>
          <w:szCs w:val="20"/>
          <w:color w:val="auto"/>
        </w:rPr>
      </w:pPr>
      <w:r>
        <w:rPr>
          <w:rFonts w:ascii="Times New Roman" w:cs="Times New Roman" w:eastAsia="Times New Roman" w:hAnsi="Times New Roman"/>
          <w:sz w:val="16"/>
          <w:szCs w:val="16"/>
          <w:b w:val="1"/>
          <w:bCs w:val="1"/>
          <w:color w:val="auto"/>
        </w:rPr>
        <w:t>Article 15 Cross breach</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Any of the following situations shall be deemed as a simultaneous breach of this contract by the borrower or its affiliated enterprises, as well as the guarantor or its affiliated enterprises. The lender shall have the right to receive the loan in advance in accordance with Article 12 of this contract and demand the borrower to bear the liability for breach of contract in accordance with Article 14 of this contract:</w:t>
      </w:r>
    </w:p>
    <w:p>
      <w:pPr>
        <w:spacing w:after="0" w:line="156" w:lineRule="exact"/>
        <w:rPr>
          <w:sz w:val="20"/>
          <w:szCs w:val="20"/>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borrowing, financing, or debt that may default or be declared prematurely due;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or similar obligation is not fulfilled, or there is a possibility of non fulfillment;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or violate legal documents or contracts related to debt guarantees and other similar obligations, or the possibility of failure to perform or violation;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or is about to be an inability to repay due debts or mature loans/financing;</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or about to be declared bankrupt through legal proceedings;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its assets or property to other creditors;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situations that endanger the safety of the principal and interest of the loan under this contract.</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16 Continuity of Obligations</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All obligations of the borrower under this contract are continuous and have full and equal binding force on their heirs, agents, receivers, assignees, and their merged, restructured, or renamed entities.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17 Accelerated Maturity of Principal and Interest Clause</w:t>
      </w:r>
    </w:p>
    <w:p>
      <w:pPr>
        <w:spacing w:after="0" w:line="20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borrower agrees that once the borrower fails to fulfill the declaration and commitment in Article 11 of this contract, or fails to fulfill any of its obligations under this contract, the lender has the right to decide that any other obligations of the borrower to the lender, including the repayment obligation of all principal and interest (including penalty and compound interest) due and not yet due under this contract, will immediately become due.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18 Subrogation Rights</w:t>
      </w:r>
    </w:p>
    <w:p>
      <w:pPr>
        <w:spacing w:after="0" w:line="20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The borrower hereby declares that regardless of whether the lender’s debt has expired or not, the borrower’s debt or any related rights related to the debt are about to expire during the statute of limitations for litigation or fail to declare bankruptcy claims in a timely manner, or if the borrower breaches the contract or is unable to repay the borrower’s advance payments (including but not limited to principal, interest, and expenses) that have reached the repayment period, which affects the realization of the lender’s debt, the lender has the right to exercise subrogation rights against any third party’s debt, accounts receivable, and other property rights related to the aforementioned rights, including but not limited to subrogation to request the borrower’s counterpart to perform, declare to the bankruptcy administrator, or take other necessary actions, and the borrower waives all defenses.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19 Application of Law, Jurisdiction and Dispute Resolution</w:t>
      </w:r>
    </w:p>
    <w:p>
      <w:pPr>
        <w:spacing w:after="0" w:line="215"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formation, effectiveness, performance, termination, interpretation, and dispute resolution of this contract shall be governed by the laws of the People’s Republic of China (excluding the laws of the Hong Kong Special Administrative Region, Macao Special Administrative Region, and Taiwan for the purpose of this contract).</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Any disputes arising from this contract shall be resolved through friendly consultation between the borrower and the lender; If friendly negotiation fails, both parties agree to resolve the issue in the manner stipulated in Article 23, Special Provisions, and Clause 24 of this contract.</w:t>
      </w:r>
    </w:p>
    <w:p>
      <w:pPr>
        <w:spacing w:after="0" w:line="190"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During the dispute period, the provisions of this contract that do not involve disputed parts shall still be fulfilled.</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16" w:name="page517"/>
    <w:bookmarkEnd w:id="516"/>
    <w:p>
      <w:pPr>
        <w:ind w:left="180"/>
        <w:spacing w:after="0"/>
        <w:rPr>
          <w:sz w:val="20"/>
          <w:szCs w:val="20"/>
          <w:color w:val="auto"/>
        </w:rPr>
      </w:pPr>
      <w:r>
        <w:rPr>
          <w:rFonts w:ascii="Times New Roman" w:cs="Times New Roman" w:eastAsia="Times New Roman" w:hAnsi="Times New Roman"/>
          <w:sz w:val="16"/>
          <w:szCs w:val="16"/>
          <w:b w:val="1"/>
          <w:bCs w:val="1"/>
          <w:color w:val="auto"/>
        </w:rPr>
        <w:t>Article 20: Document exchange, communication, and notification</w:t>
      </w:r>
    </w:p>
    <w:p>
      <w:pPr>
        <w:spacing w:after="0" w:line="215"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agrees and confirms that the address specified in Article 23, Special Provisions, and Article 25 of this contract shall serve as the notice for matters under this contract, as well as legal documents related to litigation (arbitration), notarization, etc. in the event of disputes (including but not limited to various notices and documents from the contracting parties; lawsuit (or arbitration application) and evidence served by the court or arbitration tribunal, subpoena, notice of response, notice of proof, notice of hearing, payment order, judgment (award), ruling, mediation, execution notice, notice of limited performance, and other legal documents for litigation or arbitration proceedings, realization of security interests, and enforcement stage legal documents; The delivery address for various notices and legal documents delivered by notary institutions, and further agree that the lender, notary institution, court and other judicial organs, as well as other notices and legal documents, have the right to choose paper or electronic methods of delivery. The electronic delivery methods include but are not limited to email, China Judicial Process Information Disclosure Network, National Unified Delivery Platform, Local or Specialized Court Network Service Platform, as well as the electronic network platform and electronic APP of the delivery party.</w:t>
      </w:r>
    </w:p>
    <w:p>
      <w:pPr>
        <w:spacing w:after="0" w:line="193" w:lineRule="exact"/>
        <w:rPr>
          <w:sz w:val="20"/>
          <w:szCs w:val="20"/>
          <w:color w:val="auto"/>
        </w:rPr>
      </w:pPr>
    </w:p>
    <w:p>
      <w:pPr>
        <w:jc w:val="both"/>
        <w:ind w:right="20"/>
        <w:spacing w:after="0" w:line="197" w:lineRule="exact"/>
        <w:rPr>
          <w:sz w:val="20"/>
          <w:szCs w:val="20"/>
          <w:color w:val="auto"/>
        </w:rPr>
      </w:pPr>
      <w:r>
        <w:rPr>
          <w:rFonts w:ascii="Times New Roman" w:cs="Times New Roman" w:eastAsia="Times New Roman" w:hAnsi="Times New Roman"/>
          <w:sz w:val="16"/>
          <w:szCs w:val="16"/>
          <w:color w:val="auto"/>
        </w:rPr>
        <w:t xml:space="preserve">2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applicable period for the delivery address specified in the first paragraph of this article includes all stages, including non litigation stage and dispute entering arbitration, first instance, second instance, retrial, execution after litigation proceedings, realization of security interests procedure, supervision procedure, and compulsory execution notarization. If there is a change in the delivery address mentioned above, the borrower shall notify the lender in writing in advance (during litigation or arbitration, the arbitration tribunal or court shall also be notified in writing in advance, and if compulsory notarization has been completed, the original notary office shall be notified in writing) to reconfirm the delivery address and obtain a receipt. If no prior notice is given, it shall be deemed that there has been no change, and the corresponding legal consequences shall be borne by the borrower. The delivery address specified in the first paragraph of this article shall still be deemed as a valid delivery address.</w:t>
      </w:r>
    </w:p>
    <w:p>
      <w:pPr>
        <w:spacing w:after="0" w:line="191"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Any document, communication, notice, or legal document sent to any address specified in the first paragraph of this article shall be deemed to have been delivered on the following dates (delivery to the designated recipient shall be deemed to have been delivered to the recipient):</w:t>
      </w:r>
    </w:p>
    <w:p>
      <w:pPr>
        <w:spacing w:after="0" w:line="178" w:lineRule="exact"/>
        <w:rPr>
          <w:sz w:val="20"/>
          <w:szCs w:val="20"/>
          <w:color w:val="auto"/>
        </w:rPr>
      </w:pPr>
    </w:p>
    <w:p>
      <w:pPr>
        <w:ind w:left="520" w:hanging="235"/>
        <w:spacing w:after="0"/>
        <w:tabs>
          <w:tab w:leader="none" w:pos="520" w:val="left"/>
        </w:tabs>
        <w:numPr>
          <w:ilvl w:val="0"/>
          <w:numId w:val="5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mail (including express delivery, regular mail, and registered mail), the fifth working day after the date of mailing shall be deemed as the delivery date;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 email, mobile SMS, WeChat QQ or other electronic communication address, the date of sending shall be deemed as the delivery date;</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7" w:val="left"/>
        </w:tabs>
        <w:numPr>
          <w:ilvl w:val="0"/>
          <w:numId w:val="5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shall be made by dedicated person, and the date of receipt by the recipient shall be deemed as the date of delivery. If the recipient refuses, the delivery person may take photos or videos to record the delivery process, and keep the document, which is also considered as delivery.</w:t>
      </w:r>
    </w:p>
    <w:p>
      <w:pPr>
        <w:spacing w:after="0" w:line="155"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delivery address provided or confirmed by the borrower is inaccurate or untrue, or if the delivery address is changed and the other party, arbitration institution, people’s court, or notary office is not notified in a timely manner, resulting in the inability to actually deliver, the borrower shall bear the corresponding legal consequences and be deemed to have effectively delivered:</w:t>
      </w:r>
    </w:p>
    <w:p>
      <w:pPr>
        <w:spacing w:after="0" w:line="177" w:lineRule="exact"/>
        <w:rPr>
          <w:sz w:val="20"/>
          <w:szCs w:val="20"/>
          <w:color w:val="auto"/>
        </w:rPr>
      </w:pPr>
    </w:p>
    <w:p>
      <w:pPr>
        <w:ind w:left="520" w:hanging="235"/>
        <w:spacing w:after="0"/>
        <w:tabs>
          <w:tab w:leader="none" w:pos="520" w:val="left"/>
        </w:tabs>
        <w:numPr>
          <w:ilvl w:val="0"/>
          <w:numId w:val="5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by mail, the date of return of the document shall be deemed as the date of delivery;</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by a dedicated person, the delivery date shall be the day when the delivery recipient records the situation on the delivery receipt on the spot;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electronically, the date of transmission shall be considered as the delivery date.</w:t>
      </w:r>
    </w:p>
    <w:p>
      <w:pPr>
        <w:spacing w:after="0" w:line="213"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lender shall use the domicile specified in the contract as the delivery address. If the lender sends a notice by publishing an announcement on its website, online banking, telephone banking, or business outlet, the date of publication of the announcement shall be deemed as the date of delivery. The lender shall not be liable for any transmission errors, omissions, or delays in postal, fax, telephone, or any other communication system under any circumstances.</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517" w:name="page518"/>
    <w:bookmarkEnd w:id="517"/>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parties agree that their official seals, office seals, financial seals, contract seals, receiving and sending seals, and lender’s credit business seals are all valid seals for notification or contact, legal document delivery, and letter exchanges. All staff members of the borrower’s unit are authorized signatories for document exchanges, communications, and notifications.</w:t>
      </w:r>
    </w:p>
    <w:p>
      <w:pPr>
        <w:spacing w:after="0" w:line="189"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This provision is an independent clause in the contract and shall not be affected by the validity of this contract or any other provisions of the contract.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21 Contract Validity and Other Matters</w:t>
      </w:r>
    </w:p>
    <w:p>
      <w:pPr>
        <w:spacing w:after="0" w:line="215"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This contract shall come into effect from the date of signature, seal or fingerprint by both parties.</w:t>
      </w:r>
    </w:p>
    <w:p>
      <w:pPr>
        <w:spacing w:after="0" w:line="214"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During the effective period of this contract, any tolerance, grace or delay granted by the lender to the borrower or guarantor in exercising the rights or interests enjoyed in this contract shall not prejudice, affect or limit all the rights and interests that the lender should enjoy in accordance with relevant laws and regulations and this contract. It shall not be regarded as a waiver of the lender’s rights and interests under this contract, nor shall it affect any obligations of the borrower under this contract.</w:t>
      </w:r>
    </w:p>
    <w:p>
      <w:pPr>
        <w:spacing w:after="0" w:line="189"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there are changes in national laws, regulations or regulatory policies that result in the lender’s failure to fulfill the loan obligations as stipulated in this contract in compliance with laws, regulations or regulatory requirements, the lender has the right to unilaterally terminate the contract, announce the early maturity of all loans already issued, and the borrower shall immediately repay them as requested by the lender. If the lender is unable to perform or perform as agreed in the contract due to such reasons, the lender shall not bear any legal responsibility.</w:t>
      </w:r>
    </w:p>
    <w:p>
      <w:pPr>
        <w:spacing w:after="0" w:line="190"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 xml:space="preserve">4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loan is not disbursed or paid on time due to force majeure, communication or network failures, or system failures of the lender, the lender shall not be held responsible, but shall promptly notify the borrower.</w:t>
      </w:r>
    </w:p>
    <w:p>
      <w:pPr>
        <w:spacing w:after="0" w:line="190"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lender has the right to authorize or entrust other branches of Industrial Bank to perform the rights and obligations under this contract (including but not limited to authorizing or entrusting other branches of Industrial Bank to sign relevant contracts) according to business management needs, or transfer the loan under this contract to other branches of Industrial Bank for management. The borrower acknowledges this and does not need to obtain the borrower’s consent for the above actions.</w:t>
      </w:r>
    </w:p>
    <w:p>
      <w:pPr>
        <w:spacing w:after="0" w:line="189"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at any time, any provision of this Agreement is or becomes illegal, invalid, or unenforceable in any respect, the legality, validity, or enforceability of the other provisions of this Agreement shall not be affected or diminished in any way.</w:t>
      </w:r>
    </w:p>
    <w:p>
      <w:pPr>
        <w:spacing w:after="0" w:line="190"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lender has reminded the borrower to pay special attention to the “important signing instructions” in the contract. The borrower has carefully read and fully understood all the rights and obligations of both parties in the contract, as well as the “important signing instructions”. The lender has provided sufficient explanations and clarifications to the relevant terms and personal information</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processing rules as requested by the applicant. Both parties have a completely consistent understanding of the various terms of this contract and have no objections to the contract content.</w:t>
      </w:r>
    </w:p>
    <w:p>
      <w:pPr>
        <w:spacing w:after="0" w:line="173"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8</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subheadings of this contract are added for convenience of reading only and shall not be used for the interpretation or any other purpose of this contract.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9</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attachments to this contract are an integral part of this contract and have the same legal effect as the main text of this contract.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10</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This contract is made in five copies, with the lender holding four copies and the borrower holding one copy, all of which have equal legal effect.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18" w:name="page519"/>
    <w:bookmarkEnd w:id="518"/>
    <w:p>
      <w:pPr>
        <w:ind w:left="280"/>
        <w:spacing w:after="0"/>
        <w:rPr>
          <w:sz w:val="20"/>
          <w:szCs w:val="20"/>
          <w:color w:val="auto"/>
        </w:rPr>
      </w:pPr>
      <w:r>
        <w:rPr>
          <w:rFonts w:ascii="Times New Roman" w:cs="Times New Roman" w:eastAsia="Times New Roman" w:hAnsi="Times New Roman"/>
          <w:sz w:val="16"/>
          <w:szCs w:val="16"/>
          <w:b w:val="1"/>
          <w:bCs w:val="1"/>
          <w:color w:val="auto"/>
        </w:rPr>
        <w:t>Article 22 Notarization and voluntary acceptance of compulsory enforcement</w:t>
      </w:r>
    </w:p>
    <w:p>
      <w:pPr>
        <w:spacing w:after="0" w:line="215"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either party to this contract requests notarization, the other party agrees to notarize it at a nationally designated notary institution as requested by the other party.</w:t>
      </w:r>
    </w:p>
    <w:p>
      <w:pPr>
        <w:spacing w:after="0" w:line="214" w:lineRule="exact"/>
        <w:rPr>
          <w:sz w:val="20"/>
          <w:szCs w:val="20"/>
          <w:color w:val="auto"/>
        </w:rPr>
      </w:pPr>
    </w:p>
    <w:p>
      <w:pPr>
        <w:jc w:val="both"/>
        <w:ind w:right="20"/>
        <w:spacing w:after="0" w:line="200"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A contract that has been notarized for compulsory execution has the effect of compulsory execution. When the borrower fails to perform or improperly performs the debt, or when the lender realizes the creditor’s rights as stipulated in laws and regulations or this contract, the borrower agrees to the lender to apply to a notary institution for an execution certificate with compulsory execution effect. The borrower voluntarily accepts the compulsory execution measures directly applied by the lender to the people’s court with jurisdiction with the execution certificate, and is aware of the corresponding legal consequences. The borrower promises not to raise any objection or defense.</w:t>
      </w:r>
    </w:p>
    <w:p>
      <w:pPr>
        <w:spacing w:after="0" w:line="190"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All parties agree that before the notary public issues the execution certificate, they have the right to use postal, telephone, fax, email, mobile SMS, WeChat, and other methods in accordance with the terms of “document exchange, communication, and notification” stipulated in this contract QQ</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Verify any breach of contract related to the borrower’s failure or improper performance of debts through any one or more methods such as personal delivery and face-to-face interviews. If verification is made through phone or face-to-face communication, it shall be deemed delivered upon completion of the interview or call; Using mailing, fax, email, mobile SMS, WeChat QQ</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verified through personal delivery or other means, the delivery date shall be in accordance with the provisions of this contract on “document exchange, communication, and notification”.</w:t>
      </w:r>
    </w:p>
    <w:p>
      <w:pPr>
        <w:spacing w:after="0" w:line="189"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borrower has any objections to the verified breach of contract as mentioned above, they shall provide written evidence and sufficient evidence to the notary public within five working days from the date of delivery. If the borrower fails to provide evidence on time or the notary public believes that the evidence is insufficient to support their claim, it shall be deemed that the borrower confirms the relevant breach of contract such as non performance or inappropriate performance of the debt, and agrees to the notary public to issue an execution certificate based on the lender’s application. If the notary public has other regulations on the verification method and the period of proof, the regulations of the notary public shall be followed.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Article 23 Supplementary Terms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6"/>
          <w:szCs w:val="16"/>
          <w:color w:val="auto"/>
        </w:rPr>
        <w:t>This page is the signature page of the “Working Capital Loan Contract” numbered DD6232023130.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7560" cy="124460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8">
                      <a:extLst>
                        <a:ext uri="{28A0092B-C50C-407E-A947-70E740481C1C}"/>
                      </a:extLst>
                    </a:blip>
                    <a:srcRect/>
                    <a:stretch>
                      <a:fillRect/>
                    </a:stretch>
                  </pic:blipFill>
                  <pic:spPr bwMode="auto">
                    <a:xfrm>
                      <a:off x="0" y="0"/>
                      <a:ext cx="7147560" cy="124460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Lender (Seal): Responsible person or authorized person (signature and seal):</w:t>
      </w:r>
    </w:p>
    <w:p>
      <w:pPr>
        <w:spacing w:after="0" w:line="393"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6"/>
          <w:szCs w:val="16"/>
          <w:color w:val="auto"/>
        </w:rPr>
        <w:t>January 14, 2025</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Borrower(Seal): Legal representative or authorized person (signature/fingerprint):</w:t>
      </w:r>
    </w:p>
    <w:p>
      <w:pPr>
        <w:spacing w:after="0" w:line="3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January 14, 2025</w:t>
      </w:r>
    </w:p>
    <w:p>
      <w:pPr>
        <w:spacing w:after="0" w:line="223" w:lineRule="exact"/>
        <w:rPr>
          <w:sz w:val="20"/>
          <w:szCs w:val="20"/>
          <w:color w:val="auto"/>
        </w:rPr>
      </w:pPr>
    </w:p>
    <w:p>
      <w:pPr>
        <w:jc w:val="right"/>
        <w:spacing w:after="0" w:line="195" w:lineRule="exact"/>
        <w:rPr>
          <w:sz w:val="20"/>
          <w:szCs w:val="20"/>
          <w:color w:val="auto"/>
        </w:rPr>
      </w:pPr>
      <w:r>
        <w:rPr>
          <w:rFonts w:ascii="Times New Roman" w:cs="Times New Roman" w:eastAsia="Times New Roman" w:hAnsi="Times New Roman"/>
          <w:sz w:val="16"/>
          <w:szCs w:val="16"/>
          <w:b w:val="1"/>
          <w:bCs w:val="1"/>
          <w:color w:val="auto"/>
        </w:rPr>
        <w:t>Contract signing date</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Year__Month__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6176645</wp:posOffset>
            </wp:positionH>
            <wp:positionV relativeFrom="paragraph">
              <wp:posOffset>-88265</wp:posOffset>
            </wp:positionV>
            <wp:extent cx="40640" cy="8128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9">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2"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Contract signing place</w:t>
      </w:r>
      <w:r>
        <w:rPr>
          <w:rFonts w:ascii="SimSun" w:cs="SimSun" w:eastAsia="SimSun" w:hAnsi="SimSun"/>
          <w:sz w:val="16"/>
          <w:szCs w:val="16"/>
          <w:color w:val="auto"/>
        </w:rPr>
        <w:t>：</w:t>
      </w:r>
      <w:r>
        <w:rPr>
          <w:rFonts w:ascii="Times New Roman" w:cs="Times New Roman" w:eastAsia="Times New Roman" w:hAnsi="Times New Roman"/>
          <w:sz w:val="16"/>
          <w:szCs w:val="16"/>
          <w:b w:val="1"/>
          <w:bCs w:val="1"/>
          <w:u w:val="single" w:color="auto"/>
          <w:color w:val="auto"/>
        </w:rPr>
        <w:t>Jing’an District,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-88265</wp:posOffset>
            </wp:positionV>
            <wp:extent cx="40640" cy="8128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90">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147560" cy="152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0" w:name="page521"/>
    <w:bookmarkEnd w:id="520"/>
    <w:p>
      <w:pPr>
        <w:jc w:val="right"/>
        <w:spacing w:after="0"/>
        <w:rPr>
          <w:sz w:val="20"/>
          <w:szCs w:val="20"/>
          <w:color w:val="auto"/>
        </w:rPr>
      </w:pPr>
      <w:r>
        <w:rPr>
          <w:rFonts w:ascii="Times New Roman" w:cs="Times New Roman" w:eastAsia="Times New Roman" w:hAnsi="Times New Roman"/>
          <w:sz w:val="16"/>
          <w:szCs w:val="16"/>
          <w:b w:val="1"/>
          <w:bCs w:val="1"/>
          <w:color w:val="auto"/>
        </w:rPr>
        <w:t>Exhibit 10.27</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June 2024 edition</w:t>
      </w:r>
    </w:p>
    <w:p>
      <w:pPr>
        <w:spacing w:after="0" w:line="36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9"/>
          <w:szCs w:val="29"/>
          <w:b w:val="1"/>
          <w:bCs w:val="1"/>
          <w:color w:val="auto"/>
        </w:rPr>
        <w:t>Contract for loans of working capital</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color w:val="auto"/>
        </w:rPr>
        <w:t xml:space="preserve">Contract number: </w:t>
      </w:r>
      <w:r>
        <w:rPr>
          <w:rFonts w:ascii="Times New Roman" w:cs="Times New Roman" w:eastAsia="Times New Roman" w:hAnsi="Times New Roman"/>
          <w:sz w:val="16"/>
          <w:szCs w:val="16"/>
          <w:u w:val="single" w:color="auto"/>
          <w:color w:val="auto"/>
        </w:rPr>
        <w:t>DD6232025005</w:t>
      </w:r>
    </w:p>
    <w:p>
      <w:pPr>
        <w:spacing w:after="0" w:line="211"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Lender</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Industrial Bank Co., Ltd Shanghai Pudong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-88265</wp:posOffset>
            </wp:positionV>
            <wp:extent cx="40640" cy="8128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2">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Address</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No.710 Dongfang Road, China (Shanghai) Pilot Free Trade 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-88265</wp:posOffset>
            </wp:positionV>
            <wp:extent cx="40640" cy="8128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3">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Legal representative/person in charge</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Jianping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-88265</wp:posOffset>
            </wp:positionV>
            <wp:extent cx="40640" cy="8128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4">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Borrower</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JAJI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-88265</wp:posOffset>
            </wp:positionV>
            <wp:extent cx="40640" cy="8128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5">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4" w:lineRule="exact"/>
        <w:rPr>
          <w:sz w:val="20"/>
          <w:szCs w:val="20"/>
          <w:color w:val="auto"/>
        </w:rPr>
      </w:pPr>
    </w:p>
    <w:p>
      <w:pPr>
        <w:jc w:val="center"/>
        <w:ind w:right="1140"/>
        <w:spacing w:after="0" w:line="195" w:lineRule="exact"/>
        <w:rPr>
          <w:sz w:val="20"/>
          <w:szCs w:val="20"/>
          <w:color w:val="auto"/>
        </w:rPr>
      </w:pPr>
      <w:r>
        <w:rPr>
          <w:rFonts w:ascii="Times New Roman" w:cs="Times New Roman" w:eastAsia="Times New Roman" w:hAnsi="Times New Roman"/>
          <w:sz w:val="16"/>
          <w:szCs w:val="16"/>
          <w:b w:val="1"/>
          <w:bCs w:val="1"/>
          <w:color w:val="auto"/>
        </w:rPr>
        <w:t>Address</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Room 5107, Building 5, No. 555 Dongchuan Road, Minhang District,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1380490</wp:posOffset>
            </wp:positionH>
            <wp:positionV relativeFrom="paragraph">
              <wp:posOffset>-88265</wp:posOffset>
            </wp:positionV>
            <wp:extent cx="40640" cy="8128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6">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8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 xml:space="preserve">Legal representative/person in charge: </w:t>
      </w:r>
      <w:r>
        <w:rPr>
          <w:rFonts w:ascii="Times New Roman" w:cs="Times New Roman" w:eastAsia="Times New Roman" w:hAnsi="Times New Roman"/>
          <w:sz w:val="16"/>
          <w:szCs w:val="16"/>
          <w:u w:val="single" w:color="auto"/>
          <w:color w:val="auto"/>
        </w:rPr>
        <w:t>Jian Xu</w:t>
      </w:r>
    </w:p>
    <w:p>
      <w:pPr>
        <w:spacing w:after="0" w:line="213" w:lineRule="exact"/>
        <w:rPr>
          <w:sz w:val="20"/>
          <w:szCs w:val="20"/>
          <w:color w:val="auto"/>
        </w:rPr>
      </w:pPr>
    </w:p>
    <w:p>
      <w:pPr>
        <w:ind w:left="1240"/>
        <w:spacing w:after="0" w:line="195" w:lineRule="exact"/>
        <w:rPr>
          <w:sz w:val="20"/>
          <w:szCs w:val="20"/>
          <w:color w:val="auto"/>
        </w:rPr>
      </w:pPr>
      <w:r>
        <w:rPr>
          <w:rFonts w:ascii="Times New Roman" w:cs="Times New Roman" w:eastAsia="Times New Roman" w:hAnsi="Times New Roman"/>
          <w:sz w:val="16"/>
          <w:szCs w:val="16"/>
          <w:b w:val="1"/>
          <w:bCs w:val="1"/>
          <w:color w:val="auto"/>
        </w:rPr>
        <w:t>Contract signing location</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Jin’an District,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400050</wp:posOffset>
            </wp:positionV>
            <wp:extent cx="7147560" cy="152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7">
                      <a:extLst>
                        <a:ext uri="{28A0092B-C50C-407E-A947-70E740481C1C}"/>
                      </a:extLst>
                    </a:blip>
                    <a:srcRect/>
                    <a:stretch>
                      <a:fillRect/>
                    </a:stretch>
                  </pic:blipFill>
                  <pic:spPr bwMode="auto">
                    <a:xfrm>
                      <a:off x="0" y="0"/>
                      <a:ext cx="7147560" cy="1524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-88265</wp:posOffset>
            </wp:positionV>
            <wp:extent cx="40640" cy="8128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8">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ectPr>
          <w:pgSz w:w="11900" w:h="16838" w:orient="portrait"/>
          <w:cols w:equalWidth="0" w:num="1">
            <w:col w:w="10140"/>
          </w:cols>
          <w:pgMar w:left="1440" w:top="120" w:right="319" w:bottom="1440" w:gutter="0" w:footer="0" w:header="0"/>
        </w:sectPr>
      </w:pPr>
    </w:p>
    <w:bookmarkStart w:id="521" w:name="page522"/>
    <w:bookmarkEnd w:id="521"/>
    <w:p>
      <w:pPr>
        <w:jc w:val="center"/>
        <w:spacing w:after="0"/>
        <w:rPr>
          <w:sz w:val="20"/>
          <w:szCs w:val="20"/>
          <w:color w:val="auto"/>
        </w:rPr>
      </w:pPr>
      <w:r>
        <w:rPr>
          <w:rFonts w:ascii="Times New Roman" w:cs="Times New Roman" w:eastAsia="Times New Roman" w:hAnsi="Times New Roman"/>
          <w:sz w:val="16"/>
          <w:szCs w:val="16"/>
          <w:color w:val="auto"/>
        </w:rPr>
        <w:t>Important Notice for Signing</w:t>
      </w:r>
    </w:p>
    <w:p>
      <w:pPr>
        <w:spacing w:after="0" w:line="211"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b w:val="1"/>
          <w:bCs w:val="1"/>
          <w:color w:val="auto"/>
        </w:rPr>
        <w:t>In order to protect your rights, please carefully read, check and confirm the following matters before signing this contract</w:t>
      </w:r>
      <w:r>
        <w:rPr>
          <w:rFonts w:ascii="SimSun" w:cs="SimSun" w:eastAsia="SimSun" w:hAnsi="SimSu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-88265</wp:posOffset>
            </wp:positionV>
            <wp:extent cx="40640" cy="8128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9">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196"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the right to sign this contract. If it is necessary to obtain the consent of others according to law, you and your company have obtained full authorization; If it involves processing the personal information of others, you and your company have obtained written consent from others for the processing of their personal information by Industrial Bank of China</w:t>
      </w:r>
      <w:r>
        <w:rPr>
          <w:rFonts w:ascii="SimSun" w:cs="SimSun" w:eastAsia="SimSun" w:hAnsi="SimSun"/>
          <w:sz w:val="16"/>
          <w:szCs w:val="16"/>
          <w:color w:val="auto"/>
        </w:rPr>
        <w:t>；</w:t>
      </w:r>
    </w:p>
    <w:p>
      <w:pPr>
        <w:spacing w:after="0" w:line="202"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carefully read and fully understood the terms of the contract, and have paid special attention to the content related to the assumption of responsibility, exemption or reduction of Industrial Bank’s responsibility, and personal information processing that have a significant interest in you and your company, as well as the content in bold font</w:t>
      </w:r>
      <w:r>
        <w:rPr>
          <w:rFonts w:ascii="SimSun" w:cs="SimSun" w:eastAsia="SimSun" w:hAnsi="SimSun"/>
          <w:sz w:val="16"/>
          <w:szCs w:val="16"/>
          <w:color w:val="auto"/>
        </w:rPr>
        <w:t>；</w:t>
      </w:r>
    </w:p>
    <w:p>
      <w:pPr>
        <w:spacing w:after="0" w:line="202" w:lineRule="exact"/>
        <w:rPr>
          <w:sz w:val="20"/>
          <w:szCs w:val="20"/>
          <w:color w:val="auto"/>
        </w:rPr>
      </w:pPr>
    </w:p>
    <w:p>
      <w:pPr>
        <w:jc w:val="both"/>
        <w:ind w:right="20" w:firstLine="289"/>
        <w:spacing w:after="0" w:line="213"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fully understood the meaning and corresponding legal consequences of the contract terms, and are willing to accept these terms and conditions</w:t>
      </w:r>
      <w:r>
        <w:rPr>
          <w:rFonts w:ascii="SimSun" w:cs="SimSun" w:eastAsia="SimSun" w:hAnsi="SimSun"/>
          <w:sz w:val="16"/>
          <w:szCs w:val="16"/>
          <w:color w:val="auto"/>
        </w:rPr>
        <w:t>；</w:t>
      </w:r>
    </w:p>
    <w:p>
      <w:pPr>
        <w:spacing w:after="0" w:line="200" w:lineRule="exact"/>
        <w:rPr>
          <w:sz w:val="20"/>
          <w:szCs w:val="20"/>
          <w:color w:val="auto"/>
        </w:rPr>
      </w:pPr>
    </w:p>
    <w:p>
      <w:pPr>
        <w:jc w:val="both"/>
        <w:ind w:right="20" w:firstLine="289"/>
        <w:spacing w:after="0" w:line="201" w:lineRule="exact"/>
        <w:rPr>
          <w:sz w:val="20"/>
          <w:szCs w:val="20"/>
          <w:color w:val="auto"/>
        </w:rPr>
      </w:pPr>
      <w:r>
        <w:rPr>
          <w:rFonts w:ascii="Times New Roman" w:cs="Times New Roman" w:eastAsia="Times New Roman" w:hAnsi="Times New Roman"/>
          <w:sz w:val="16"/>
          <w:szCs w:val="16"/>
          <w:color w:val="auto"/>
        </w:rPr>
        <w:t xml:space="preserve">4 </w:t>
      </w:r>
      <w:r>
        <w:rPr>
          <w:rFonts w:ascii="SimSun" w:cs="SimSun" w:eastAsia="SimSun" w:hAnsi="SimSun"/>
          <w:sz w:val="16"/>
          <w:szCs w:val="16"/>
          <w:color w:val="auto"/>
        </w:rPr>
        <w:t>、</w:t>
      </w:r>
      <w:r>
        <w:rPr>
          <w:rFonts w:ascii="Times New Roman" w:cs="Times New Roman" w:eastAsia="Times New Roman" w:hAnsi="Times New Roman"/>
          <w:sz w:val="16"/>
          <w:szCs w:val="16"/>
          <w:color w:val="auto"/>
        </w:rPr>
        <w:t>You and your company have paid special attention to the provisions regarding your and your company’s use of credit funds for the purposes specified in the contract, the prohibition of misappropriation of credit funds (including but not limited to purchasing or investing credit funds in real estate), and the requirement to issue a commitment letter for the use of funds to Industrial Bank. You and your company are fully aware and understand that Industrial Bank will take measures such as early loan collection, cessation of disbursement of loans/financing not yet issued under this contract, cessation of payment of loans/financing not yet paid under this contract, reduction or cessation of credit to Industrial Bank, and hold you and your company legally responsible for the consequences of misappropriation of credit funds</w:t>
      </w:r>
      <w:r>
        <w:rPr>
          <w:rFonts w:ascii="SimSun" w:cs="SimSun" w:eastAsia="SimSun" w:hAnsi="SimSun"/>
          <w:sz w:val="16"/>
          <w:szCs w:val="16"/>
          <w:color w:val="auto"/>
        </w:rPr>
        <w:t>；</w:t>
      </w:r>
    </w:p>
    <w:p>
      <w:pPr>
        <w:spacing w:after="0" w:line="203" w:lineRule="exact"/>
        <w:rPr>
          <w:sz w:val="20"/>
          <w:szCs w:val="20"/>
          <w:color w:val="auto"/>
        </w:rPr>
      </w:pPr>
    </w:p>
    <w:p>
      <w:pPr>
        <w:jc w:val="both"/>
        <w:ind w:right="20" w:firstLine="289"/>
        <w:spacing w:after="0" w:line="201"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By signing this contract, you and the relevant individuals agree and authorize Industrial Bank to process your and your personal information and keep it for the period specified by Industrial Bank; You and related individuals are aware that you have the right to be informed, make decisions, withdraw consent, restrict or refuse third-party processing rights in the processing of personal information. Industrial Bank has provided information and decision-making services for personal information processing through diversified means (including but not limited to on-site notification); If you and related individuals intend to revoke, restrict or refuse the authorization of Industrial Bank to process personal information, they may handle it in accordance with the provisions of this contract or the management procedures of Industrial Bank.</w:t>
      </w:r>
      <w:r>
        <w:rPr>
          <w:rFonts w:ascii="SimSun" w:cs="SimSun" w:eastAsia="SimSun" w:hAnsi="SimSun"/>
          <w:sz w:val="16"/>
          <w:szCs w:val="16"/>
          <w:color w:val="auto"/>
        </w:rPr>
        <w:t>；</w:t>
      </w:r>
    </w:p>
    <w:p>
      <w:pPr>
        <w:spacing w:after="0" w:line="20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contract text provided by Industrial Bank is only a demonstration text, with blank lines left after the relevant clauses of the contract, and “supplementary clauses” added at the end of the contract for all parties to modify, supplement or delete the contract;</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you and your company have any questions about this contract, or if you and your company find that there are illegal and irregular situations in the contract and the business fees under the contract, please call the phone number of Industrial Bank in a timely manner or directly complain or consult with the operating branch of Industrial Bank, contact number: 95561.</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0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2" w:name="page523"/>
    <w:bookmarkEnd w:id="522"/>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Upon the borrower’s application, the lender has reviewed and agreed to grant the borrower a working capital loan. In order to clarify the rights and obligations of both parties, abide by their promises, and in accordance with relevant laws and regulations of the People’s Republic of China, through equal consultation, both parties hereby sign this contract for mutual compliance.</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and borrower confirm that the loan under this contract belongs to the first of the following situations:</w:t>
      </w:r>
    </w:p>
    <w:p>
      <w:pPr>
        <w:spacing w:after="0" w:line="201" w:lineRule="exact"/>
        <w:rPr>
          <w:sz w:val="20"/>
          <w:szCs w:val="20"/>
          <w:color w:val="auto"/>
        </w:rPr>
      </w:pPr>
    </w:p>
    <w:p>
      <w:pPr>
        <w:jc w:val="both"/>
        <w:ind w:right="20" w:firstLine="285"/>
        <w:spacing w:after="0" w:line="267" w:lineRule="auto"/>
        <w:tabs>
          <w:tab w:leader="none" w:pos="520" w:val="left"/>
        </w:tabs>
        <w:numPr>
          <w:ilvl w:val="0"/>
          <w:numId w:val="5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is a sub contract of the “Credit Line Agreement” (i.e. the main contract) with the number SX6232025001 signed by the lender and borrower on January 15, 2025. The loan amount is included in the credit line under the “Credit Line Agreement”. Among them, the foreign currency loan amount shall be converted into RMB and included in the credit limit based on the middle rate announced by the lender on the day of signing this contract.</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contract is an independent legal document signed by the lender and borrower.</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 Definition and Interpretation</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Unless otherwise agreed in writing by both parties, the following terms in this contract shall be defined and interpreted as follows:</w:t>
      </w:r>
    </w:p>
    <w:p>
      <w:pPr>
        <w:spacing w:after="0" w:line="213"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“Working capital loans” refer to local and foreign currency loans applied by borrowers to lenders for daily production and operation turnover.</w:t>
      </w:r>
    </w:p>
    <w:p>
      <w:pPr>
        <w:spacing w:after="0" w:line="214"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“Debt” or “main debt” refers to the debt formed by the borrower (debtor) submitting an application to the lender (creditor), and the lender providing financing to the borrower according to this contract after review and approval (including principal, interest, penalty interest, compound interest, liquidated damages, damages, and the cost of realizing the debt by the creditor, etc.). The creditor’s rights against the borrower owned by the lender under this contract correspond to the borrower’s obligations to the lender under this contract.</w:t>
      </w:r>
    </w:p>
    <w:p>
      <w:pPr>
        <w:spacing w:after="0" w:line="178"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cost of realizing creditor’s rights refers to the litigation (arbitration) fees, lawyer’s fees, travel expenses, execution fees, preservation fees, and other expenses paid by the lender to realize creditor’s rights through litigation, arbitration, and applying to a notary public for an execution certificate.</w:t>
      </w:r>
    </w:p>
    <w:p>
      <w:pPr>
        <w:spacing w:after="0" w:line="15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Article 5 of this contract defines and interprets the following terms as follows</w:t>
      </w:r>
      <w:r>
        <w:rPr>
          <w:rFonts w:ascii="SimSun" w:cs="SimSun" w:eastAsia="SimSun" w:hAnsi="SimSun"/>
          <w:sz w:val="16"/>
          <w:szCs w:val="16"/>
          <w:color w:val="auto"/>
        </w:rPr>
        <w:t>：</w:t>
      </w:r>
    </w:p>
    <w:p>
      <w:pPr>
        <w:spacing w:after="0" w:line="202"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“Fixed interest rate” refers to the interest rate that remains unchanged during the loan term. For example, if the loan is disbursed in installments, it means that the interest rate remains unchanged between the actual disbursement date of each disbursement and the maturity date of the loan under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“Floating interest rate” refers to the interest rate that varies within the loan term according to the agreed cycle and magnitude between the borrower and lender.</w:t>
      </w:r>
    </w:p>
    <w:p>
      <w:pPr>
        <w:spacing w:after="0" w:line="201"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“Floating cycle” refers to the frequency of changes in the loan interest rate agreed upon by both parties. Within a floating period, the loan interest rate is calculated and determined based on the pricing benchmark interest rate according to the pricing method stipulated in the contract, and the loan interest rate remains unchanged during the floating period; When one floating cycle expires and enters the next floating cycle, the loan interest rate is calculated and determined based on the pricing benchmark interest rate of the new floating cycle according to the pricing method agreed in the contract, and the loan interest rate remains unchanged during the floating cycle.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3" w:name="page524"/>
    <w:bookmarkEnd w:id="523"/>
    <w:p>
      <w:pPr>
        <w:jc w:val="both"/>
        <w:ind w:right="20" w:firstLine="289"/>
        <w:spacing w:after="0" w:line="210" w:lineRule="exact"/>
        <w:rPr>
          <w:sz w:val="20"/>
          <w:szCs w:val="20"/>
          <w:color w:val="auto"/>
        </w:rPr>
      </w:pPr>
      <w:r>
        <w:rPr>
          <w:rFonts w:ascii="Times New Roman" w:cs="Times New Roman" w:eastAsia="Times New Roman" w:hAnsi="Times New Roman"/>
          <w:sz w:val="16"/>
          <w:szCs w:val="16"/>
          <w:color w:val="auto"/>
        </w:rPr>
        <w:t>“Pricing benchmark interest rate” refers to the interest rate standard used to determine the loan interest rate under this contract, including but not limited to the quoted interest rates published in China or relevant countries, regions, and markets, such as LPR SHIBOR, SOFR</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SOFR term interest rates </w:t>
      </w:r>
      <w:r>
        <w:rPr>
          <w:rFonts w:ascii="SimSun" w:cs="SimSun" w:eastAsia="SimSun" w:hAnsi="SimSun"/>
          <w:sz w:val="16"/>
          <w:szCs w:val="16"/>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STR</w:t>
      </w:r>
      <w:r>
        <w:rPr>
          <w:rFonts w:ascii="SimSun" w:cs="SimSun" w:eastAsia="SimSun" w:hAnsi="SimSun"/>
          <w:sz w:val="16"/>
          <w:szCs w:val="16"/>
          <w:color w:val="auto"/>
        </w:rPr>
        <w:t>、</w:t>
      </w:r>
      <w:r>
        <w:rPr>
          <w:rFonts w:ascii="Times New Roman" w:cs="Times New Roman" w:eastAsia="Times New Roman" w:hAnsi="Times New Roman"/>
          <w:sz w:val="16"/>
          <w:szCs w:val="16"/>
          <w:color w:val="auto"/>
        </w:rPr>
        <w:t>SONIA</w:t>
      </w:r>
      <w:r>
        <w:rPr>
          <w:rFonts w:ascii="SimSun" w:cs="SimSun" w:eastAsia="SimSun" w:hAnsi="SimSun"/>
          <w:sz w:val="16"/>
          <w:szCs w:val="16"/>
          <w:color w:val="auto"/>
        </w:rPr>
        <w:t>、</w:t>
      </w:r>
      <w:r>
        <w:rPr>
          <w:rFonts w:ascii="Times New Roman" w:cs="Times New Roman" w:eastAsia="Times New Roman" w:hAnsi="Times New Roman"/>
          <w:sz w:val="16"/>
          <w:szCs w:val="16"/>
          <w:color w:val="auto"/>
        </w:rPr>
        <w:t>TSRR</w:t>
      </w:r>
      <w:r>
        <w:rPr>
          <w:rFonts w:ascii="SimSun" w:cs="SimSun" w:eastAsia="SimSun" w:hAnsi="SimSun"/>
          <w:sz w:val="16"/>
          <w:szCs w:val="16"/>
          <w:color w:val="auto"/>
        </w:rPr>
        <w:t>、</w:t>
      </w:r>
      <w:r>
        <w:rPr>
          <w:rFonts w:ascii="Times New Roman" w:cs="Times New Roman" w:eastAsia="Times New Roman" w:hAnsi="Times New Roman"/>
          <w:sz w:val="16"/>
          <w:szCs w:val="16"/>
          <w:color w:val="auto"/>
        </w:rPr>
        <w:t>TONA</w:t>
      </w:r>
      <w:r>
        <w:rPr>
          <w:rFonts w:ascii="SimSun" w:cs="SimSun" w:eastAsia="SimSun" w:hAnsi="SimSun"/>
          <w:sz w:val="16"/>
          <w:szCs w:val="16"/>
          <w:color w:val="auto"/>
        </w:rPr>
        <w:t>、</w:t>
      </w:r>
      <w:r>
        <w:rPr>
          <w:rFonts w:ascii="Times New Roman" w:cs="Times New Roman" w:eastAsia="Times New Roman" w:hAnsi="Times New Roman"/>
          <w:sz w:val="16"/>
          <w:szCs w:val="16"/>
          <w:color w:val="auto"/>
        </w:rPr>
        <w:t>SARON</w:t>
      </w:r>
      <w:r>
        <w:rPr>
          <w:rFonts w:ascii="SimSun" w:cs="SimSun" w:eastAsia="SimSun" w:hAnsi="SimSun"/>
          <w:sz w:val="16"/>
          <w:szCs w:val="16"/>
          <w:color w:val="auto"/>
        </w:rPr>
        <w:t>、</w:t>
      </w:r>
      <w:r>
        <w:rPr>
          <w:rFonts w:ascii="Times New Roman" w:cs="Times New Roman" w:eastAsia="Times New Roman" w:hAnsi="Times New Roman"/>
          <w:sz w:val="16"/>
          <w:szCs w:val="16"/>
          <w:color w:val="auto"/>
        </w:rPr>
        <w:t>HIBOR</w:t>
      </w:r>
      <w:r>
        <w:rPr>
          <w:rFonts w:ascii="SimSun" w:cs="SimSun" w:eastAsia="SimSun" w:hAnsi="SimSun"/>
          <w:sz w:val="16"/>
          <w:szCs w:val="16"/>
          <w:color w:val="auto"/>
        </w:rPr>
        <w:t>、</w:t>
      </w:r>
      <w:r>
        <w:rPr>
          <w:rFonts w:ascii="Times New Roman" w:cs="Times New Roman" w:eastAsia="Times New Roman" w:hAnsi="Times New Roman"/>
          <w:sz w:val="16"/>
          <w:szCs w:val="16"/>
          <w:color w:val="auto"/>
        </w:rPr>
        <w:t>SIBOR</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central bank’s benchmark interest rate for RMB deposits, etc.</w:t>
      </w:r>
    </w:p>
    <w:p>
      <w:pPr>
        <w:spacing w:after="0" w:line="190"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“LPR” refers to the loan market quoted interest rate calculated and published by the National Interbank Funding Center authorized by the People’s Bank of China. According to banking practices, both parties agree to determine the pricing benchmark interest rate rule under this contract as the T-1 day LPR, where “T” is the day when the loan interest rate is determined, and “T-1” is the previous working day of that day.</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“SHIBOR” refers to the Shanghai Interbank Offered Rate published by the National Interbank Funding Center and applicable on the same day.</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“SOFR” refers to the secured overnight financing rate in US dollars. According to banking practices, both parties agree to determine the pricing benchmark interest rate rule under this contract as the T-5 day SOFR, where “T” is the day the loan interest rate is determined, and “T-5” is the first five working days of that day.</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“SOFR term rate” refers to the Chicago Mercantile Exchange’s forward-looking mortgage financing rate, denominated in US dollars. According to banking practices, both parties agree to determine the pricing benchmark interest rate rule under this contract as the T-2 day SOFR term interest rate, where “T” is the day the loan interest rate is determined, and “T-2” is the first two working days of that day.</w:t>
      </w:r>
    </w:p>
    <w:p>
      <w:pPr>
        <w:spacing w:after="0" w:line="120" w:lineRule="exact"/>
        <w:rPr>
          <w:sz w:val="20"/>
          <w:szCs w:val="20"/>
          <w:color w:val="auto"/>
        </w:rPr>
      </w:pPr>
    </w:p>
    <w:p>
      <w:pPr>
        <w:jc w:val="both"/>
        <w:ind w:right="20" w:firstLine="289"/>
        <w:spacing w:after="0" w:line="232" w:lineRule="exact"/>
        <w:rPr>
          <w:sz w:val="20"/>
          <w:szCs w:val="20"/>
          <w:color w:val="auto"/>
        </w:rPr>
      </w:pPr>
      <w:r>
        <w:rPr>
          <w:rFonts w:ascii="Times New Roman" w:cs="Times New Roman" w:eastAsia="Times New Roman" w:hAnsi="Times New Roman"/>
          <w:sz w:val="16"/>
          <w:szCs w:val="16"/>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STR” refers to the short-term interest rate in euros, denominated in euros. According to banking practices, both parties agree to determine the pricing benchmark interest rate rule under this contract as T-5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STR, where “T” is the day when the loan interest rate is determined, and “T-5” is the first five working days of that day.</w:t>
      </w:r>
    </w:p>
    <w:p>
      <w:pPr>
        <w:spacing w:after="0" w:line="150"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“SONIA” refers to the overnight average index of pounds, denominated in pounds. According to banking practices, both parties agree to determine the pricing benchmark interest rate rule under this contract as the T-5 day SONIA, where “T” is the day the loan interest rate is determined, and “T-5” is the first five working days of that day.</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“TSRR” refers to the term interest rate of the overnight average index of GBP, denominated in GBP. According to banking practices, both parties agree to determine the pricing benchmark interest rate rule under this contract as the T-2 day TSRR term interest rate, where “T” is the day the loan interest rate is determined, and “T-2” is the first two working days of that day.</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“TONA” refers to the average overnight interest rate in Tokyo, denominated in Japanese yen. According to banking practices, both parties agree to determine the pricing benchmark interest rate rule under this contract as the T-5 day TONA, where “T” is the day the loan interest rate is determined, and “T-5” is the first five working days of that day.</w:t>
      </w:r>
    </w:p>
    <w:p>
      <w:pPr>
        <w:spacing w:after="0" w:line="156"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“SARON” refers to the overnight average interest rate in Switzerland, denominated in Swiss francs. According to banking industry practices, both parties agree to determine the pricing benchmark interest rate rule under this contract as T-5 SARON, where “T” is the day when the loan interest rate is determined, and “T-5” is the first five working days of that day.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4" w:name="page525"/>
    <w:bookmarkEnd w:id="524"/>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“HIBOR” refers to the Hong Kong interbank lending rate for Hong Kong dollars in the financial markets. According to banking practices, both parties agree to determine the pricing benchmark interest rate rule under this contract as HIBOR on the T-2 day, where “T” is the day when the loan interest rate is determined, and “T-2” is the first two working days of that day.</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“SIBOR” refers to the Singapore Interbank Offered Rate, which is applicable only to Singapore dollars. According to banking practices, both parties agree to determine the pricing benchmark interest rate rule under this contract as the T-2 day SIBOR, where “T” is the day when the loan interest rate is determined, and “T-2” is the first two working days of that day.</w:t>
      </w:r>
    </w:p>
    <w:p>
      <w:pPr>
        <w:spacing w:after="0" w:line="156"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central bank’s benchmark interest rate for RMB deposits” refers to the RMB deposit benchmark interest rate published by the People’s Bank of China and applicable on the same day,</w:t>
      </w:r>
    </w:p>
    <w:p>
      <w:pPr>
        <w:spacing w:after="0" w:line="107" w:lineRule="exact"/>
        <w:rPr>
          <w:sz w:val="20"/>
          <w:szCs w:val="20"/>
          <w:color w:val="auto"/>
        </w:rPr>
      </w:pPr>
    </w:p>
    <w:p>
      <w:pPr>
        <w:jc w:val="both"/>
        <w:ind w:right="20" w:firstLine="289"/>
        <w:spacing w:after="0" w:line="210" w:lineRule="exact"/>
        <w:rPr>
          <w:sz w:val="20"/>
          <w:szCs w:val="20"/>
          <w:color w:val="auto"/>
        </w:rPr>
      </w:pPr>
      <w:r>
        <w:rPr>
          <w:rFonts w:ascii="Times New Roman" w:cs="Times New Roman" w:eastAsia="Times New Roman" w:hAnsi="Times New Roman"/>
          <w:sz w:val="16"/>
          <w:szCs w:val="16"/>
          <w:color w:val="auto"/>
        </w:rPr>
        <w:t>Among them, the currencies and specific values of “LPR”, “SHIBOR”, “SOFR”, “SOFR term interest rate”,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STR”, “SONIA”, “TSRR”, “TONA”, “SARON”, “HIBOR”, “SIBOR” and “central bank RMB deposit benchmark interest rate” determined according to the applicable pricing benchmark interest rate rules under this contract shall be subject to the query results of the core system of Industrial Bank.</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loan interest rate determination date can be the actual loan disbursement date, contract signing date, or repricing date.</w:t>
      </w:r>
    </w:p>
    <w:p>
      <w:pPr>
        <w:spacing w:after="0" w:line="201"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“Loan interest rate” refers to the interest rate for the execution of this contract, which is determined by both parties through negotiation and in accordance with the pricing formula of the loan interest rate in this contract. It is based on the pricing benchmark interest rate on the date of determining the loan interest rate in this contract, and is formed by floating the number of points added or subtracted.</w:t>
      </w:r>
    </w:p>
    <w:p>
      <w:pPr>
        <w:spacing w:after="0" w:line="168"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“major transaction” stipulated in Article 13 of this contract refers to (including but not limited to) any transaction that is determined to occur or is likely to seriously affect the basic structure of the borrower’s company, changes in company shareholders, contingent liabilities, cash flow, profitability, core trade secrets, core competitiveness, important assets of the company, significant creditor’s rights and debts of the company, repayment ability, and ability to perform this contract, or any other transaction that the lender and/or borrower deems to constitute a major transaction.</w:t>
      </w:r>
    </w:p>
    <w:p>
      <w:pPr>
        <w:spacing w:after="0" w:line="190" w:lineRule="exact"/>
        <w:rPr>
          <w:sz w:val="20"/>
          <w:szCs w:val="20"/>
          <w:color w:val="auto"/>
        </w:rPr>
      </w:pPr>
    </w:p>
    <w:p>
      <w:pPr>
        <w:jc w:val="both"/>
        <w:ind w:right="20" w:firstLine="289"/>
        <w:spacing w:after="0" w:line="198"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“major events” stipulated in Article 13 of this contract refer to (including but not limited to) any determined or potential events that will seriously affect the ability of senior management personnel of the borrower company to perform their duties, the employment and termination of employees engaged in core business of the company, core trade secrets of the company, core competitiveness of the company, basic structure of the company, changes in shareholders of the company, contingent liabilities of the company, survival of the company, legality of the company’s business operations, company stability, development, profitability, debt repayment ability of the company, and the ability of the company to perform this contract, as well as other events deemed by the lender and/or borrower to constitute significant events.</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In this contract, “working days” refer to working days outside of statutory holidays and weekends in China (excluding Hong Kong, Macao, and Taiwan). “Business Day” in this contract refers to the business day of the lender’s bank. During the performance of the contract, if a withdrawal or repayment date is not a business day, it shall be postponed to the next business day.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5" w:name="page526"/>
    <w:bookmarkEnd w:id="525"/>
    <w:p>
      <w:pPr>
        <w:ind w:left="280"/>
        <w:spacing w:after="0"/>
        <w:rPr>
          <w:sz w:val="20"/>
          <w:szCs w:val="20"/>
          <w:color w:val="auto"/>
        </w:rPr>
      </w:pPr>
      <w:r>
        <w:rPr>
          <w:rFonts w:ascii="Times New Roman" w:cs="Times New Roman" w:eastAsia="Times New Roman" w:hAnsi="Times New Roman"/>
          <w:sz w:val="16"/>
          <w:szCs w:val="16"/>
          <w:b w:val="1"/>
          <w:bCs w:val="1"/>
          <w:color w:val="auto"/>
        </w:rPr>
        <w:t>Article 2 Loan Amount</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lender agrees to grant the borrower a loan of RMB (amount in words) six million yuan (currency).</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3 Purpose of Loan</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This loan is used for daily business operations such as upstream procurement and payment of employee salaries. Without the written consent of the lender, the borrower shall not use the loan for other purposes.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4 Term of loan</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loan term is 12 months, from March 4, 2025 to March 3, 2026.</w:t>
      </w:r>
    </w:p>
    <w:p>
      <w:pPr>
        <w:spacing w:after="0" w:line="214"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For a one-time loan, the loan disbursement date shall be based on the actual disbursement date recorded in the loan receipt and loan voucher. If the actual disbursement date is later than the loan disbursement date recorded in the preceding paragraph, the loan maturity date shall be correspondingly extended.</w:t>
      </w:r>
    </w:p>
    <w:p>
      <w:pPr>
        <w:spacing w:after="0" w:line="190"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 xml:space="preserve">3 </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loan allocation plan is :</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_/_year_/_month_/_date_/_amount; _/_year_/_month_/_date_/_amount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shall apply to the lender for withdrawal procedures three working days before each withdrawal date or at any other time requested in writing by the lender.</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borrower fails to withdraw the loan in accordance with the agreed installment period and amount, the lender has the right to demand that the borrower pay a penalty in accordance with the provisions of Article 23, Special Agreement Clause 7 of this contract. If the borrower belongs to small and micro enterprises that comply with national regulations, policies, etc., no penalty will be charged for this breach of contract.</w:t>
      </w:r>
    </w:p>
    <w:p>
      <w:pPr>
        <w:spacing w:after="0" w:line="168"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Subject to the conditions precedent for withdrawal as stipulated in Article 6 of this Agreement, the lender shall pay the loan funds in accordance with the provisions of Article 7 of this Agreement.</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lender has the right to adjust the loan allocation plan appropriately based on whether the loan meets the provisions of relevant laws, regulations, policies, and the withdrawal prerequisites stipulated in this contract, the payment conditions of the loan funds, the signing and processing time of the corresponding guarantee contract and guarantee procedures in this contract, as well as other factors deemed necessary by the lender.</w:t>
      </w:r>
    </w:p>
    <w:p>
      <w:pPr>
        <w:spacing w:after="0" w:line="189"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loan is used in installments, the actual disbursement date recorded in the loan receipt or loan voucher shall prevail for each disbursement date, and the same maturity date shall be implemented. That is, for each disbursement of loans, the maturity date determined in the loan receipt or loan voucher for the first disbursement shall be the same maturity date.</w:t>
      </w:r>
    </w:p>
    <w:p>
      <w:pPr>
        <w:spacing w:after="0" w:line="189"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 xml:space="preserve">7 </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lender receives the loan in advance according to the circumstances stipulated in this contract, it shall be deemed that the loan maturity date has been correspondingly advanced.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26" w:name="page527"/>
    <w:bookmarkEnd w:id="526"/>
    <w:p>
      <w:pPr>
        <w:ind w:left="280"/>
        <w:spacing w:after="0"/>
        <w:rPr>
          <w:sz w:val="20"/>
          <w:szCs w:val="20"/>
          <w:color w:val="auto"/>
        </w:rPr>
      </w:pPr>
      <w:r>
        <w:rPr>
          <w:rFonts w:ascii="Times New Roman" w:cs="Times New Roman" w:eastAsia="Times New Roman" w:hAnsi="Times New Roman"/>
          <w:sz w:val="16"/>
          <w:szCs w:val="16"/>
          <w:b w:val="1"/>
          <w:bCs w:val="1"/>
          <w:color w:val="auto"/>
        </w:rPr>
        <w:t>Article 5 Loan Interest Rate and Interest Collection</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Loan interest rate (referring to the annualized interest rate calculated using the simple interest method, the same below)</w:t>
      </w:r>
    </w:p>
    <w:p>
      <w:pPr>
        <w:spacing w:after="0" w:line="202" w:lineRule="exact"/>
        <w:rPr>
          <w:sz w:val="20"/>
          <w:szCs w:val="20"/>
          <w:color w:val="auto"/>
        </w:rPr>
      </w:pPr>
    </w:p>
    <w:p>
      <w:pPr>
        <w:ind w:left="520" w:hanging="235"/>
        <w:spacing w:after="0"/>
        <w:tabs>
          <w:tab w:leader="none" w:pos="520" w:val="left"/>
        </w:tabs>
        <w:numPr>
          <w:ilvl w:val="0"/>
          <w:numId w:val="5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benchmark interest rate shall be executed according to the first of the following agreements:</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LPR one year 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SHIBOR__term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 SOFR;</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 SOFR term interest rate__term grade;</w:t>
      </w:r>
    </w:p>
    <w:p>
      <w:pPr>
        <w:spacing w:after="0" w:line="164" w:lineRule="exact"/>
        <w:rPr>
          <w:rFonts w:ascii="Times New Roman" w:cs="Times New Roman" w:eastAsia="Times New Roman" w:hAnsi="Times New Roman"/>
          <w:sz w:val="16"/>
          <w:szCs w:val="16"/>
          <w:color w:val="auto"/>
        </w:rPr>
      </w:pPr>
    </w:p>
    <w:p>
      <w:pPr>
        <w:ind w:left="280"/>
        <w:spacing w:after="0" w:line="184"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STR;</w:t>
      </w:r>
    </w:p>
    <w:p>
      <w:pPr>
        <w:spacing w:after="0" w:line="236"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 SONIA;</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 TSRR__term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 TONA;</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SARON;</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 HIBOR__term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 SIBOR__term grade;</w:t>
      </w:r>
    </w:p>
    <w:p>
      <w:pPr>
        <w:spacing w:after="0" w:line="200" w:lineRule="exact"/>
        <w:rPr>
          <w:rFonts w:ascii="Times New Roman" w:cs="Times New Roman" w:eastAsia="Times New Roman" w:hAnsi="Times New Roman"/>
          <w:sz w:val="16"/>
          <w:szCs w:val="16"/>
          <w:color w:val="auto"/>
        </w:rPr>
      </w:pPr>
    </w:p>
    <w:p>
      <w:pPr>
        <w:ind w:left="2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 The benchmark interest rate for RMB deposits by the central bank__term grade.</w:t>
      </w:r>
    </w:p>
    <w:p>
      <w:pPr>
        <w:spacing w:after="0" w:line="201"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Among them, RMB fixed rate loans should choose LPR as the pricing benchmark interest rate. The pricing benchmark interest rate shall be used within the currency range specified in Article 1 “Definition and Interpretation” of the pricing benchmark interest rate.</w:t>
      </w:r>
    </w:p>
    <w:p>
      <w:pPr>
        <w:spacing w:after="0" w:line="143" w:lineRule="exact"/>
        <w:rPr>
          <w:sz w:val="20"/>
          <w:szCs w:val="20"/>
          <w:color w:val="auto"/>
        </w:rPr>
      </w:pPr>
    </w:p>
    <w:p>
      <w:pPr>
        <w:ind w:left="520" w:hanging="235"/>
        <w:spacing w:after="0"/>
        <w:tabs>
          <w:tab w:leader="none" w:pos="520" w:val="left"/>
        </w:tabs>
        <w:numPr>
          <w:ilvl w:val="0"/>
          <w:numId w:val="5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formula for the loan interest rate is: interest rate= pricing benchmark interest rate+__% or -_0.5_%.</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interest rate shall be executed according to the first of the following agreements: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fixed interest rate. The interest rate shall be determined in the following method B:</w:t>
      </w:r>
    </w:p>
    <w:p>
      <w:pPr>
        <w:spacing w:after="0" w:line="201"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A. The loan interest rate shall be determined based on the benchmark interest rate and pricing formula on the actual disbursement date. The interest rate shall remain unchanged between the actual disbursement date and the loan maturity date of this contract.</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B. According to the pricing benchmark interest rate and pricing formula agreed upon on the date of contract signing, the fixed interest rate for the loan is 2.6% annual interest rate. If there is an adjustment to the pricing benchmark interest rate on the actual disbursement date, the plus or minus points in the pricing formula will be adjusted accordingly, and the above-mentioned annualized interest rate agreed upon in this contract will remain unchanged.</w:t>
      </w:r>
    </w:p>
    <w:p>
      <w:pPr>
        <w:spacing w:after="0" w:line="156" w:lineRule="exact"/>
        <w:rPr>
          <w:sz w:val="20"/>
          <w:szCs w:val="20"/>
          <w:color w:val="auto"/>
        </w:rPr>
      </w:pPr>
    </w:p>
    <w:p>
      <w:pPr>
        <w:ind w:right="20" w:firstLine="285"/>
        <w:spacing w:after="0" w:line="283" w:lineRule="auto"/>
        <w:tabs>
          <w:tab w:leader="none" w:pos="526" w:val="left"/>
        </w:tabs>
        <w:numPr>
          <w:ilvl w:val="0"/>
          <w:numId w:val="5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Floating interest rates. Determine the loan interest rate based on the benchmark interest rate and pricing formula on the actual disbursement date and repricing date, and calculate interest in segments. The repricing date shall be executed according to the _/_ method as follows:</w:t>
      </w:r>
    </w:p>
    <w:p>
      <w:pPr>
        <w:spacing w:after="0" w:line="143" w:lineRule="exact"/>
        <w:rPr>
          <w:sz w:val="20"/>
          <w:szCs w:val="20"/>
          <w:color w:val="auto"/>
        </w:rPr>
      </w:pPr>
    </w:p>
    <w:p>
      <w:pPr>
        <w:ind w:right="20" w:firstLine="289"/>
        <w:spacing w:after="0" w:line="283" w:lineRule="auto"/>
        <w:rPr>
          <w:sz w:val="20"/>
          <w:szCs w:val="20"/>
          <w:color w:val="auto"/>
        </w:rPr>
      </w:pPr>
      <w:r>
        <w:rPr>
          <w:rFonts w:ascii="Times New Roman" w:cs="Times New Roman" w:eastAsia="Times New Roman" w:hAnsi="Times New Roman"/>
          <w:sz w:val="16"/>
          <w:szCs w:val="16"/>
          <w:color w:val="auto"/>
        </w:rPr>
        <w:t>A. The floating period is _/_(month/quarter/half a year/year), and the corresponding day of each full cycle from the actual disbursement date of the loan is the contract repricing date. If there is no corresponding day in the current month, the last day of that month shall be the corresponding day.</w:t>
      </w:r>
    </w:p>
    <w:p>
      <w:pPr>
        <w:spacing w:after="0" w:line="119" w:lineRule="exact"/>
        <w:rPr>
          <w:sz w:val="20"/>
          <w:szCs w:val="20"/>
          <w:color w:val="auto"/>
        </w:rPr>
      </w:pPr>
    </w:p>
    <w:p>
      <w:pPr>
        <w:ind w:right="20" w:firstLine="285"/>
        <w:spacing w:after="0" w:line="225" w:lineRule="exact"/>
        <w:tabs>
          <w:tab w:leader="none" w:pos="482" w:val="left"/>
        </w:tabs>
        <w:numPr>
          <w:ilvl w:val="0"/>
          <w:numId w:val="5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those using SOFR</w:t>
      </w:r>
      <w:r>
        <w:rPr>
          <w:rFonts w:ascii="SimSun" w:cs="SimSun" w:eastAsia="SimSun" w:hAnsi="SimSun"/>
          <w:sz w:val="16"/>
          <w:szCs w:val="16"/>
          <w:color w:val="auto"/>
        </w:rPr>
        <w: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STR</w:t>
      </w:r>
      <w:r>
        <w:rPr>
          <w:rFonts w:ascii="SimSun" w:cs="SimSun" w:eastAsia="SimSun" w:hAnsi="SimSun"/>
          <w:sz w:val="16"/>
          <w:szCs w:val="16"/>
          <w:color w:val="auto"/>
        </w:rPr>
        <w:t>、</w:t>
      </w:r>
      <w:r>
        <w:rPr>
          <w:rFonts w:ascii="Times New Roman" w:cs="Times New Roman" w:eastAsia="Times New Roman" w:hAnsi="Times New Roman"/>
          <w:sz w:val="16"/>
          <w:szCs w:val="16"/>
          <w:color w:val="auto"/>
        </w:rPr>
        <w:t>SONIA</w:t>
      </w:r>
      <w:r>
        <w:rPr>
          <w:rFonts w:ascii="SimSun" w:cs="SimSun" w:eastAsia="SimSun" w:hAnsi="SimSun"/>
          <w:sz w:val="16"/>
          <w:szCs w:val="16"/>
          <w:color w:val="auto"/>
        </w:rPr>
        <w:t>、</w:t>
      </w:r>
      <w:r>
        <w:rPr>
          <w:rFonts w:ascii="Times New Roman" w:cs="Times New Roman" w:eastAsia="Times New Roman" w:hAnsi="Times New Roman"/>
          <w:sz w:val="16"/>
          <w:szCs w:val="16"/>
          <w:color w:val="auto"/>
        </w:rPr>
        <w:t>TONA</w:t>
      </w:r>
      <w:r>
        <w:rPr>
          <w:rFonts w:ascii="SimSun" w:cs="SimSun" w:eastAsia="SimSun" w:hAnsi="SimSun"/>
          <w:sz w:val="16"/>
          <w:szCs w:val="16"/>
          <w:color w:val="auto"/>
        </w:rPr>
        <w:t>、</w:t>
      </w:r>
      <w:r>
        <w:rPr>
          <w:rFonts w:ascii="Times New Roman" w:cs="Times New Roman" w:eastAsia="Times New Roman" w:hAnsi="Times New Roman"/>
          <w:sz w:val="16"/>
          <w:szCs w:val="16"/>
          <w:color w:val="auto"/>
        </w:rPr>
        <w:t>SARON as the pricing benchmark interest rate, each interest day during the interest period (i.e. each natural day during the loan period) shall be the contract repricing date.</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(c) other pricing method:_______/______.</w:t>
      </w:r>
    </w:p>
    <w:p>
      <w:pPr>
        <w:spacing w:after="0" w:line="201" w:lineRule="exact"/>
        <w:rPr>
          <w:sz w:val="20"/>
          <w:szCs w:val="20"/>
          <w:color w:val="auto"/>
        </w:rPr>
      </w:pPr>
    </w:p>
    <w:p>
      <w:pPr>
        <w:jc w:val="both"/>
        <w:ind w:right="20" w:firstLine="285"/>
        <w:spacing w:after="0" w:line="267" w:lineRule="auto"/>
        <w:tabs>
          <w:tab w:leader="none" w:pos="517" w:val="left"/>
        </w:tabs>
        <w:numPr>
          <w:ilvl w:val="0"/>
          <w:numId w:val="5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pricing benchmark interest rate corresponding to the loans used under this contract shall be determined based on the actual disbursement date (or repricing date, if any) of each loan. During the loan period, unless otherwise agreed in the contract, if the loan interest rate is adjusted according to the contract, the borrower will not be notified.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527" w:name="page528"/>
    <w:bookmarkEnd w:id="527"/>
    <w:p>
      <w:pPr>
        <w:jc w:val="both"/>
        <w:ind w:firstLine="285"/>
        <w:spacing w:after="0" w:line="257" w:lineRule="auto"/>
        <w:tabs>
          <w:tab w:leader="none" w:pos="522" w:val="left"/>
        </w:tabs>
        <w:numPr>
          <w:ilvl w:val="0"/>
          <w:numId w:val="5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China or relevant countries/regions cancel the pricing benchmark interest rate under this contract, or the market no longer publishes the pricing benchmark interest rate, or regulatory authorities require the loan issued under this contract, the lender has the right to re determine the loan interest rate based on the same period’s interest rate policies of China or relevant countries/regions, in accordance with the principles of fairness and good faith, and referring to industry practices, interest rate conditions, and other factors, and notify the borrower. If the borrower has objections, they should negotiate with the lender. If the negotiation fails within five working days from the date of the lender’s notification, the lender has the right to receive the loan in advance, and the borrower shall immediately repay the remaining loan principal and interest. If the lender requests or national or regulatory policies require the borrower to sign a supplementary agreement on relevant matters at that time, the borrower should cooperate.</w:t>
      </w:r>
    </w:p>
    <w:p>
      <w:pPr>
        <w:spacing w:after="0" w:line="177"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Loan interest repayment method</w:t>
      </w:r>
    </w:p>
    <w:p>
      <w:pPr>
        <w:spacing w:after="0" w:line="202" w:lineRule="exact"/>
        <w:rPr>
          <w:sz w:val="20"/>
          <w:szCs w:val="20"/>
          <w:color w:val="auto"/>
        </w:rPr>
      </w:pPr>
    </w:p>
    <w:p>
      <w:pPr>
        <w:jc w:val="both"/>
        <w:ind w:right="20" w:firstLine="285"/>
        <w:spacing w:after="0" w:line="267" w:lineRule="auto"/>
        <w:tabs>
          <w:tab w:leader="none" w:pos="535" w:val="left"/>
        </w:tabs>
        <w:numPr>
          <w:ilvl w:val="0"/>
          <w:numId w:val="5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Calculation of loan interest. The principal of domestic and foreign currency loans shall bear interest from the date when the lender transfers it to the borrower’s account in accordance with the provisions of this contract. Daily accrued interest on loans=daily loan balance x daily interest rate. The conversion of daily interest rates to annual interest rates shall be carried out in accordance with the regulations of the People’s Bank of China and international conventions.</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repayment method of loan interest shall be executed the first type of agreement:</w:t>
      </w:r>
    </w:p>
    <w:p>
      <w:pPr>
        <w:spacing w:after="0" w:line="201" w:lineRule="exact"/>
        <w:rPr>
          <w:sz w:val="20"/>
          <w:szCs w:val="20"/>
          <w:color w:val="auto"/>
        </w:rPr>
      </w:pPr>
    </w:p>
    <w:p>
      <w:pPr>
        <w:ind w:right="20" w:firstLine="285"/>
        <w:spacing w:after="0" w:line="283" w:lineRule="auto"/>
        <w:tabs>
          <w:tab w:leader="none" w:pos="511" w:val="left"/>
        </w:tabs>
        <w:numPr>
          <w:ilvl w:val="0"/>
          <w:numId w:val="5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agreement in this contract stipulates that the 21st day of the last month of each quarter shall be the interest payment date. The borrower shall pay the current loan interest to the lender on the interest payment date and settle the remaining principal and interest upon maturity of the loan.</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1" w:val="left"/>
        </w:tabs>
        <w:numPr>
          <w:ilvl w:val="0"/>
          <w:numId w:val="5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actual disbursement date of the loan, the corresponding day of each full month/quarter/half year/year (if there is no corresponding day in the current month, the last day of that month shall be the corresponding day) shall be the interest payment date for each period. The borrower shall pay the current loan interest to the lender on the interest payment date and settle the remaining principal and interest upon maturity of the loan.</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28" w:val="left"/>
        </w:tabs>
        <w:numPr>
          <w:ilvl w:val="0"/>
          <w:numId w:val="5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interest payment date is MM/DD/YYYY. From the first interest payment date, every __(month/quarter/half year/year) corresponding day (if there is no corresponding day in the current month, the last day of that month shall be the corresponding day) shall be the interest payment date for each period. The borrower shall pay the current loan interest to the lender on the interest payment date and settle the remaining principal and interest upon maturity of the loan.</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repayment method:__________/________.</w:t>
      </w:r>
    </w:p>
    <w:p>
      <w:pPr>
        <w:spacing w:after="0" w:line="213"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Penalty interest and compound interest</w:t>
      </w:r>
    </w:p>
    <w:p>
      <w:pPr>
        <w:spacing w:after="0" w:line="202" w:lineRule="exact"/>
        <w:rPr>
          <w:sz w:val="20"/>
          <w:szCs w:val="20"/>
          <w:color w:val="auto"/>
        </w:rPr>
      </w:pPr>
    </w:p>
    <w:p>
      <w:pPr>
        <w:jc w:val="both"/>
        <w:ind w:firstLine="285"/>
        <w:spacing w:after="0" w:line="257" w:lineRule="auto"/>
        <w:tabs>
          <w:tab w:leader="none" w:pos="517" w:val="left"/>
        </w:tabs>
        <w:numPr>
          <w:ilvl w:val="0"/>
          <w:numId w:val="5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fails to use the loan for the purpose specified in this contract, the lender shall have the right to charge penalty interest on the misappropriated loan from the date of misappropriation. The penalty interest rate shall be 100% higher than the loan interest rate; If the borrower fails to repay the loan on time and does not reach an agreement with the lender regarding the extension, i.e. the loan is overdue, the lender has the right to charge penalty interest on the overdue loan from the date of overdue. The penalty interest rate is 50% higher than the loan interest rate; The lender has the right to charge compound interest at the loan overdue penalty interest rate agreed upon in this contract for the interest not paid on time (including interest before and after the loan maturity, misappropriation penalty interest, and overdue penalty interest). If the same loan is overdue and not used for the purpose specified in the contract, the penalty interest rate shall be calculated based on the higher one.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8" w:name="page529"/>
    <w:bookmarkEnd w:id="528"/>
    <w:p>
      <w:pPr>
        <w:ind w:right="20" w:firstLine="285"/>
        <w:spacing w:after="0" w:line="283" w:lineRule="auto"/>
        <w:tabs>
          <w:tab w:leader="none" w:pos="524" w:val="left"/>
        </w:tabs>
        <w:numPr>
          <w:ilvl w:val="0"/>
          <w:numId w:val="5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interest rate is fixed, the penalty interest rate is also fixed; If the loan interest rate adopts a floating interest rate, the penalty interest rate is also a floating interest rate, and its floating period is consistent with the floating period of the loan interest rate.</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5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collection of penalty interest and compound interest shall be carried out in accordance with the loan interest repayment method stipulated in this contract.</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6 Conditions Precedent for Withdrawal</w:t>
      </w:r>
    </w:p>
    <w:p>
      <w:pPr>
        <w:spacing w:after="0" w:line="215" w:lineRule="exact"/>
        <w:rPr>
          <w:sz w:val="20"/>
          <w:szCs w:val="20"/>
          <w:color w:val="auto"/>
        </w:rPr>
      </w:pPr>
    </w:p>
    <w:p>
      <w:pPr>
        <w:ind w:firstLine="289"/>
        <w:spacing w:after="0" w:line="213"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borrower may apply to the lender for the disbursement of the loan under this contract only after meeting the following withdrawal prerequisites required by the lender</w:t>
      </w:r>
      <w:r>
        <w:rPr>
          <w:rFonts w:ascii="SimSun" w:cs="SimSun" w:eastAsia="SimSun" w:hAnsi="SimSun"/>
          <w:sz w:val="16"/>
          <w:szCs w:val="16"/>
          <w:color w:val="auto"/>
        </w:rPr>
        <w:t>：</w:t>
      </w:r>
    </w:p>
    <w:p>
      <w:pPr>
        <w:spacing w:after="0" w:line="188" w:lineRule="exact"/>
        <w:rPr>
          <w:sz w:val="20"/>
          <w:szCs w:val="20"/>
          <w:color w:val="auto"/>
        </w:rPr>
      </w:pPr>
    </w:p>
    <w:p>
      <w:pPr>
        <w:ind w:right="20" w:firstLine="285"/>
        <w:spacing w:after="0" w:line="206" w:lineRule="exact"/>
        <w:tabs>
          <w:tab w:leader="none" w:pos="514" w:val="left"/>
        </w:tabs>
        <w:numPr>
          <w:ilvl w:val="0"/>
          <w:numId w:val="5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delivered the following documents to the lender, and the information stated in the documents has not changed and remains valid, or the borrower has provided satisfactory explanations and clarifications to the lender regarding the changes</w:t>
      </w:r>
      <w:r>
        <w:rPr>
          <w:rFonts w:ascii="SimSun" w:cs="SimSun" w:eastAsia="SimSun" w:hAnsi="SimSun"/>
          <w:sz w:val="16"/>
          <w:szCs w:val="16"/>
          <w:color w:val="auto"/>
        </w:rPr>
        <w:t>：</w:t>
      </w:r>
    </w:p>
    <w:p>
      <w:pPr>
        <w:spacing w:after="0" w:line="190" w:lineRule="exact"/>
        <w:rPr>
          <w:sz w:val="20"/>
          <w:szCs w:val="20"/>
          <w:color w:val="auto"/>
        </w:rPr>
      </w:pPr>
    </w:p>
    <w:p>
      <w:pPr>
        <w:ind w:left="460" w:hanging="175"/>
        <w:spacing w:after="0"/>
        <w:tabs>
          <w:tab w:leader="none" w:pos="460" w:val="left"/>
        </w:tabs>
        <w:numPr>
          <w:ilvl w:val="0"/>
          <w:numId w:val="56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 loan application form, which mainly includes but is not limited to: loan project name, amount, purpose, term, repayment plan, and repayment source;</w:t>
      </w:r>
    </w:p>
    <w:p>
      <w:pPr>
        <w:spacing w:after="0" w:line="201" w:lineRule="exact"/>
        <w:rPr>
          <w:sz w:val="20"/>
          <w:szCs w:val="20"/>
          <w:color w:val="auto"/>
        </w:rPr>
      </w:pPr>
    </w:p>
    <w:p>
      <w:pPr>
        <w:jc w:val="both"/>
        <w:ind w:firstLine="285"/>
        <w:spacing w:after="0" w:line="261" w:lineRule="auto"/>
        <w:tabs>
          <w:tab w:leader="none" w:pos="476" w:val="left"/>
        </w:tabs>
        <w:numPr>
          <w:ilvl w:val="0"/>
          <w:numId w:val="56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borrower’s legal and valid business license, company articles of association, loan card and password/credit code, legal representative and board members and main responsible persons registered and filed with the industrial and commercial administration department, list and signature samples of financial responsible persons, valid identification documents of the legal representative or its authorized representative, written documents of the legal representative or its authorized representative and relevant natural persons agreeing to the lender’s processing of their personal information, and other company documents deemed necessary by the lender;</w:t>
      </w:r>
    </w:p>
    <w:p>
      <w:pPr>
        <w:spacing w:after="0" w:line="162" w:lineRule="exact"/>
        <w:rPr>
          <w:sz w:val="20"/>
          <w:szCs w:val="20"/>
          <w:color w:val="auto"/>
        </w:rPr>
      </w:pPr>
    </w:p>
    <w:p>
      <w:pPr>
        <w:jc w:val="both"/>
        <w:ind w:right="20" w:firstLine="285"/>
        <w:spacing w:after="0" w:line="267" w:lineRule="auto"/>
        <w:tabs>
          <w:tab w:leader="none" w:pos="478" w:val="left"/>
        </w:tabs>
        <w:numPr>
          <w:ilvl w:val="0"/>
          <w:numId w:val="56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shall convene a resolution of the board of directors or shareholders in accordance with legal procedures, which has been passed by a vote of a quorum of directors or shareholders, and is true, legal, and valid. The resolution of the board of directors or shareholders or other documents deemed necessary by the lender regarding agreeing to apply for loans under this contract from the lender, clarifying the purpose of the loan, and accepting all loan conditions requested by the lender;</w:t>
      </w:r>
    </w:p>
    <w:p>
      <w:pPr>
        <w:spacing w:after="0" w:line="156" w:lineRule="exact"/>
        <w:rPr>
          <w:sz w:val="20"/>
          <w:szCs w:val="20"/>
          <w:color w:val="auto"/>
        </w:rPr>
      </w:pPr>
    </w:p>
    <w:p>
      <w:pPr>
        <w:ind w:right="20" w:firstLine="285"/>
        <w:spacing w:after="0" w:line="283" w:lineRule="auto"/>
        <w:tabs>
          <w:tab w:leader="none" w:pos="482" w:val="left"/>
        </w:tabs>
        <w:numPr>
          <w:ilvl w:val="0"/>
          <w:numId w:val="57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reports for the past three years (with audit reports and notes) recognized by the lender, financial statements for the most recent period and the same period last year. Borrowers who have been established for less than three years shall submit annual statements since their establishment;</w:t>
      </w:r>
    </w:p>
    <w:p>
      <w:pPr>
        <w:spacing w:after="0" w:line="143" w:lineRule="exact"/>
        <w:rPr>
          <w:sz w:val="20"/>
          <w:szCs w:val="20"/>
          <w:color w:val="auto"/>
        </w:rPr>
      </w:pPr>
    </w:p>
    <w:p>
      <w:pPr>
        <w:ind w:left="460" w:hanging="175"/>
        <w:spacing w:after="0"/>
        <w:tabs>
          <w:tab w:leader="none" w:pos="460" w:val="left"/>
        </w:tabs>
        <w:numPr>
          <w:ilvl w:val="0"/>
          <w:numId w:val="57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Related party information;</w:t>
      </w:r>
    </w:p>
    <w:p>
      <w:pPr>
        <w:spacing w:after="0" w:line="201" w:lineRule="exact"/>
        <w:rPr>
          <w:sz w:val="20"/>
          <w:szCs w:val="20"/>
          <w:color w:val="auto"/>
        </w:rPr>
      </w:pPr>
    </w:p>
    <w:p>
      <w:pPr>
        <w:ind w:firstLine="285"/>
        <w:spacing w:after="0" w:line="283" w:lineRule="auto"/>
        <w:tabs>
          <w:tab w:leader="none" w:pos="491" w:val="left"/>
        </w:tabs>
        <w:numPr>
          <w:ilvl w:val="0"/>
          <w:numId w:val="57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For applying for temporary working capital loans, relevant contracts, vouchers or materials such as purchase contracts, order contracts, debt certificates, etc. must be provided;</w:t>
      </w:r>
    </w:p>
    <w:p>
      <w:pPr>
        <w:spacing w:after="0" w:line="143" w:lineRule="exact"/>
        <w:rPr>
          <w:sz w:val="20"/>
          <w:szCs w:val="20"/>
          <w:color w:val="auto"/>
        </w:rPr>
      </w:pPr>
    </w:p>
    <w:p>
      <w:pPr>
        <w:jc w:val="both"/>
        <w:ind w:right="20" w:firstLine="285"/>
        <w:spacing w:after="0" w:line="198" w:lineRule="exact"/>
        <w:tabs>
          <w:tab w:leader="none" w:pos="473" w:val="left"/>
        </w:tabs>
        <w:numPr>
          <w:ilvl w:val="0"/>
          <w:numId w:val="57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mortgage/pledge guarantee method is to be adopted, proof of ownership of the mortgage/pledge property rights, evaluation value report must be provided, and the mortgage/pledge registration procedures required by relevant laws and regulations have been properly handled. The original copies of relevant ownership proof documents, registration proof documents, etc. have been handed over to the lender for storage as required by the lender; To adopt a third-party guarantee, relevant guarantee materials must be provided in accordance with the requirements of items 2 to 4 above, and the guarantee contract has become effective; The above guarantee shall remain valid and effective</w:t>
      </w:r>
      <w:r>
        <w:rPr>
          <w:rFonts w:ascii="SimSun" w:cs="SimSun" w:eastAsia="SimSun" w:hAnsi="SimSun"/>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9" w:name="page530"/>
    <w:bookmarkEnd w:id="529"/>
    <w:p>
      <w:pPr>
        <w:jc w:val="both"/>
        <w:ind w:right="20" w:firstLine="285"/>
        <w:spacing w:after="0" w:line="202" w:lineRule="exact"/>
        <w:tabs>
          <w:tab w:leader="none" w:pos="475" w:val="left"/>
        </w:tabs>
        <w:numPr>
          <w:ilvl w:val="0"/>
          <w:numId w:val="57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lender requests to handle insurance for the mortgaged/pledged property, the insurance procedures with the lender as the first beneficiary have been completed and the original insurance policy has been handed over to the lender for safekeeping; And the insurance shall remain in effect; If the borrower provides mortgage/pledge, the borrower hereby transfers the right to claim insurance benefits due to the occurrence of insurance events to the lender</w:t>
      </w:r>
      <w:r>
        <w:rPr>
          <w:rFonts w:ascii="SimSun" w:cs="SimSun" w:eastAsia="SimSun" w:hAnsi="SimSun"/>
          <w:sz w:val="16"/>
          <w:szCs w:val="16"/>
          <w:color w:val="auto"/>
        </w:rPr>
        <w:t>；</w:t>
      </w:r>
    </w:p>
    <w:p>
      <w:pPr>
        <w:spacing w:after="0" w:line="189" w:lineRule="exact"/>
        <w:rPr>
          <w:sz w:val="20"/>
          <w:szCs w:val="20"/>
          <w:color w:val="auto"/>
        </w:rPr>
      </w:pPr>
    </w:p>
    <w:p>
      <w:pPr>
        <w:ind w:right="20" w:firstLine="285"/>
        <w:spacing w:after="0" w:line="283" w:lineRule="auto"/>
        <w:tabs>
          <w:tab w:leader="none" w:pos="545" w:val="left"/>
        </w:tabs>
        <w:numPr>
          <w:ilvl w:val="0"/>
          <w:numId w:val="57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Special industry enterprises must provide special industry production and operation licenses or enterprise qualification level certificates issued by authorized departments for approval;</w:t>
      </w:r>
    </w:p>
    <w:p>
      <w:pPr>
        <w:spacing w:after="0" w:line="143" w:lineRule="exact"/>
        <w:rPr>
          <w:sz w:val="20"/>
          <w:szCs w:val="20"/>
          <w:color w:val="auto"/>
        </w:rPr>
      </w:pPr>
    </w:p>
    <w:p>
      <w:pPr>
        <w:ind w:left="460" w:hanging="175"/>
        <w:spacing w:after="0"/>
        <w:tabs>
          <w:tab w:leader="none" w:pos="460" w:val="left"/>
        </w:tabs>
        <w:numPr>
          <w:ilvl w:val="0"/>
          <w:numId w:val="57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either party to this contract requests notarization or other procedures, the relevant notarization procedures have been completed;</w:t>
      </w:r>
    </w:p>
    <w:p>
      <w:pPr>
        <w:spacing w:after="0" w:line="213" w:lineRule="exact"/>
        <w:rPr>
          <w:sz w:val="20"/>
          <w:szCs w:val="20"/>
          <w:color w:val="auto"/>
        </w:rPr>
      </w:pPr>
    </w:p>
    <w:p>
      <w:pPr>
        <w:ind w:left="480" w:hanging="195"/>
        <w:spacing w:after="0"/>
        <w:tabs>
          <w:tab w:leader="none" w:pos="480" w:val="left"/>
        </w:tabs>
        <w:numPr>
          <w:ilvl w:val="0"/>
          <w:numId w:val="57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opened an account at the lender’s request and voluntarily accepts the lender’s credit supervision and payment settlement supervision;</w:t>
      </w:r>
    </w:p>
    <w:p>
      <w:pPr>
        <w:spacing w:after="0" w:line="225" w:lineRule="exact"/>
        <w:rPr>
          <w:sz w:val="20"/>
          <w:szCs w:val="20"/>
          <w:color w:val="auto"/>
        </w:rPr>
      </w:pPr>
    </w:p>
    <w:p>
      <w:pPr>
        <w:ind w:right="20" w:firstLine="285"/>
        <w:spacing w:after="0" w:line="213" w:lineRule="exact"/>
        <w:tabs>
          <w:tab w:leader="none" w:pos="533" w:val="left"/>
        </w:tabs>
        <w:numPr>
          <w:ilvl w:val="0"/>
          <w:numId w:val="57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applying for a foreign exchange project loan must provide a valid proof of the purpose of the foreign exchange loan and approval from relevant departments, and comply with relevant foreign exchange management policies</w:t>
      </w:r>
      <w:r>
        <w:rPr>
          <w:rFonts w:ascii="SimSun" w:cs="SimSun" w:eastAsia="SimSun" w:hAnsi="SimSun"/>
          <w:sz w:val="16"/>
          <w:szCs w:val="16"/>
          <w:color w:val="auto"/>
        </w:rPr>
        <w:t>；</w:t>
      </w:r>
    </w:p>
    <w:p>
      <w:pPr>
        <w:spacing w:after="0" w:line="201" w:lineRule="exact"/>
        <w:rPr>
          <w:sz w:val="20"/>
          <w:szCs w:val="20"/>
          <w:color w:val="auto"/>
        </w:rPr>
      </w:pPr>
    </w:p>
    <w:p>
      <w:pPr>
        <w:ind w:left="480" w:hanging="195"/>
        <w:spacing w:after="0"/>
        <w:tabs>
          <w:tab w:leader="none" w:pos="480" w:val="left"/>
        </w:tabs>
        <w:numPr>
          <w:ilvl w:val="0"/>
          <w:numId w:val="57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Value added tax, business tax, and income tax declaration forms requested by the lender;</w:t>
      </w:r>
    </w:p>
    <w:p>
      <w:pPr>
        <w:spacing w:after="0" w:line="225" w:lineRule="exact"/>
        <w:rPr>
          <w:sz w:val="20"/>
          <w:szCs w:val="20"/>
          <w:color w:val="auto"/>
        </w:rPr>
      </w:pPr>
    </w:p>
    <w:p>
      <w:pPr>
        <w:ind w:left="480" w:hanging="195"/>
        <w:spacing w:after="0"/>
        <w:tabs>
          <w:tab w:leader="none" w:pos="480" w:val="left"/>
        </w:tabs>
        <w:numPr>
          <w:ilvl w:val="0"/>
          <w:numId w:val="58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issued a commitment letter for the use of credit funds as requested by the lender;</w:t>
      </w:r>
    </w:p>
    <w:p>
      <w:pPr>
        <w:spacing w:after="0" w:line="225" w:lineRule="exact"/>
        <w:rPr>
          <w:sz w:val="20"/>
          <w:szCs w:val="20"/>
          <w:color w:val="auto"/>
        </w:rPr>
      </w:pPr>
    </w:p>
    <w:p>
      <w:pPr>
        <w:ind w:left="480" w:hanging="195"/>
        <w:spacing w:after="0"/>
        <w:tabs>
          <w:tab w:leader="none" w:pos="480" w:val="left"/>
        </w:tabs>
        <w:numPr>
          <w:ilvl w:val="0"/>
          <w:numId w:val="58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and relevant natural persons have issued a written document agreeing to the lender’s processing of their personal information as requested by the lender;</w:t>
      </w:r>
    </w:p>
    <w:p>
      <w:pPr>
        <w:spacing w:after="0" w:line="225"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⑯</w:t>
      </w:r>
      <w:r>
        <w:rPr>
          <w:rFonts w:ascii="Times New Roman" w:cs="Times New Roman" w:eastAsia="Times New Roman" w:hAnsi="Times New Roman"/>
          <w:sz w:val="16"/>
          <w:szCs w:val="16"/>
          <w:color w:val="auto"/>
        </w:rPr>
        <w:t>Other documents, reports, vouchers, and other materials requested by the lender.</w:t>
      </w:r>
    </w:p>
    <w:p>
      <w:pPr>
        <w:spacing w:after="0" w:line="213" w:lineRule="exact"/>
        <w:rPr>
          <w:sz w:val="20"/>
          <w:szCs w:val="20"/>
          <w:color w:val="auto"/>
        </w:rPr>
      </w:pPr>
    </w:p>
    <w:p>
      <w:pPr>
        <w:ind w:firstLine="285"/>
        <w:spacing w:after="0" w:line="283" w:lineRule="auto"/>
        <w:tabs>
          <w:tab w:leader="none" w:pos="52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is established in accordance with the law, has legal and compliant production and operation, has the ability to continue operating, and has a legitimate source of repayment;</w:t>
      </w:r>
    </w:p>
    <w:p>
      <w:pPr>
        <w:spacing w:after="0" w:line="155" w:lineRule="exact"/>
        <w:rPr>
          <w:rFonts w:ascii="Times New Roman" w:cs="Times New Roman" w:eastAsia="Times New Roman" w:hAnsi="Times New Roman"/>
          <w:sz w:val="16"/>
          <w:szCs w:val="16"/>
          <w:color w:val="auto"/>
        </w:rPr>
      </w:pPr>
    </w:p>
    <w:p>
      <w:pPr>
        <w:ind w:left="500" w:hanging="215"/>
        <w:spacing w:after="0" w:line="195" w:lineRule="exact"/>
        <w:tabs>
          <w:tab w:leader="none" w:pos="500"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the loan is clear, legal and compliant</w:t>
      </w:r>
      <w:r>
        <w:rPr>
          <w:rFonts w:ascii="SimSun" w:cs="SimSun" w:eastAsia="SimSun" w:hAnsi="SimSun"/>
          <w:sz w:val="16"/>
          <w:szCs w:val="16"/>
          <w:color w:val="auto"/>
        </w:rPr>
        <w:t>；</w:t>
      </w:r>
    </w:p>
    <w:p>
      <w:pPr>
        <w:spacing w:after="0" w:line="202" w:lineRule="exact"/>
        <w:rPr>
          <w:rFonts w:ascii="Times New Roman" w:cs="Times New Roman" w:eastAsia="Times New Roman" w:hAnsi="Times New Roman"/>
          <w:sz w:val="16"/>
          <w:szCs w:val="16"/>
          <w:color w:val="auto"/>
        </w:rPr>
      </w:pPr>
    </w:p>
    <w:p>
      <w:pPr>
        <w:ind w:right="20" w:firstLine="285"/>
        <w:spacing w:after="0" w:line="283" w:lineRule="auto"/>
        <w:tabs>
          <w:tab w:leader="none" w:pos="526"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and commitments made by the borrower in Article 11 of this contract shall remain true and valid; No default or potential default has occurred on or prior to the date of loan application;</w:t>
      </w:r>
    </w:p>
    <w:p>
      <w:pPr>
        <w:spacing w:after="0" w:line="143" w:lineRule="exact"/>
        <w:rPr>
          <w:rFonts w:ascii="Times New Roman" w:cs="Times New Roman" w:eastAsia="Times New Roman" w:hAnsi="Times New Roman"/>
          <w:sz w:val="16"/>
          <w:szCs w:val="16"/>
          <w:color w:val="auto"/>
        </w:rPr>
      </w:pPr>
    </w:p>
    <w:p>
      <w:pPr>
        <w:jc w:val="both"/>
        <w:ind w:firstLine="285"/>
        <w:spacing w:after="0" w:line="267" w:lineRule="auto"/>
        <w:tabs>
          <w:tab w:leader="none" w:pos="517"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completed the loan receipts or vouchers related to the loan disbursement. The promissory note or loan voucher is an integral part of this contract and has the same legal effect as this contract. If there is any inconsistency between the loan amount, loan term, loan interest rate, etc. under this contract and the record on the loan receipt or loan voucher, the record on the loan receipt or loan voucher shall prevail;</w:t>
      </w:r>
    </w:p>
    <w:p>
      <w:pPr>
        <w:spacing w:after="0" w:line="155" w:lineRule="exact"/>
        <w:rPr>
          <w:rFonts w:ascii="Times New Roman" w:cs="Times New Roman" w:eastAsia="Times New Roman" w:hAnsi="Times New Roman"/>
          <w:sz w:val="16"/>
          <w:szCs w:val="16"/>
          <w:color w:val="auto"/>
        </w:rPr>
      </w:pPr>
    </w:p>
    <w:p>
      <w:pPr>
        <w:jc w:val="both"/>
        <w:ind w:firstLine="285"/>
        <w:spacing w:after="0" w:line="267" w:lineRule="auto"/>
        <w:tabs>
          <w:tab w:leader="none" w:pos="524" w:val="left"/>
        </w:tabs>
        <w:numPr>
          <w:ilvl w:val="0"/>
          <w:numId w:val="5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a good credit condition and no major bad records; If the borrower is a newly established legal entity, its controlling shareholder should have good credit standing (the borrower should provide a written document from the natural person controlling shareholder agreeing to the lender’s handling of their personal information), and there should be no significant adverse records;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0" w:name="page531"/>
    <w:bookmarkEnd w:id="530"/>
    <w:p>
      <w:pPr>
        <w:ind w:left="280"/>
        <w:spacing w:after="0"/>
        <w:rPr>
          <w:sz w:val="20"/>
          <w:szCs w:val="20"/>
          <w:color w:val="auto"/>
        </w:rPr>
      </w:pPr>
      <w:r>
        <w:rPr>
          <w:rFonts w:ascii="Times New Roman" w:cs="Times New Roman" w:eastAsia="Times New Roman" w:hAnsi="Times New Roman"/>
          <w:sz w:val="16"/>
          <w:szCs w:val="16"/>
          <w:color w:val="auto"/>
        </w:rPr>
        <w:t>(7) Other withdrawal prerequisites requested by the lender.</w:t>
      </w:r>
    </w:p>
    <w:p>
      <w:pPr>
        <w:spacing w:after="0" w:line="21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lender’s performance of obligations under this contract is conditional on the satisfaction of the withdrawal conditions stipulated in this clause. The lender has the right to unilaterally decide to reduce or waive a partial withdrawal prerequisite, and the borrower or guarantor shall not use this condition as a defense against the lender.</w:t>
      </w:r>
    </w:p>
    <w:p>
      <w:pPr>
        <w:spacing w:after="0" w:line="190"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lender has the right to adjust the loan disbursement appropriately based on factors such as whether the financing project meets relevant laws, regulations, policies, and the withdrawal prerequisites required by the lender, the signing of the corresponding guarantee contract under this contract, and the processing time of guarantee procedures.</w:t>
      </w:r>
    </w:p>
    <w:p>
      <w:pPr>
        <w:spacing w:after="0" w:line="189" w:lineRule="exact"/>
        <w:rPr>
          <w:sz w:val="20"/>
          <w:szCs w:val="20"/>
          <w:color w:val="auto"/>
        </w:rPr>
      </w:pPr>
    </w:p>
    <w:p>
      <w:pPr>
        <w:jc w:val="both"/>
        <w:ind w:firstLine="289"/>
        <w:spacing w:after="0" w:line="197"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agrees that, after the signing of this contract, if any withdrawal by the borrower fails to meet the conditions precedent for withdrawal or payment of loan funds as stipulated in this contract, the lender has the right to stop disbursement, stop payment of loan funds, or terminate this loan contract. The borrower shall bear the responsibility or losses arising from this. The lender shall notify the borrower of the termination of the contract, and the borrower’s objection period shall be five working days, calculated from the date when the termination notice is delivered to the borrower in the manner stipulated in this contract. If the borrower does not raise any objections, this contract shall be automatically terminated upon the expiration of the objection period. If the borrower has objections but both parties fail to reach an agreement within five working days after the expiration of the objection period, the lender has the right to receive the loan in advance according to the provisions of this contract.</w:t>
      </w:r>
    </w:p>
    <w:p>
      <w:pPr>
        <w:spacing w:after="0" w:line="191"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 xml:space="preserve">5 </w:t>
      </w:r>
      <w:r>
        <w:rPr>
          <w:rFonts w:ascii="SimSun" w:cs="SimSun" w:eastAsia="SimSun" w:hAnsi="SimSun"/>
          <w:sz w:val="16"/>
          <w:szCs w:val="16"/>
          <w:color w:val="auto"/>
        </w:rPr>
        <w:t>、</w:t>
      </w:r>
      <w:r>
        <w:rPr>
          <w:rFonts w:ascii="Times New Roman" w:cs="Times New Roman" w:eastAsia="Times New Roman" w:hAnsi="Times New Roman"/>
          <w:sz w:val="16"/>
          <w:szCs w:val="16"/>
          <w:color w:val="auto"/>
        </w:rPr>
        <w:t>After review by the lender, if the borrower meets the prerequisite conditions for withdrawal as stipulated in this contract, the lender shall pay the loan funds in accordance with Article 7 of this contract.</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7 Account Monitoring and Loan Fund Payment</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Account monitoring</w:t>
      </w:r>
    </w:p>
    <w:p>
      <w:pPr>
        <w:spacing w:after="0" w:line="202"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According to relevant national laws, regulations, and regulatory requirements, the borrower promises to meet the withdrawal prerequisites stipulated in the contract before applying for loan disbursement, and accept the lender’s supervision on the use of loan funds for the agreed purposes. The lender has the right to monitor the basic deposit account, general deposit account, and special deposit account opened by the borrower, and supervise and control the disbursement, payment, and repayment of loan funds in accordance with the contractual provisions.</w:t>
      </w:r>
    </w:p>
    <w:p>
      <w:pPr>
        <w:spacing w:after="0" w:line="162"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 designates the following account as a dedicated fund withdrawal account and provides timely information on the inflow and outflow of funds in this account: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Account name:_______/_______; Account number:_____/__________;</w:t>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Bank:____________/___________.</w:t>
      </w:r>
    </w:p>
    <w:p>
      <w:pPr>
        <w:spacing w:after="0" w:line="184"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lender may negotiate and sign a separate account management agreement with the borrower based on their credit status, financing situation, etc., specifying the management of the inflow and outflow of funds from the designated account. The lender has the right to recover the loan in advance based on the borrower’s fund recovery situation.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1" w:name="page532"/>
    <w:bookmarkEnd w:id="531"/>
    <w:p>
      <w:pPr>
        <w:ind w:left="280"/>
        <w:spacing w:after="0" w:line="195"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Payment of borrowed funds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lender has the right to manage and control the payment of loan funds through entrusted payment by the lender or self payment by the borrower.</w:t>
      </w:r>
    </w:p>
    <w:p>
      <w:pPr>
        <w:spacing w:after="0" w:line="201" w:lineRule="exact"/>
        <w:rPr>
          <w:sz w:val="20"/>
          <w:szCs w:val="20"/>
          <w:color w:val="auto"/>
        </w:rPr>
      </w:pPr>
    </w:p>
    <w:p>
      <w:pPr>
        <w:ind w:right="20" w:firstLine="285"/>
        <w:spacing w:after="0" w:line="283" w:lineRule="auto"/>
        <w:tabs>
          <w:tab w:leader="none" w:pos="476" w:val="left"/>
        </w:tabs>
        <w:numPr>
          <w:ilvl w:val="0"/>
          <w:numId w:val="58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“Entrusted payment” by the lender refers to the borrower authorizing the lender to pay the loan funds to the borrower’s counterparty that meets the purpose specified in this contract.</w:t>
      </w:r>
    </w:p>
    <w:p>
      <w:pPr>
        <w:spacing w:after="0" w:line="14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borrower adopts the entrusted payment method, before the disbursement of the loan funds, the borrower shall provide relevant transaction information that meets the purpose specified in this contract. After being reviewed and approved by the lender, the loan funds shall be promptly paid to the borrower’s counterparty through the borrower’s account.</w:t>
      </w:r>
    </w:p>
    <w:p>
      <w:pPr>
        <w:spacing w:after="0" w:line="156"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If the borrower adopts the method of entrusted payment by the lender, and after the loan funds are paid to the borrower’s counterparty, if the loan funds are returned due to reasons such as revocation, termination, or invalidity of the underlying transaction contract, the lender has the right to receive the returned loan funds in advance in accordance with Article 12 of this contract.</w:t>
      </w:r>
    </w:p>
    <w:p>
      <w:pPr>
        <w:spacing w:after="0" w:line="156" w:lineRule="exact"/>
        <w:rPr>
          <w:sz w:val="20"/>
          <w:szCs w:val="20"/>
          <w:color w:val="auto"/>
        </w:rPr>
      </w:pPr>
    </w:p>
    <w:p>
      <w:pPr>
        <w:ind w:firstLine="285"/>
        <w:spacing w:after="0" w:line="283" w:lineRule="auto"/>
        <w:tabs>
          <w:tab w:leader="none" w:pos="494" w:val="left"/>
        </w:tabs>
        <w:numPr>
          <w:ilvl w:val="0"/>
          <w:numId w:val="58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“Self payment” by the borrower refers to the act of the lender disbursing the loan funds to the borrower’s account, and the borrower making the self payment to the borrower’s counterparty that meets the agreed purpose of this contract.</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 borrower adopts the self payment method, the borrower should regularly summarize and report the payment of the loan funds to the lender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Entrusted payment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payment of loan funds that fall under one of the following circumstances, shall be made through the entrusted payment method of the lender:</w:t>
      </w:r>
    </w:p>
    <w:p>
      <w:pPr>
        <w:spacing w:after="0" w:line="201"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A. the borrower and the lender establish a new credit relationship, and the borrower’s internal rating at the lender’s location is below B level (inclusive). “Newly established credit business relationship” refers to the lender and the borrower establishing a credit business relationship for the first time or not having had a credit business relationship within 2 years;</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 Working capital loans for exchange;</w:t>
      </w:r>
    </w:p>
    <w:p>
      <w:pPr>
        <w:spacing w:after="0" w:line="201"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C. If the payment object is clear and the single payment amount to a certain transaction object of the borrower exceeds RMB 10 million (including) (for foreign currency loans, it shall be converted according to the middle price announced by the lender on the payment date);</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 Other:_________________/____________________.</w:t>
      </w:r>
    </w:p>
    <w:p>
      <w:pPr>
        <w:spacing w:after="0" w:line="201" w:lineRule="exact"/>
        <w:rPr>
          <w:sz w:val="20"/>
          <w:szCs w:val="20"/>
          <w:color w:val="auto"/>
        </w:rPr>
      </w:pPr>
    </w:p>
    <w:p>
      <w:pPr>
        <w:jc w:val="both"/>
        <w:ind w:firstLine="289"/>
        <w:spacing w:after="0" w:line="261" w:lineRule="auto"/>
        <w:rPr>
          <w:sz w:val="20"/>
          <w:szCs w:val="20"/>
          <w:color w:val="auto"/>
        </w:rPr>
      </w:pPr>
      <w:r>
        <w:rPr>
          <w:rFonts w:ascii="Times New Roman" w:cs="Times New Roman" w:eastAsia="Times New Roman" w:hAnsi="Times New Roman"/>
          <w:sz w:val="16"/>
          <w:szCs w:val="16"/>
          <w:color w:val="auto"/>
        </w:rPr>
        <w:t>If entrusted payment is adopted, the lender should, in principle, pay the loan funds to the borrower’s transaction partner through the borrower’s account within five working days of the loan disbursement. If the borrower is unable to complete the entrusted payment due to their own reasons, the lender shall complete the external payment within ten working days at the latest upon mutual agreement with the borrower. If the entrusted payment cannot be completed due to force majeure, the lender shall negotiate with the borrower to determine a reasonable payment deadline.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1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32" w:name="page533"/>
    <w:bookmarkEnd w:id="532"/>
    <w:p>
      <w:pPr>
        <w:jc w:val="both"/>
        <w:ind w:firstLine="285"/>
        <w:spacing w:after="0" w:line="267" w:lineRule="auto"/>
        <w:tabs>
          <w:tab w:leader="none" w:pos="527" w:val="left"/>
        </w:tabs>
        <w:numPr>
          <w:ilvl w:val="0"/>
          <w:numId w:val="5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process of loan disbursement and payment, if the borrower encounters the following situations, they shall supplement the loan disbursement and payment conditions as requested by the lender. The lender has the right to adopt stricter loan disbursement and payment conditions, and has the right to stop the disbursement and payment of loan funds. Corresponding measures shall be taken in accordance with Article 14 (2) of this contract:</w:t>
      </w:r>
    </w:p>
    <w:p>
      <w:pPr>
        <w:spacing w:after="0" w:line="156" w:lineRule="exact"/>
        <w:rPr>
          <w:sz w:val="20"/>
          <w:szCs w:val="20"/>
          <w:color w:val="auto"/>
        </w:rPr>
      </w:pPr>
    </w:p>
    <w:p>
      <w:pPr>
        <w:ind w:left="460" w:hanging="175"/>
        <w:spacing w:after="0"/>
        <w:tabs>
          <w:tab w:leader="none" w:pos="460" w:val="left"/>
        </w:tabs>
        <w:numPr>
          <w:ilvl w:val="0"/>
          <w:numId w:val="58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 decline in credit status;</w:t>
      </w:r>
    </w:p>
    <w:p>
      <w:pPr>
        <w:spacing w:after="0" w:line="201" w:lineRule="exact"/>
        <w:rPr>
          <w:sz w:val="20"/>
          <w:szCs w:val="20"/>
          <w:color w:val="auto"/>
        </w:rPr>
      </w:pPr>
    </w:p>
    <w:p>
      <w:pPr>
        <w:ind w:left="460" w:hanging="175"/>
        <w:spacing w:after="0"/>
        <w:tabs>
          <w:tab w:leader="none" w:pos="460" w:val="left"/>
        </w:tabs>
        <w:numPr>
          <w:ilvl w:val="0"/>
          <w:numId w:val="58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main business has weak profitability;</w:t>
      </w:r>
    </w:p>
    <w:p>
      <w:pPr>
        <w:spacing w:after="0" w:line="201" w:lineRule="exact"/>
        <w:rPr>
          <w:sz w:val="20"/>
          <w:szCs w:val="20"/>
          <w:color w:val="auto"/>
        </w:rPr>
      </w:pPr>
    </w:p>
    <w:p>
      <w:pPr>
        <w:ind w:left="460" w:hanging="175"/>
        <w:spacing w:after="0"/>
        <w:tabs>
          <w:tab w:leader="none" w:pos="460" w:val="left"/>
        </w:tabs>
        <w:numPr>
          <w:ilvl w:val="0"/>
          <w:numId w:val="58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Abnormal use of borrowed funds;</w:t>
      </w:r>
    </w:p>
    <w:p>
      <w:pPr>
        <w:spacing w:after="0" w:line="201" w:lineRule="exact"/>
        <w:rPr>
          <w:sz w:val="20"/>
          <w:szCs w:val="20"/>
          <w:color w:val="auto"/>
        </w:rPr>
      </w:pPr>
    </w:p>
    <w:p>
      <w:pPr>
        <w:ind w:left="460" w:hanging="175"/>
        <w:spacing w:after="0"/>
        <w:tabs>
          <w:tab w:leader="none" w:pos="460" w:val="left"/>
        </w:tabs>
        <w:numPr>
          <w:ilvl w:val="0"/>
          <w:numId w:val="58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situations deemed by the lender.</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8 Repayment of Loan Principal and Interest</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principal of the loan under this contract shall be repaid in the second manner specified below:</w:t>
      </w:r>
    </w:p>
    <w:p>
      <w:pPr>
        <w:spacing w:after="0" w:line="202" w:lineRule="exact"/>
        <w:rPr>
          <w:sz w:val="20"/>
          <w:szCs w:val="20"/>
          <w:color w:val="auto"/>
        </w:rPr>
      </w:pPr>
    </w:p>
    <w:p>
      <w:pPr>
        <w:ind w:left="280" w:right="5060" w:firstLine="5"/>
        <w:spacing w:after="0" w:line="501" w:lineRule="auto"/>
        <w:tabs>
          <w:tab w:leader="none" w:pos="498" w:val="left"/>
        </w:tabs>
        <w:numPr>
          <w:ilvl w:val="0"/>
          <w:numId w:val="5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the loan principal in installments, with the following repayment amount and date: __YY__MM__DD repay _____(amount); __YY__MM__DD repay _____(amount); __YY__MM__DD repay _____(amount); __YY__MM__DD repay _____(amount);</w:t>
      </w:r>
    </w:p>
    <w:p>
      <w:pPr>
        <w:spacing w:after="0" w:line="2" w:lineRule="exact"/>
        <w:rPr>
          <w:sz w:val="20"/>
          <w:szCs w:val="20"/>
          <w:color w:val="auto"/>
        </w:rPr>
      </w:pPr>
    </w:p>
    <w:p>
      <w:pPr>
        <w:ind w:firstLine="289"/>
        <w:spacing w:after="0" w:line="283" w:lineRule="auto"/>
        <w:rPr>
          <w:sz w:val="20"/>
          <w:szCs w:val="20"/>
          <w:color w:val="auto"/>
        </w:rPr>
      </w:pPr>
      <w:r>
        <w:rPr>
          <w:rFonts w:ascii="Times New Roman" w:cs="Times New Roman" w:eastAsia="Times New Roman" w:hAnsi="Times New Roman"/>
          <w:sz w:val="16"/>
          <w:szCs w:val="16"/>
          <w:color w:val="auto"/>
        </w:rPr>
        <w:t>If the lender adjusts the loan installment plan, the loan installment repayment date and amount stipulated in this clause shall remain unchanged, and the borrower shall repay the loan principal on schedule.</w:t>
      </w:r>
    </w:p>
    <w:p>
      <w:pPr>
        <w:spacing w:after="0" w:line="143" w:lineRule="exact"/>
        <w:rPr>
          <w:sz w:val="20"/>
          <w:szCs w:val="20"/>
          <w:color w:val="auto"/>
        </w:rPr>
      </w:pPr>
    </w:p>
    <w:p>
      <w:pPr>
        <w:ind w:left="520" w:hanging="235"/>
        <w:spacing w:after="0"/>
        <w:tabs>
          <w:tab w:leader="none" w:pos="520" w:val="left"/>
        </w:tabs>
        <w:numPr>
          <w:ilvl w:val="0"/>
          <w:numId w:val="5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the principal of the loan in full at once on the due date of the loan.</w:t>
      </w:r>
    </w:p>
    <w:p>
      <w:pPr>
        <w:spacing w:after="0" w:line="200" w:lineRule="exact"/>
        <w:rPr>
          <w:rFonts w:ascii="Times New Roman" w:cs="Times New Roman" w:eastAsia="Times New Roman" w:hAnsi="Times New Roman"/>
          <w:sz w:val="16"/>
          <w:szCs w:val="16"/>
          <w:color w:val="auto"/>
        </w:rPr>
      </w:pPr>
    </w:p>
    <w:p>
      <w:pPr>
        <w:ind w:left="500" w:hanging="215"/>
        <w:spacing w:after="0"/>
        <w:tabs>
          <w:tab w:leader="none" w:pos="500" w:val="left"/>
        </w:tabs>
        <w:numPr>
          <w:ilvl w:val="0"/>
          <w:numId w:val="5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method: __________________/___________________.</w:t>
      </w:r>
    </w:p>
    <w:p>
      <w:pPr>
        <w:spacing w:after="0" w:line="213"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shall repay the principal and interest of the loan under this contract to the lender in full and on time on the repayment date and interest payment date specified in this contract.</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repayment date falls on a non lender’s business day, the repayment shall be postponed to the next lender’s business day, and such non lender’s business day shall be counted as the actual number of days occupied by the loan. When the borrower repays the principal of the last installment of the loan, the interest shall be settled along with the principal and shall not be bound by the interest payment date stipulated in Article 5 of this contract.</w:t>
      </w:r>
    </w:p>
    <w:p>
      <w:pPr>
        <w:spacing w:after="0" w:line="189"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fails to repay the loan under the loan contract on time and needs to extend the repayment period, a written loan extension application should be submitted to the lender 10 working days before the loan maturity date. If approved by the lender, both parties shall sign a separate “Loan Extension Contract” as a supplementary contract to this contract.</w:t>
      </w:r>
    </w:p>
    <w:p>
      <w:pPr>
        <w:spacing w:after="0" w:line="177"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The cumulative extension period of loans with a term of less than one year shall not exceed the original loan term; The cumulative extension period of loans with a term exceeding one year shall not exceed half of the original loan term.</w:t>
      </w:r>
    </w:p>
    <w:p>
      <w:pPr>
        <w:spacing w:after="0" w:line="15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Early repayment</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shall repay the principal and interest of the loan on the date specified in this contract.</w:t>
      </w:r>
    </w:p>
    <w:p>
      <w:pPr>
        <w:spacing w:after="0" w:line="201"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If the borrower requests to repay the principal and interest of the loan in part or in full in advance, they shall notify the lender in written 10 days in advance, and obtain the lender’s written consent. With the written consent of the lender, after the borrower repays a portion of the loan principal and interest in advance, the borrower shall negotiate with the lender to determine the number of repayment periods, repayment time, and repayment amount thereafter. Interest shall be charged on the principal of the loan repaid in advance based on the actual usage period and the loan interest rate agreed upon in this contract. The lender will no longer adjust the loan interest calculated and collected before the early repayment.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33" w:name="page534"/>
    <w:bookmarkEnd w:id="533"/>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If the borrower requests early repayment, the lender has the right to demand the borrower to pay a penalty in accordance with the provisions of Article 23, Special Provisions 18 of this contract. If the borrower belongs to small and micro enterprises that comply with national regulations, policies, etc., no penalty will be charged for this breach of contract.</w:t>
      </w:r>
    </w:p>
    <w:p>
      <w:pPr>
        <w:spacing w:after="0" w:line="168" w:lineRule="exact"/>
        <w:rPr>
          <w:sz w:val="20"/>
          <w:szCs w:val="20"/>
          <w:color w:val="auto"/>
        </w:rPr>
      </w:pPr>
    </w:p>
    <w:p>
      <w:pPr>
        <w:jc w:val="both"/>
        <w:ind w:firstLine="289"/>
        <w:spacing w:after="0" w:line="19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borrower fails to fulfill its obligations as stipulated in this contract, the borrower hereby irrevocably authorizes the lender to directly deduct funds from any account opened by the borrower with the lender and all branches and subsidiaries of Industrial Bank without going through judicial procedures, including but not limited to loan principal and interest (including principal, interest, penalty interest, compound interest), liquidated damages, damages, and expenses incurred by the lender in realizing the creditor’s rights. The borrower agrees that the lender has the right to determine the specific order of deduction. If the currency of the funds in the account is inconsistent with the loan currency, the lender has the right to convert them into the loan currency for deduction based on the middle price announced by the lender on the day of deduction. If any account specified in this clause involves wealth management products or structural deposits, the borrower hereby irrevocably authorizes the lender to directly initiate relevant product redemption applications or take other necessary measures on behalf of the lender to ensure the smooth deduction of the above-mentioned funds. The borrower shall provide all necessary cooperation.</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9 Guarantee</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guarantee contract of this contract includes but is not limited to the following contracts: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The Maximum Guarantee Contract (Contract Name) with the serial number BZHQ2024001 is guaranteed by CLPS Shanghai Co., Ltd;</w:t>
      </w:r>
    </w:p>
    <w:p>
      <w:pPr>
        <w:spacing w:after="0" w:line="213"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In addition to the signed guarantee contracts mentioned above, in the event of exchange rate fluctuations or any other events that the lender believes may affect the borrower or guarantor’s ability to perform, the lender has the right to request the borrower to supplement the security deposit or provide new guarantees, and sign relevant guarantee contracts. The borrower shall cooperate as requested by the lender.</w:t>
      </w:r>
    </w:p>
    <w:p>
      <w:pPr>
        <w:spacing w:after="0" w:line="189"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Before the signing of the guarantee contract under this contract and the completion of the guarantee procedures, the lender has the right to temporarily refuse to fulfill all obligations such as loan disbursement under this contract.</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10 Rights and Obligations of Both Parties</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Rights and obligations of the lender</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Rights of the lender:</w:t>
      </w:r>
    </w:p>
    <w:p>
      <w:pPr>
        <w:spacing w:after="0" w:line="201" w:lineRule="exact"/>
        <w:rPr>
          <w:sz w:val="20"/>
          <w:szCs w:val="20"/>
          <w:color w:val="auto"/>
        </w:rPr>
      </w:pPr>
    </w:p>
    <w:p>
      <w:pPr>
        <w:ind w:left="460" w:hanging="175"/>
        <w:spacing w:after="0"/>
        <w:tabs>
          <w:tab w:leader="none" w:pos="460" w:val="left"/>
        </w:tabs>
        <w:numPr>
          <w:ilvl w:val="0"/>
          <w:numId w:val="59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the right to request genuine information, including personal information, from the borrower;</w:t>
      </w:r>
    </w:p>
    <w:p>
      <w:pPr>
        <w:spacing w:after="0" w:line="201" w:lineRule="exact"/>
        <w:rPr>
          <w:sz w:val="20"/>
          <w:szCs w:val="20"/>
          <w:color w:val="auto"/>
        </w:rPr>
      </w:pPr>
    </w:p>
    <w:p>
      <w:pPr>
        <w:ind w:left="460" w:hanging="175"/>
        <w:spacing w:after="0"/>
        <w:tabs>
          <w:tab w:leader="none" w:pos="460" w:val="left"/>
        </w:tabs>
        <w:numPr>
          <w:ilvl w:val="0"/>
          <w:numId w:val="59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the right to demand timely repayment of the loan principal and interest;</w:t>
      </w:r>
    </w:p>
    <w:p>
      <w:pPr>
        <w:spacing w:after="0" w:line="201" w:lineRule="exact"/>
        <w:rPr>
          <w:sz w:val="20"/>
          <w:szCs w:val="20"/>
          <w:color w:val="auto"/>
        </w:rPr>
      </w:pPr>
    </w:p>
    <w:p>
      <w:pPr>
        <w:ind w:left="460" w:hanging="175"/>
        <w:spacing w:after="0"/>
        <w:tabs>
          <w:tab w:leader="none" w:pos="460" w:val="left"/>
        </w:tabs>
        <w:numPr>
          <w:ilvl w:val="0"/>
          <w:numId w:val="59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request the borrower to provide various information related to the loan;</w:t>
      </w:r>
    </w:p>
    <w:p>
      <w:pPr>
        <w:spacing w:after="0" w:line="201" w:lineRule="exact"/>
        <w:rPr>
          <w:sz w:val="20"/>
          <w:szCs w:val="20"/>
          <w:color w:val="auto"/>
        </w:rPr>
      </w:pPr>
    </w:p>
    <w:p>
      <w:pPr>
        <w:ind w:left="460" w:hanging="175"/>
        <w:spacing w:after="0"/>
        <w:tabs>
          <w:tab w:leader="none" w:pos="460" w:val="left"/>
        </w:tabs>
        <w:numPr>
          <w:ilvl w:val="0"/>
          <w:numId w:val="59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understand the borrower’s production, operation, and financial situation;</w:t>
      </w:r>
    </w:p>
    <w:p>
      <w:pPr>
        <w:spacing w:after="0" w:line="201" w:lineRule="exact"/>
        <w:rPr>
          <w:sz w:val="20"/>
          <w:szCs w:val="20"/>
          <w:color w:val="auto"/>
        </w:rPr>
      </w:pPr>
    </w:p>
    <w:p>
      <w:pPr>
        <w:ind w:left="5540" w:right="4500" w:hanging="5255"/>
        <w:spacing w:after="0" w:line="785" w:lineRule="auto"/>
        <w:tabs>
          <w:tab w:leader="none" w:pos="465" w:val="left"/>
        </w:tabs>
        <w:numPr>
          <w:ilvl w:val="0"/>
          <w:numId w:val="59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supervise the borrower to use the loan for the purposes specified in this contract;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147560" cy="152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4" w:name="page535"/>
    <w:bookmarkEnd w:id="534"/>
    <w:p>
      <w:pPr>
        <w:ind w:left="460" w:hanging="175"/>
        <w:spacing w:after="0"/>
        <w:tabs>
          <w:tab w:leader="none" w:pos="460" w:val="left"/>
        </w:tabs>
        <w:numPr>
          <w:ilvl w:val="0"/>
          <w:numId w:val="59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Have the right to supervise the use of loans and make requests;</w:t>
      </w:r>
    </w:p>
    <w:p>
      <w:pPr>
        <w:spacing w:after="0" w:line="201" w:lineRule="exact"/>
        <w:rPr>
          <w:sz w:val="20"/>
          <w:szCs w:val="20"/>
          <w:color w:val="auto"/>
        </w:rPr>
      </w:pPr>
    </w:p>
    <w:p>
      <w:pPr>
        <w:ind w:right="20" w:firstLine="285"/>
        <w:spacing w:after="0" w:line="283" w:lineRule="auto"/>
        <w:tabs>
          <w:tab w:leader="none" w:pos="479" w:val="left"/>
        </w:tabs>
        <w:numPr>
          <w:ilvl w:val="0"/>
          <w:numId w:val="59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borrower bears multiple debts of the same type to the lender, and the borrower’s payment is insufficient or may not be sufficient to repay all the debts, the lender shall determine the specific order of repayment or deduction during the repayment process;</w:t>
      </w:r>
    </w:p>
    <w:p>
      <w:pPr>
        <w:spacing w:after="0" w:line="143" w:lineRule="exact"/>
        <w:rPr>
          <w:sz w:val="20"/>
          <w:szCs w:val="20"/>
          <w:color w:val="auto"/>
        </w:rPr>
      </w:pPr>
    </w:p>
    <w:p>
      <w:pPr>
        <w:jc w:val="both"/>
        <w:ind w:firstLine="285"/>
        <w:spacing w:after="0" w:line="256" w:lineRule="auto"/>
        <w:tabs>
          <w:tab w:leader="none" w:pos="494" w:val="left"/>
        </w:tabs>
        <w:numPr>
          <w:ilvl w:val="0"/>
          <w:numId w:val="59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has the right to deduct the loan principal and interest (including principal, interest, penalty interest, compound interest), liquidated damages, damages, and the lender’s expenses for realizing the creditor’s rights from any account opened by the borrower with the lender and all branches and subsidiaries of Industrial Bank without going through judicial procedures. The borrower agrees that the lender has the right to decide on the specific deduction order. If the currency of the funds in the account is different from the loan currency, the lender has the right to convert them into the loan currency for deduction based on the middle price announced by the lender on the deduction day; If any account specified in this clause involves wealth management products or structured deposits, the borrower hereby irrevocably authorizes the lender to directly initiate relevant product redemption applications or take other necessary measures on behalf of the lender to ensure the smooth deduction of the above-mentioned funds;</w:t>
      </w:r>
    </w:p>
    <w:p>
      <w:pPr>
        <w:spacing w:after="0" w:line="165" w:lineRule="exact"/>
        <w:rPr>
          <w:sz w:val="20"/>
          <w:szCs w:val="20"/>
          <w:color w:val="auto"/>
        </w:rPr>
      </w:pPr>
    </w:p>
    <w:p>
      <w:pPr>
        <w:ind w:right="20" w:firstLine="285"/>
        <w:spacing w:after="0" w:line="283" w:lineRule="auto"/>
        <w:tabs>
          <w:tab w:leader="none" w:pos="511" w:val="left"/>
        </w:tabs>
        <w:numPr>
          <w:ilvl w:val="0"/>
          <w:numId w:val="60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lender has the right to transfer all the creditor’s rights and security interests under this contract to a third party at any time without obtaining the borrower’s consent. The lender transfers the loan and security interests under this contract, and the borrower still assumes all obligations under this contract;</w:t>
      </w:r>
    </w:p>
    <w:p>
      <w:pPr>
        <w:spacing w:after="0" w:line="143" w:lineRule="exact"/>
        <w:rPr>
          <w:sz w:val="20"/>
          <w:szCs w:val="20"/>
          <w:color w:val="auto"/>
        </w:rPr>
      </w:pPr>
    </w:p>
    <w:p>
      <w:pPr>
        <w:jc w:val="both"/>
        <w:ind w:firstLine="285"/>
        <w:spacing w:after="0" w:line="256" w:lineRule="auto"/>
        <w:tabs>
          <w:tab w:leader="none" w:pos="490" w:val="left"/>
        </w:tabs>
        <w:numPr>
          <w:ilvl w:val="0"/>
          <w:numId w:val="6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the borrower fails to repay the loan principal and interest in accordance with the contract, or fails to implement the repayment of principal and interest, or violates any obligations stipulated in this contract, the lender has the right to report and disclose the borrower’s breach of trust information to the People’s Bank of China and its established or approved credit reporting agencies and credit reporting systems, or banking associations, banking supervision agencies, or other administrative/judicial/supervisory departments and their established or recognized information management systems or news media, and take legal measures such as collection, litigation, arbitration, or applying to a notary public to issue an execution certificate. At the same time, the lender may take or cooperate with other banking and financial institutions to reduce or stop credit, stop opening new settlement accounts, and suspend the borrower’s legal representative/borrower’s new credit cards, etc. Disciplinary and rights protection measures;</w:t>
      </w:r>
    </w:p>
    <w:p>
      <w:pPr>
        <w:spacing w:after="0" w:line="177"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⑪</w:t>
      </w:r>
      <w:r>
        <w:rPr>
          <w:rFonts w:ascii="Times New Roman" w:cs="Times New Roman" w:eastAsia="Times New Roman" w:hAnsi="Times New Roman"/>
          <w:sz w:val="16"/>
          <w:szCs w:val="16"/>
          <w:color w:val="auto"/>
        </w:rPr>
        <w:t>The right to unilaterally decide to receive the loan in advance based on the borrower’s fund withdrawal situation;</w:t>
      </w:r>
    </w:p>
    <w:p>
      <w:pPr>
        <w:spacing w:after="0" w:line="225" w:lineRule="exact"/>
        <w:rPr>
          <w:sz w:val="20"/>
          <w:szCs w:val="20"/>
          <w:color w:val="auto"/>
        </w:rPr>
      </w:pPr>
    </w:p>
    <w:p>
      <w:pPr>
        <w:ind w:right="20" w:firstLine="285"/>
        <w:spacing w:after="0" w:line="299" w:lineRule="auto"/>
        <w:tabs>
          <w:tab w:leader="none" w:pos="463" w:val="left"/>
        </w:tabs>
        <w:numPr>
          <w:ilvl w:val="0"/>
          <w:numId w:val="60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When there are exchange rate fluctuations or other situations that creditors believe may affect their creditor’s security, the debtor has the obligation to supplement collateral such as margin as requested by the creditor, or implement other risk mitigation measures recognized by the creditor;</w:t>
      </w:r>
    </w:p>
    <w:p>
      <w:pPr>
        <w:spacing w:after="0" w:line="143"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⑬</w:t>
      </w:r>
      <w:r>
        <w:rPr>
          <w:rFonts w:ascii="Times New Roman" w:cs="Times New Roman" w:eastAsia="Times New Roman" w:hAnsi="Times New Roman"/>
          <w:sz w:val="16"/>
          <w:szCs w:val="16"/>
          <w:color w:val="auto"/>
        </w:rPr>
        <w:t>The right to enjoy other rights stipulated by laws, regulations, rules or as stipulated in this contract.</w:t>
      </w:r>
    </w:p>
    <w:p>
      <w:pPr>
        <w:spacing w:after="0" w:line="2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(2) Obligations of the lender:</w:t>
      </w:r>
    </w:p>
    <w:p>
      <w:pPr>
        <w:spacing w:after="0" w:line="213" w:lineRule="exact"/>
        <w:rPr>
          <w:sz w:val="20"/>
          <w:szCs w:val="20"/>
          <w:color w:val="auto"/>
        </w:rPr>
      </w:pPr>
    </w:p>
    <w:p>
      <w:pPr>
        <w:ind w:left="580" w:hanging="295"/>
        <w:spacing w:after="0"/>
        <w:tabs>
          <w:tab w:leader="none" w:pos="580" w:val="left"/>
        </w:tabs>
        <w:numPr>
          <w:ilvl w:val="0"/>
          <w:numId w:val="60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disburse and pay the loan funds in accordance with the provisions of this contract;</w:t>
      </w:r>
    </w:p>
    <w:p>
      <w:pPr>
        <w:spacing w:after="0" w:line="225" w:lineRule="exact"/>
        <w:rPr>
          <w:sz w:val="20"/>
          <w:szCs w:val="20"/>
          <w:color w:val="auto"/>
        </w:rPr>
      </w:pPr>
    </w:p>
    <w:p>
      <w:pPr>
        <w:ind w:left="280" w:right="2860" w:firstLine="5"/>
        <w:spacing w:after="0" w:line="509" w:lineRule="auto"/>
        <w:tabs>
          <w:tab w:leader="none" w:pos="581" w:val="left"/>
        </w:tabs>
        <w:numPr>
          <w:ilvl w:val="0"/>
          <w:numId w:val="60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Keep the borrower’s debts, finances, production, and business operations confidential, except for the following situations: Legal and regulatory provisions;</w:t>
      </w:r>
    </w:p>
    <w:p>
      <w:pPr>
        <w:spacing w:after="0" w:line="1" w:lineRule="exact"/>
        <w:rPr>
          <w:rFonts w:ascii="MS PGothic" w:cs="MS PGothic" w:eastAsia="MS PGothic" w:hAnsi="MS PGothic"/>
          <w:sz w:val="16"/>
          <w:szCs w:val="16"/>
          <w:color w:val="auto"/>
        </w:rPr>
      </w:pPr>
    </w:p>
    <w:p>
      <w:pPr>
        <w:ind w:left="2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Regulatory regulations or requirements;</w:t>
      </w:r>
    </w:p>
    <w:p>
      <w:pPr>
        <w:spacing w:after="0" w:line="200" w:lineRule="exact"/>
        <w:rPr>
          <w:rFonts w:ascii="MS PGothic" w:cs="MS PGothic" w:eastAsia="MS PGothic" w:hAnsi="MS PGothic"/>
          <w:sz w:val="16"/>
          <w:szCs w:val="16"/>
          <w:color w:val="auto"/>
        </w:rPr>
      </w:pPr>
    </w:p>
    <w:p>
      <w:pPr>
        <w:ind w:left="2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Disclose information to the cooperating parties of the lender.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5" w:name="page536"/>
    <w:bookmarkEnd w:id="535"/>
    <w:p>
      <w:pPr>
        <w:ind w:left="280"/>
        <w:spacing w:after="0" w:line="195"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Rights and obligations of the borrower</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The borrower has the following rights:</w:t>
      </w:r>
    </w:p>
    <w:p>
      <w:pPr>
        <w:spacing w:after="0" w:line="213" w:lineRule="exact"/>
        <w:rPr>
          <w:sz w:val="20"/>
          <w:szCs w:val="20"/>
          <w:color w:val="auto"/>
        </w:rPr>
      </w:pPr>
    </w:p>
    <w:p>
      <w:pPr>
        <w:ind w:left="580" w:hanging="295"/>
        <w:spacing w:after="0"/>
        <w:tabs>
          <w:tab w:leader="none" w:pos="580" w:val="left"/>
        </w:tabs>
        <w:numPr>
          <w:ilvl w:val="0"/>
          <w:numId w:val="60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right to withdraw and use all loans in accordance with the provisions of this contract;</w:t>
      </w:r>
    </w:p>
    <w:p>
      <w:pPr>
        <w:spacing w:after="0" w:line="225" w:lineRule="exact"/>
        <w:rPr>
          <w:sz w:val="20"/>
          <w:szCs w:val="20"/>
          <w:color w:val="auto"/>
        </w:rPr>
      </w:pPr>
    </w:p>
    <w:p>
      <w:pPr>
        <w:ind w:left="580" w:hanging="295"/>
        <w:spacing w:after="0"/>
        <w:tabs>
          <w:tab w:leader="none" w:pos="580" w:val="left"/>
        </w:tabs>
        <w:numPr>
          <w:ilvl w:val="0"/>
          <w:numId w:val="60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lender has the right to demand that they assume confidentiality obligations for the information provided in accordance with the provisions of this contract.</w:t>
      </w:r>
    </w:p>
    <w:p>
      <w:pPr>
        <w:spacing w:after="0" w:line="224" w:lineRule="exact"/>
        <w:rPr>
          <w:rFonts w:ascii="MS PGothic" w:cs="MS PGothic" w:eastAsia="MS PGothic" w:hAnsi="MS PGothic"/>
          <w:sz w:val="16"/>
          <w:szCs w:val="16"/>
          <w:color w:val="auto"/>
        </w:rPr>
      </w:pPr>
    </w:p>
    <w:p>
      <w:pPr>
        <w:ind w:left="280"/>
        <w:spacing w:after="0" w:line="195" w:lineRule="exact"/>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(2) Borrower’s Obligations</w:t>
      </w:r>
      <w:r>
        <w:rPr>
          <w:rFonts w:ascii="SimSun" w:cs="SimSun" w:eastAsia="SimSun" w:hAnsi="SimSun"/>
          <w:sz w:val="16"/>
          <w:szCs w:val="16"/>
          <w:color w:val="auto"/>
        </w:rPr>
        <w:t>：</w:t>
      </w:r>
    </w:p>
    <w:p>
      <w:pPr>
        <w:spacing w:after="0" w:line="214" w:lineRule="exact"/>
        <w:rPr>
          <w:sz w:val="20"/>
          <w:szCs w:val="20"/>
          <w:color w:val="auto"/>
        </w:rPr>
      </w:pPr>
    </w:p>
    <w:p>
      <w:pPr>
        <w:ind w:right="20" w:firstLine="285"/>
        <w:spacing w:after="0" w:line="299" w:lineRule="auto"/>
        <w:tabs>
          <w:tab w:leader="none" w:pos="589" w:val="left"/>
        </w:tabs>
        <w:numPr>
          <w:ilvl w:val="0"/>
          <w:numId w:val="60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shall truthfully provide the required documents and materials, including all account opening banks, account numbers, deposit and loan balances, as well as relevant personal information, and cooperate with the lender’s investigation, review, and inspection;</w:t>
      </w:r>
    </w:p>
    <w:p>
      <w:pPr>
        <w:spacing w:after="0" w:line="143" w:lineRule="exact"/>
        <w:rPr>
          <w:sz w:val="20"/>
          <w:szCs w:val="20"/>
          <w:color w:val="auto"/>
        </w:rPr>
      </w:pPr>
    </w:p>
    <w:p>
      <w:pPr>
        <w:ind w:right="20" w:firstLine="285"/>
        <w:spacing w:after="0" w:line="299" w:lineRule="auto"/>
        <w:tabs>
          <w:tab w:leader="none" w:pos="631" w:val="left"/>
        </w:tabs>
        <w:numPr>
          <w:ilvl w:val="0"/>
          <w:numId w:val="60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Accept the lender’s supervision or inspection of its use of credit funds and related production, operation, and financial activities, and promptly take reasonable measures to address the lender’s suggestions or requirements;</w:t>
      </w:r>
    </w:p>
    <w:p>
      <w:pPr>
        <w:spacing w:after="0" w:line="143" w:lineRule="exact"/>
        <w:rPr>
          <w:sz w:val="20"/>
          <w:szCs w:val="20"/>
          <w:color w:val="auto"/>
        </w:rPr>
      </w:pPr>
    </w:p>
    <w:p>
      <w:pPr>
        <w:jc w:val="both"/>
        <w:ind w:firstLine="285"/>
        <w:spacing w:after="0" w:line="260" w:lineRule="auto"/>
        <w:tabs>
          <w:tab w:leader="none" w:pos="643" w:val="left"/>
        </w:tabs>
        <w:numPr>
          <w:ilvl w:val="0"/>
          <w:numId w:val="60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loan shall be used for the purpose agreed in this contract, not for other purposes, and shall not be used for fixed assets investment; Engaging in equity investments without borrowing; Not used in areas and purposes prohibited by the state for production/operation; No need to borrow money to speculate or invest in financial products such as stocks, securities, futures, and wealth management products; No need to borrow money to purchase property or engage in/invest in the real estate industry, etc; Engaging in borrowing activities between enterprises or between enterprises and individuals without borrowing money; No need to borrow money to seek illegal income; Not to use illegal means to obtain credit funds, and not to occupy or misappropriate loans in other ways; Not borrowing to engage in other illegal activities or other fields that violate national laws and policies; And engaging in areas where regulatory agencies prohibit the entry of bank credit funds without borrowing;</w:t>
      </w:r>
    </w:p>
    <w:p>
      <w:pPr>
        <w:spacing w:after="0" w:line="175" w:lineRule="exact"/>
        <w:rPr>
          <w:sz w:val="20"/>
          <w:szCs w:val="20"/>
          <w:color w:val="auto"/>
        </w:rPr>
      </w:pPr>
    </w:p>
    <w:p>
      <w:pPr>
        <w:ind w:left="580" w:hanging="295"/>
        <w:spacing w:after="0"/>
        <w:tabs>
          <w:tab w:leader="none" w:pos="580" w:val="left"/>
        </w:tabs>
        <w:numPr>
          <w:ilvl w:val="0"/>
          <w:numId w:val="61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According to Article 7 of this contract, accept the lender’s monitoring of the borrower’s account and management of loan fund payments;</w:t>
      </w:r>
    </w:p>
    <w:p>
      <w:pPr>
        <w:spacing w:after="0" w:line="225" w:lineRule="exact"/>
        <w:rPr>
          <w:sz w:val="20"/>
          <w:szCs w:val="20"/>
          <w:color w:val="auto"/>
        </w:rPr>
      </w:pPr>
    </w:p>
    <w:p>
      <w:pPr>
        <w:ind w:left="580" w:hanging="295"/>
        <w:spacing w:after="0" w:line="195" w:lineRule="exact"/>
        <w:tabs>
          <w:tab w:leader="none" w:pos="580" w:val="left"/>
        </w:tabs>
        <w:numPr>
          <w:ilvl w:val="0"/>
          <w:numId w:val="61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principal and interest of the loan shall be repaid in full and on time in accordance with the provisions of this contract</w:t>
      </w:r>
      <w:r>
        <w:rPr>
          <w:rFonts w:ascii="SimSun" w:cs="SimSun" w:eastAsia="SimSun" w:hAnsi="SimSun"/>
          <w:sz w:val="16"/>
          <w:szCs w:val="16"/>
          <w:color w:val="auto"/>
        </w:rPr>
        <w:t>；</w:t>
      </w:r>
    </w:p>
    <w:p>
      <w:pPr>
        <w:spacing w:after="0" w:line="214" w:lineRule="exact"/>
        <w:rPr>
          <w:sz w:val="20"/>
          <w:szCs w:val="20"/>
          <w:color w:val="auto"/>
        </w:rPr>
      </w:pPr>
    </w:p>
    <w:p>
      <w:pPr>
        <w:ind w:left="580" w:hanging="295"/>
        <w:spacing w:after="0"/>
        <w:tabs>
          <w:tab w:leader="none" w:pos="580" w:val="left"/>
        </w:tabs>
        <w:numPr>
          <w:ilvl w:val="0"/>
          <w:numId w:val="61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Without the written consent of the lender, the debt under this contract shall not be transferred in whole or in part to a third party;</w:t>
      </w:r>
    </w:p>
    <w:p>
      <w:pPr>
        <w:spacing w:after="0" w:line="225" w:lineRule="exact"/>
        <w:rPr>
          <w:sz w:val="20"/>
          <w:szCs w:val="20"/>
          <w:color w:val="auto"/>
        </w:rPr>
      </w:pPr>
    </w:p>
    <w:p>
      <w:pPr>
        <w:ind w:left="580" w:hanging="295"/>
        <w:spacing w:after="0"/>
        <w:tabs>
          <w:tab w:leader="none" w:pos="580" w:val="left"/>
        </w:tabs>
        <w:numPr>
          <w:ilvl w:val="0"/>
          <w:numId w:val="61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Not reducing registered capital in any way; Without the written consent of the lender, the subscription period for registered capital shall not be extended;</w:t>
      </w:r>
    </w:p>
    <w:p>
      <w:pPr>
        <w:spacing w:after="0" w:line="225" w:lineRule="exact"/>
        <w:rPr>
          <w:sz w:val="20"/>
          <w:szCs w:val="20"/>
          <w:color w:val="auto"/>
        </w:rPr>
      </w:pPr>
    </w:p>
    <w:p>
      <w:pPr>
        <w:jc w:val="both"/>
        <w:ind w:right="20" w:firstLine="285"/>
        <w:spacing w:after="0" w:line="275" w:lineRule="auto"/>
        <w:tabs>
          <w:tab w:leader="none" w:pos="608" w:val="left"/>
        </w:tabs>
        <w:numPr>
          <w:ilvl w:val="0"/>
          <w:numId w:val="61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Before any major events such as merger, division, equity transfer, external investment, or substantial increase in debt financing occur, the borrower shall notify the lender in writing at least 30 working days in advance and obtain the lender’s written consent. The borrower shall actively implement the guarantee measures for timely and full repayment of the loan principal and interest under this contract in accordance with the lender’s requirements. The above major issues include but are not limited to:</w:t>
      </w:r>
    </w:p>
    <w:p>
      <w:pPr>
        <w:spacing w:after="0" w:line="149" w:lineRule="exact"/>
        <w:rPr>
          <w:sz w:val="20"/>
          <w:szCs w:val="20"/>
          <w:color w:val="auto"/>
        </w:rPr>
      </w:pPr>
    </w:p>
    <w:p>
      <w:pPr>
        <w:jc w:val="both"/>
        <w:ind w:firstLine="289"/>
        <w:spacing w:after="0" w:line="283" w:lineRule="auto"/>
        <w:rPr>
          <w:sz w:val="20"/>
          <w:szCs w:val="20"/>
          <w:color w:val="auto"/>
        </w:rPr>
      </w:pPr>
      <w:r>
        <w:rPr>
          <w:rFonts w:ascii="Times New Roman" w:cs="Times New Roman" w:eastAsia="Times New Roman" w:hAnsi="Times New Roman"/>
          <w:sz w:val="16"/>
          <w:szCs w:val="16"/>
          <w:color w:val="auto"/>
        </w:rPr>
        <w:t>Applying for loans or liabilities from banks or other third parties, or providing loans to third parties, or providing guarantees for the debts of third parties, which substantially increases debt financing and affects or may affect the repayment of loan principal and interest;</w:t>
      </w:r>
    </w:p>
    <w:p>
      <w:pPr>
        <w:spacing w:after="0" w:line="143" w:lineRule="exact"/>
        <w:rPr>
          <w:sz w:val="20"/>
          <w:szCs w:val="20"/>
          <w:color w:val="auto"/>
        </w:rPr>
      </w:pPr>
    </w:p>
    <w:p>
      <w:pPr>
        <w:jc w:val="both"/>
        <w:ind w:firstLine="289"/>
        <w:spacing w:after="0" w:line="259" w:lineRule="auto"/>
        <w:rPr>
          <w:sz w:val="20"/>
          <w:szCs w:val="20"/>
          <w:color w:val="auto"/>
        </w:rPr>
      </w:pPr>
      <w:r>
        <w:rPr>
          <w:rFonts w:ascii="Times New Roman" w:cs="Times New Roman" w:eastAsia="Times New Roman" w:hAnsi="Times New Roman"/>
          <w:sz w:val="16"/>
          <w:szCs w:val="16"/>
          <w:color w:val="auto"/>
        </w:rPr>
        <w:t>Make significant changes in property rights and adjustments to business operations (including but not limited to signing joint venture or cooperation contracts with foreign investors, Hong Kong, Macao, and Taiwan merchants; revoking, closing, stopping production, or transferring production; separating, merging, merging, or being merged; restructuring, forming, or transforming into a joint-stock company; external investment; investing in fixed assets such as houses, machinery and equipment, or intangible assets such as trademarks, patents, proprietary technologies, land use rights, or investing in joint-stock companies or investment companies, and conducting property rights and management rights transactions through leasing, contracting, joint ventures, custody, etc.);</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36" w:name="page537"/>
    <w:bookmarkEnd w:id="536"/>
    <w:p>
      <w:pPr>
        <w:ind w:left="280"/>
        <w:spacing w:after="0"/>
        <w:rPr>
          <w:sz w:val="20"/>
          <w:szCs w:val="20"/>
          <w:color w:val="auto"/>
        </w:rPr>
      </w:pPr>
      <w:r>
        <w:rPr>
          <w:rFonts w:ascii="Times New Roman" w:cs="Times New Roman" w:eastAsia="Times New Roman" w:hAnsi="Times New Roman"/>
          <w:sz w:val="16"/>
          <w:szCs w:val="16"/>
          <w:color w:val="auto"/>
        </w:rPr>
        <w:t>The change of equity meets the circumstances stipulated in Article 23, Special Provisions, and Article 20 of this contract.</w:t>
      </w:r>
    </w:p>
    <w:p>
      <w:pPr>
        <w:spacing w:after="0" w:line="201" w:lineRule="exact"/>
        <w:rPr>
          <w:sz w:val="20"/>
          <w:szCs w:val="20"/>
          <w:color w:val="auto"/>
        </w:rPr>
      </w:pPr>
    </w:p>
    <w:p>
      <w:pPr>
        <w:ind w:firstLine="285"/>
        <w:spacing w:after="0" w:line="283" w:lineRule="auto"/>
        <w:tabs>
          <w:tab w:leader="none" w:pos="505" w:val="left"/>
        </w:tabs>
        <w:numPr>
          <w:ilvl w:val="0"/>
          <w:numId w:val="61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shall notify the lender in writing within 7 working days from the date of occurrence or possible occurrence of the following situations, and actively implement the guarantee measures for timely and full repayment of the loan principal and interest under this contract in accordance with the lender’s requirements: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Significant financial losses, asset losses, or other financial crises occur;</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the event of suspension of business, revocation or cancellation of business license, application or application for bankruptcy, dissolution, etc;</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If there is a significant crisis in the operation or finance of its controlling shareholders and other affiliated companies, which affects its normal operation;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borrower’s legal representative, directors, or senior management personnel undergo personnel changes that affect their normal operations;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guarantor’s equity has changed to meet the circumstances stipulated in Article 23, Special Provisions, and Article 21 of this contract;</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is a significant related party transaction between the borrower and its controlling shareholder or other related companies, which affects its normal operation;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litigation, arbitration, criminal or administrative penalty that has a significant adverse effect on its business or property condition;</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Other significant events that may affect its ability to repay debts occur.</w:t>
      </w:r>
    </w:p>
    <w:p>
      <w:pPr>
        <w:spacing w:after="0" w:line="201" w:lineRule="exact"/>
        <w:rPr>
          <w:sz w:val="20"/>
          <w:szCs w:val="20"/>
          <w:color w:val="auto"/>
        </w:rPr>
      </w:pPr>
    </w:p>
    <w:p>
      <w:pPr>
        <w:ind w:firstLine="285"/>
        <w:spacing w:after="0" w:line="283" w:lineRule="auto"/>
        <w:tabs>
          <w:tab w:leader="none" w:pos="499" w:val="left"/>
        </w:tabs>
        <w:numPr>
          <w:ilvl w:val="0"/>
          <w:numId w:val="61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At the request of the lender (which request to notify the borrower in advance in a reasonable manner, unless prior notice is not required due to the occurrence of a breach or potential breach or due to specific circumstances), representatives of the lender are allowed to engage in the following activities during normal office hours:</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Visit the location where the borrower conducts business activities;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Visit the location where the borrower conducts business activities;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Query the borrower’s account book records and all other records;</w:t>
      </w:r>
    </w:p>
    <w:p>
      <w:pPr>
        <w:spacing w:after="0" w:line="20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Inquire with the borrower’s employees, agents, contractors, and subcontractors who are aware or may be aware of the relevant information required by the lender.</w:t>
      </w:r>
    </w:p>
    <w:p>
      <w:pPr>
        <w:spacing w:after="0" w:line="213" w:lineRule="exact"/>
        <w:rPr>
          <w:sz w:val="20"/>
          <w:szCs w:val="20"/>
          <w:color w:val="auto"/>
        </w:rPr>
      </w:pPr>
    </w:p>
    <w:p>
      <w:pPr>
        <w:ind w:firstLine="285"/>
        <w:spacing w:after="0" w:line="299" w:lineRule="auto"/>
        <w:tabs>
          <w:tab w:leader="none" w:pos="466" w:val="left"/>
        </w:tabs>
        <w:numPr>
          <w:ilvl w:val="0"/>
          <w:numId w:val="61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borrower guarantees to maintain its current assets and net asset value, asset liability ratio, asset current ratio, and other financial conditions within the scope specified in Article 23, Special Provisions 22 of this contract during the loan period.</w:t>
      </w:r>
    </w:p>
    <w:p>
      <w:pPr>
        <w:spacing w:after="0" w:line="143" w:lineRule="exact"/>
        <w:rPr>
          <w:sz w:val="20"/>
          <w:szCs w:val="20"/>
          <w:color w:val="auto"/>
        </w:rPr>
      </w:pPr>
    </w:p>
    <w:p>
      <w:pPr>
        <w:ind w:left="280"/>
        <w:spacing w:after="0" w:line="184" w:lineRule="exact"/>
        <w:rPr>
          <w:sz w:val="20"/>
          <w:szCs w:val="20"/>
          <w:color w:val="auto"/>
        </w:rPr>
      </w:pPr>
      <w:r>
        <w:rPr>
          <w:rFonts w:ascii="MS PGothic" w:cs="MS PGothic" w:eastAsia="MS PGothic" w:hAnsi="MS PGothic"/>
          <w:sz w:val="16"/>
          <w:szCs w:val="16"/>
          <w:color w:val="auto"/>
        </w:rPr>
        <w:t>⑫</w:t>
      </w:r>
      <w:r>
        <w:rPr>
          <w:rFonts w:ascii="Times New Roman" w:cs="Times New Roman" w:eastAsia="Times New Roman" w:hAnsi="Times New Roman"/>
          <w:sz w:val="16"/>
          <w:szCs w:val="16"/>
          <w:color w:val="auto"/>
        </w:rPr>
        <w:t>For the collection letter or document sent or otherwise delivered by the lender to the borrower, the borrower must sign for it and hand over the receipt to the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537" w:name="page538"/>
    <w:bookmarkEnd w:id="537"/>
    <w:p>
      <w:pPr>
        <w:ind w:left="280"/>
        <w:spacing w:after="0"/>
        <w:rPr>
          <w:sz w:val="20"/>
          <w:szCs w:val="20"/>
          <w:color w:val="auto"/>
        </w:rPr>
      </w:pPr>
      <w:r>
        <w:rPr>
          <w:rFonts w:ascii="Times New Roman" w:cs="Times New Roman" w:eastAsia="Times New Roman" w:hAnsi="Times New Roman"/>
          <w:sz w:val="16"/>
          <w:szCs w:val="16"/>
          <w:b w:val="1"/>
          <w:bCs w:val="1"/>
          <w:color w:val="auto"/>
        </w:rPr>
        <w:t>Article 11 Declaration and Commitment of the Borrower</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borrower voluntarily makes the following statements and commitments, and assumes legal responsibility for the authenticity of their content:</w:t>
      </w:r>
    </w:p>
    <w:p>
      <w:pPr>
        <w:spacing w:after="0" w:line="21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is a legal entity established and validly existing under the laws of the People’s Republic of China, with full civil capacity. The borrower guarantees to provide relevant certificates, permits, certificates, and other documents as requested by the lender.</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 xml:space="preserve">2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has sufficient ability to fulfill all obligations and responsibilities under this contract, and shall not be relieved or exempted from its repayment responsibility due to any instructions, changes in financial status, or agreements signed with any unit.</w:t>
      </w:r>
    </w:p>
    <w:p>
      <w:pPr>
        <w:spacing w:after="0" w:line="190"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has full authorization and legal rights to sign this contract. The borrower has obtained and completed all internal approvals, authorizations, or other related procedures required for</w:t>
      </w:r>
    </w:p>
    <w:p>
      <w:pPr>
        <w:spacing w:after="0" w:line="2" w:lineRule="exact"/>
        <w:rPr>
          <w:sz w:val="20"/>
          <w:szCs w:val="20"/>
          <w:color w:val="auto"/>
        </w:rPr>
      </w:pPr>
    </w:p>
    <w:p>
      <w:pPr>
        <w:jc w:val="both"/>
        <w:ind w:firstLine="289"/>
        <w:spacing w:after="0" w:line="256" w:lineRule="auto"/>
        <w:rPr>
          <w:sz w:val="20"/>
          <w:szCs w:val="20"/>
          <w:color w:val="auto"/>
        </w:rPr>
      </w:pPr>
      <w:r>
        <w:rPr>
          <w:rFonts w:ascii="Times New Roman" w:cs="Times New Roman" w:eastAsia="Times New Roman" w:hAnsi="Times New Roman"/>
          <w:sz w:val="16"/>
          <w:szCs w:val="16"/>
          <w:color w:val="auto"/>
        </w:rPr>
        <w:t>the signing and performance of this contract, and has obtained and completed all necessary approvals, registrations, authorizations, approvals, permits, or other related procedures from any government department or other authority required for the signing and performance of this contract. All approvals, registrations, approvals, permits, authorizations, and other related procedures required for the signing of this contract shall remain fully legal and valid.</w:t>
      </w:r>
    </w:p>
    <w:p>
      <w:pPr>
        <w:spacing w:after="0" w:line="176"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borrower’s signing of this contract fully complies with the borrower’s relevant articles of association, internal decisions, and resolutions of the shareholders’ meeting and board of directors, and undertakes that such internal decisions, shareholders’ meeting and board of directors resolutions fully comply with national laws and regulations and the company’s articles of association, and there is no invalidity, non establishment or revocability. This contract also does not conflict or violate any of the borrower’s articles of association, internal decisions, shareholder meetings, board resolutions, or borrower policies.</w:t>
      </w:r>
    </w:p>
    <w:p>
      <w:pPr>
        <w:spacing w:after="0" w:line="190"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 xml:space="preserve">5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signing and performance of this contract is based on the borrower’s true expression of intention. The loan financing meets the requirements of laws and regulations, and the signing and performance of this contract do not violate any binding laws, regulations, rules or contractual provisions on the borrower. This contract is legal, valid, and enforceable. If the borrower’s rights defects during the signing and performance of this contract render this contract invalid, the borrower will immediately and unconditionally compensate the lender for all losses.</w:t>
      </w:r>
    </w:p>
    <w:p>
      <w:pPr>
        <w:spacing w:after="0" w:line="190"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All documents, financial statements, and other information provided by the borrower to the lender under this contract are true, complete, accurate, and valid, and shall continue to maintain all financial indicators required by the lender.</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agrees that the loan business under this contract shall be bound by the lender’s regulations, practices, and practices. The lender has the right to recover the loan in advance based on the borrower’s fund recovery situation.</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8</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bears multiple debts of the same type to the lender, and the borrower’s payment is insufficient or may not be sufficient to repay all the debts, the lender shall decide on the specific order of repayment or deduction.</w:t>
      </w:r>
    </w:p>
    <w:p>
      <w:pPr>
        <w:spacing w:after="0" w:line="190" w:lineRule="exact"/>
        <w:rPr>
          <w:sz w:val="20"/>
          <w:szCs w:val="20"/>
          <w:color w:val="auto"/>
        </w:rPr>
      </w:pPr>
    </w:p>
    <w:p>
      <w:pPr>
        <w:jc w:val="both"/>
        <w:ind w:firstLine="289"/>
        <w:spacing w:after="0" w:line="197" w:lineRule="exact"/>
        <w:rPr>
          <w:sz w:val="20"/>
          <w:szCs w:val="20"/>
          <w:color w:val="auto"/>
        </w:rPr>
      </w:pPr>
      <w:r>
        <w:rPr>
          <w:rFonts w:ascii="Times New Roman" w:cs="Times New Roman" w:eastAsia="Times New Roman" w:hAnsi="Times New Roman"/>
          <w:sz w:val="16"/>
          <w:szCs w:val="16"/>
          <w:color w:val="auto"/>
        </w:rPr>
        <w:t>9</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fails to fulfill its obligations as stipulated in this contract, the borrower hereby authorizes the lender to directly deduct the loan principal and interest (including principal, interest, penalty interest, compound interest), liquidated damages, damages, and the lender’s expenses for realizing the creditor’s rights from any account opened by the borrower with the lender and all branches and subsidiaries of Industrial Bank without going through judicial procedures. The borrower agrees that the lender has the right to decide on the specific order of deduction. If the currency of the funds in the account is different from the borrowing currency, the lender has the right to convert them into the borrowing currency for deduction based on the middle price announced by the lender on the deduction day. If any account specified in this clause involves wealth management products or structured deposits, the borrower hereby irrevocably authorizes the lender to directly initiate relevant product redemption applications or take other necessary measures on behalf of the lender to ensure the smooth deduction of the above-mentioned funds, and the borrower shall provide all necessary cooperation.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538" w:name="page539"/>
    <w:bookmarkEnd w:id="538"/>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10</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Regardless of whether before or after the signing of this contract, if the borrower submits any documents related to specific transactions to the lender for review, the borrower guarantees the authenticity of all documents, and the lender will only make a decision on the surface authenticity of the transaction documents. The lender neither participates in nor is aware of the substance of the specific transactions engaged in by the borrower, nor assumes any responsibility.</w:t>
      </w:r>
    </w:p>
    <w:p>
      <w:pPr>
        <w:spacing w:after="0" w:line="189"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11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confirms that, except as disclosed in writing to the lender, the borrower has not concealed any of the following events that have occurred or are about to occur that may cause the lender to disagree with the disbursement of the loan under this contract:</w:t>
      </w:r>
    </w:p>
    <w:p>
      <w:pPr>
        <w:spacing w:after="0" w:line="178" w:lineRule="exact"/>
        <w:rPr>
          <w:sz w:val="20"/>
          <w:szCs w:val="20"/>
          <w:color w:val="auto"/>
        </w:rPr>
      </w:pPr>
    </w:p>
    <w:p>
      <w:pPr>
        <w:ind w:right="20" w:firstLine="285"/>
        <w:spacing w:after="0" w:line="283" w:lineRule="auto"/>
        <w:tabs>
          <w:tab w:leader="none" w:pos="518" w:val="left"/>
        </w:tabs>
        <w:numPr>
          <w:ilvl w:val="0"/>
          <w:numId w:val="6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debts or contingent liabilities borne by the borrower, including but not limited to any undisclosed mortgages, pledges, liens, and other debt burdens established on the borrower’s assets or earnings;</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violations of discipline, law, or claims related to the borrower or the borrower’s key management personnel;</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breaches the debt contract between the borrower and any other creditor;</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31" w:val="left"/>
        </w:tabs>
        <w:numPr>
          <w:ilvl w:val="0"/>
          <w:numId w:val="6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has not engaged in, and there is no outstanding or, to the best of the borrower’s knowledge, possible litigation, arbitration or administrative penalty against it or its property, and no liquidation, closure or other similar proceedings have occurred against the borrower, whether voluntarily or by a third party;</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that may affect the borrower’s financial condition and solvency.</w:t>
      </w:r>
    </w:p>
    <w:p>
      <w:pPr>
        <w:spacing w:after="0" w:line="213"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12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undertakes to use the loan for the purposes specified in this contract and shall not misappropriate it for any other purpose or be used for any purpose that violates the provisions of this contract. Accept and cooperate with the lender at any time for loan payment management, post loan management, and related inspections, and cooperate with the lender to supervise, inspect, and count the borrower’s use of loan funds, production and operation, financial activities, material inventory, assets and liabilities, bank deposits, cash inventory, and other necessary or appropriate requirements as deemed by the lender.</w:t>
      </w:r>
    </w:p>
    <w:p>
      <w:pPr>
        <w:spacing w:after="0" w:line="190" w:lineRule="exact"/>
        <w:rPr>
          <w:sz w:val="20"/>
          <w:szCs w:val="20"/>
          <w:color w:val="auto"/>
        </w:rPr>
      </w:pPr>
    </w:p>
    <w:p>
      <w:pPr>
        <w:jc w:val="both"/>
        <w:ind w:firstLine="289"/>
        <w:spacing w:after="0" w:line="197" w:lineRule="exact"/>
        <w:rPr>
          <w:sz w:val="20"/>
          <w:szCs w:val="20"/>
          <w:color w:val="auto"/>
        </w:rPr>
      </w:pPr>
      <w:r>
        <w:rPr>
          <w:rFonts w:ascii="Times New Roman" w:cs="Times New Roman" w:eastAsia="Times New Roman" w:hAnsi="Times New Roman"/>
          <w:sz w:val="16"/>
          <w:szCs w:val="16"/>
          <w:color w:val="auto"/>
        </w:rPr>
        <w:t>13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Provide sufficient, valid or other acceptable guarantees recognized by the lender as appropriate. If the guarantee under this contract involves real estate mortgage, the borrower shall promptly fulfill the obligation to inform the lender when they become aware of the information that the mortgaged property will be demolished; If the mortgaged property is demolished and the form of compensation through property rights exchange is adopted, the lender has the right to demand the borrower to repay the debt in advance, or to re establish the mortgage and sign a new mortgage agreement. After the original mortgaged property is lost but before the new mortgage registration is processed, a guarantor with sufficient guarantee conditions should be provided as collateral; For the demolished real estate compensated through compensation, the borrower is responsible for requesting the mortgagor to continue providing collateral for the main creditor’s rights by opening a special deposit account or deposit certificate for the demolition compensation.</w:t>
      </w:r>
    </w:p>
    <w:p>
      <w:pPr>
        <w:spacing w:after="0" w:line="189"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shall not reduce the registered capital in any way. Without the prior written consent of the lender, the debt under this contract shall not be transferred in whole or in part to a third party. Before the full repayment of the debts under this contract, without obtaining the written consent of the lender, no debt between the borrower and other creditors (excluding other branches of Industrial Bank) shall be repaid in advance.</w:t>
      </w:r>
    </w:p>
    <w:p>
      <w:pPr>
        <w:spacing w:after="0" w:line="189"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15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Promptly notify the lender of any significant adverse events that may affect the borrower’s ability to repay debts, and obtain written consent from the lender before conducting major events such as mergers, divisions, equity transfers, external investments, or substantial increases in debt financing.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39" w:name="page540"/>
    <w:bookmarkEnd w:id="539"/>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lender is involved in litigation, arbitration or other disputes with the borrower or any third party related to the borrower due to the performance of obligations under this contract, resulting in the lender being forced to become involved in disputes between the borrower and any third party, the lender shall bear all litigation, arbitration fees, lawyer fees and other expenses paid by the lender as a result.</w:t>
      </w:r>
    </w:p>
    <w:p>
      <w:pPr>
        <w:spacing w:after="0" w:line="189"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Due to the settlement business under this contract, the borrower must handle it through the settlement account opened with the lender.</w:t>
      </w:r>
    </w:p>
    <w:p>
      <w:pPr>
        <w:spacing w:after="0" w:line="214"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18</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promises that the information disclosed in the national enterprise credit information disclosure system is true, complete, legal and valid, and promises to continuously agree to the lender’s inquiry of the information disclosed or not disclosed by the enterprise in the system. If the lender requests capital verification, the borrower agrees to conduct the verification in accordance with the lender’s requirements and provide a capital verification report issued by a professional institution.</w:t>
      </w:r>
    </w:p>
    <w:p>
      <w:pPr>
        <w:spacing w:after="0" w:line="189"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19</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declares and authorizes that the lender has the right to conduct necessary investigations into the borrower’s credit situation in accordance with national laws, regulations, and relevant policies, including querying the borrower’s credit information from the financial credit information basic database established by the state. The lender may also submit relevant credit information to the national financial credit information basic database according to the needs of the People’s Bank of China for credit reporting of construction enterprises and individuals, and hereby allows relevant information to be lawfully queried within the authorized scope.</w:t>
      </w:r>
    </w:p>
    <w:p>
      <w:pPr>
        <w:spacing w:after="0" w:line="190"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 xml:space="preserve">20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declares and authorizes that the lender has the right to submit information related to this contract and other relevant information to the administrative/judicial/supervisory departments, banking regulatory authorities, banking associations, and other relevant information management work needs to the above-mentioned departments, institutions, and their established or recognized information management systems, and hereby allows relevant information to be lawfully queried.</w:t>
      </w:r>
    </w:p>
    <w:p>
      <w:pPr>
        <w:spacing w:after="0" w:line="189"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21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breaches this contract or encounters situations that may endanger the realization of the lender’s creditor’s rights, the lender has the right to request the borrower’s shareholders to accelerate the expiration of their subscribed capital obligations, and the borrower promises that their shareholders shall subscribe to capital in a timely manner as required by the lender. The lender has the right to demand that the borrower and its shareholders do not distribute dividends.</w:t>
      </w:r>
    </w:p>
    <w:p>
      <w:pPr>
        <w:spacing w:after="0" w:line="189"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22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promises that the transaction background of this loan business is true and legal, and has not been used for illegal purposes such as money laundering.</w:t>
      </w:r>
    </w:p>
    <w:p>
      <w:pPr>
        <w:spacing w:after="0" w:line="214"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23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hereby irrevocably undertakes that in the event of a breach of any contractual obligations under this contract, the lender may submit and disclose the borrower’s breach of trust information to the People’s Bank of China and its established or approved credit reporting agencies and systems, or to banking associations, banking regulatory agencies, or other administrative/legal/supervisory departments and their established or approved information management systems or news media.</w:t>
      </w:r>
    </w:p>
    <w:p>
      <w:pPr>
        <w:spacing w:after="0" w:line="177"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The borrower irrevocably authorizes the relevant banking association to share and even publicly disclose the borrower’s dishonest information among banking and financial institutions through appropriate means.</w:t>
      </w:r>
    </w:p>
    <w:p>
      <w:pPr>
        <w:spacing w:after="0" w:line="14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The borrower is aware that the lender has the right to take various measures in accordance with the provisions of this contract, and is aware that the lender has the right to take or the lender and other banking and financial institutions have the right to jointly take measures such as reducing or stopping credit, stopping the opening of new settlement accounts, suspending the operation of the borrower’s legal representative/borrower’s new credit card, and other joint dishonesty and rights protection measures.</w:t>
      </w:r>
    </w:p>
    <w:p>
      <w:pPr>
        <w:spacing w:after="0" w:line="168"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24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Other matters declared and promised by the borrower </w:t>
      </w:r>
      <w:r>
        <w:rPr>
          <w:rFonts w:ascii="SimSun" w:cs="SimSun" w:eastAsia="SimSun" w:hAnsi="SimSun"/>
          <w:sz w:val="16"/>
          <w:szCs w:val="16"/>
          <w:color w:val="auto"/>
        </w:rPr>
        <w:t>：</w:t>
      </w:r>
      <w:r>
        <w:rPr>
          <w:rFonts w:ascii="Times New Roman" w:cs="Times New Roman" w:eastAsia="Times New Roman" w:hAnsi="Times New Roman"/>
          <w:sz w:val="16"/>
          <w:szCs w:val="16"/>
          <w:color w:val="auto"/>
        </w:rPr>
        <w:t>________/________.</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40" w:name="page541"/>
    <w:bookmarkEnd w:id="540"/>
    <w:p>
      <w:pPr>
        <w:ind w:left="280"/>
        <w:spacing w:after="0"/>
        <w:rPr>
          <w:sz w:val="20"/>
          <w:szCs w:val="20"/>
          <w:color w:val="auto"/>
        </w:rPr>
      </w:pPr>
      <w:r>
        <w:rPr>
          <w:rFonts w:ascii="Times New Roman" w:cs="Times New Roman" w:eastAsia="Times New Roman" w:hAnsi="Times New Roman"/>
          <w:sz w:val="16"/>
          <w:szCs w:val="16"/>
          <w:b w:val="1"/>
          <w:bCs w:val="1"/>
          <w:color w:val="auto"/>
        </w:rPr>
        <w:t>Article 12: Advance Loan Collection</w:t>
      </w:r>
    </w:p>
    <w:p>
      <w:pPr>
        <w:spacing w:after="0" w:line="215" w:lineRule="exact"/>
        <w:rPr>
          <w:sz w:val="20"/>
          <w:szCs w:val="20"/>
          <w:color w:val="auto"/>
        </w:rPr>
      </w:pPr>
    </w:p>
    <w:p>
      <w:pPr>
        <w:jc w:val="both"/>
        <w:ind w:right="20" w:firstLine="289"/>
        <w:spacing w:after="0" w:line="200" w:lineRule="exact"/>
        <w:rPr>
          <w:sz w:val="20"/>
          <w:szCs w:val="20"/>
          <w:color w:val="auto"/>
        </w:rPr>
      </w:pPr>
      <w:r>
        <w:rPr>
          <w:rFonts w:ascii="Times New Roman" w:cs="Times New Roman" w:eastAsia="Times New Roman" w:hAnsi="Times New Roman"/>
          <w:sz w:val="16"/>
          <w:szCs w:val="16"/>
          <w:color w:val="auto"/>
        </w:rPr>
        <w:t xml:space="preserve">1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During the loan period, if the borrower or guarantor (including but not limited to the guarantor, mortgagor, or pledgor, the same below) encounters any of the following situations, the lender has the right to unilaterally decide to stop paying the unused loan of the borrower, and to recover part or all of the loan principal and interest in advance. The loan to be repaid in installments shall be considered as early due if the lender has received the loan in advance according to the provisions of this contract for one of the loans, and other unexpired loans shall be deemed as early due:</w:t>
      </w:r>
    </w:p>
    <w:p>
      <w:pPr>
        <w:spacing w:after="0" w:line="178" w:lineRule="exact"/>
        <w:rPr>
          <w:sz w:val="20"/>
          <w:szCs w:val="20"/>
          <w:color w:val="auto"/>
        </w:rPr>
      </w:pPr>
    </w:p>
    <w:p>
      <w:pPr>
        <w:ind w:right="20" w:firstLine="285"/>
        <w:spacing w:after="0" w:line="283" w:lineRule="auto"/>
        <w:tabs>
          <w:tab w:leader="none" w:pos="518"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false materials or concealing important business and financial facts, any proof or document submitted to the lender, as well as any statement or commitment in Article 11 of this contract, is proven to be untrue, inaccurate, incomplete or intentionally misleading;</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written consent of the lender, changing the original purpose of the loan, misappropriating the loan, or engaging in illegal or irregular transactions using the</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w:t>
      </w:r>
    </w:p>
    <w:p>
      <w:pPr>
        <w:spacing w:after="0" w:line="184" w:lineRule="exact"/>
        <w:rPr>
          <w:rFonts w:ascii="Times New Roman" w:cs="Times New Roman" w:eastAsia="Times New Roman" w:hAnsi="Times New Roman"/>
          <w:sz w:val="16"/>
          <w:szCs w:val="16"/>
          <w:color w:val="auto"/>
        </w:rPr>
      </w:pPr>
    </w:p>
    <w:p>
      <w:pPr>
        <w:ind w:right="20" w:firstLine="285"/>
        <w:spacing w:after="0" w:line="283" w:lineRule="auto"/>
        <w:tabs>
          <w:tab w:leader="none" w:pos="516"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Using false contracts with related parties to discount or pledge creditor’s rights such as notes receivable and accounts receivable without actual trade background to the lender, in order to obtain the lender’s funds or credit;</w:t>
      </w:r>
    </w:p>
    <w:p>
      <w:pPr>
        <w:spacing w:after="0" w:line="155" w:lineRule="exact"/>
        <w:rPr>
          <w:rFonts w:ascii="Times New Roman" w:cs="Times New Roman" w:eastAsia="Times New Roman" w:hAnsi="Times New Roman"/>
          <w:sz w:val="16"/>
          <w:szCs w:val="16"/>
          <w:color w:val="auto"/>
        </w:rPr>
      </w:pPr>
    </w:p>
    <w:p>
      <w:pPr>
        <w:ind w:left="520" w:hanging="235"/>
        <w:spacing w:after="0" w:line="195" w:lineRule="exact"/>
        <w:tabs>
          <w:tab w:leader="none" w:pos="520"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Refusing to accept the lender’s supervision and inspection of the use of their credit funds and related business and financial activities</w:t>
      </w:r>
      <w:r>
        <w:rPr>
          <w:rFonts w:ascii="SimSun" w:cs="SimSun" w:eastAsia="SimSun" w:hAnsi="SimSun"/>
          <w:sz w:val="16"/>
          <w:szCs w:val="16"/>
          <w:color w:val="auto"/>
        </w:rPr>
        <w:t>；</w:t>
      </w:r>
    </w:p>
    <w:p>
      <w:pPr>
        <w:spacing w:after="0" w:line="202" w:lineRule="exact"/>
        <w:rPr>
          <w:rFonts w:ascii="Times New Roman" w:cs="Times New Roman" w:eastAsia="Times New Roman" w:hAnsi="Times New Roman"/>
          <w:sz w:val="16"/>
          <w:szCs w:val="16"/>
          <w:color w:val="auto"/>
        </w:rPr>
      </w:pPr>
    </w:p>
    <w:p>
      <w:pPr>
        <w:ind w:right="20" w:firstLine="285"/>
        <w:spacing w:after="0" w:line="283" w:lineRule="auto"/>
        <w:tabs>
          <w:tab w:leader="none" w:pos="542"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events such as merger, division, acquisition, restructuring, equity transfer, external investment, substantial increase in debt financing, etc. that the lender believes may affect the safety of the loan;</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evading the creditor’s rights through related party transactions;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situation has deteriorated, and the solvency (including contingent liabilities) has significantly weakened;</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9"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or its affiliated enterprises, as well as the guarantor or guarantor’s affiliated enterprises, encounter cross breach situations as stipulated in Article 15 of this contract;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fails to repay the principal and interest of the loan under this contract on time;</w:t>
      </w:r>
    </w:p>
    <w:p>
      <w:pPr>
        <w:spacing w:after="0" w:line="200"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stops repaying its debts, or is unable or indicates that it is unable to repay its due debts;</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618"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borrower’s suspension of business, closure of business, declaration of bankruptcy, dissolution, revocation of business license, revocation, deterioration of financial condition, etc;</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614"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fails to fulfill the obligations stipulated in Article 10 and Article 13 of this contract, as well as other obligations stipulated in this contract, or the guarantor fails to fulfill the obligations stipulated in the guarantee contract;</w:t>
      </w:r>
    </w:p>
    <w:p>
      <w:pPr>
        <w:spacing w:after="0" w:line="143" w:lineRule="exact"/>
        <w:rPr>
          <w:rFonts w:ascii="Times New Roman" w:cs="Times New Roman" w:eastAsia="Times New Roman" w:hAnsi="Times New Roman"/>
          <w:sz w:val="16"/>
          <w:szCs w:val="16"/>
          <w:color w:val="auto"/>
        </w:rPr>
      </w:pPr>
    </w:p>
    <w:p>
      <w:pPr>
        <w:ind w:firstLine="285"/>
        <w:spacing w:after="0" w:line="283" w:lineRule="auto"/>
        <w:tabs>
          <w:tab w:leader="none" w:pos="598"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used for guarantee, the value of the collateral has significantly decreased or may significantly decrease, or the right to pledge must be redeemed before the loan expires;</w:t>
      </w:r>
    </w:p>
    <w:p>
      <w:pPr>
        <w:spacing w:after="0" w:line="143"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641"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or guarantor’s legal representative, individual investors, directors, supervisors, or senior management personnel undergo abnormal changes, disappearance, or are subject to legal investigation or restriction of personal freedom by judicial authorities, which has already or may affect the performance of obligations under this contract;</w:t>
      </w:r>
    </w:p>
    <w:p>
      <w:pPr>
        <w:spacing w:after="0" w:line="155"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603"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borrower/guarantor or the controlling shareholder, actual controller or its affiliates of the borrower/guarantor are involved in significant litigation, arbitration or other disputes, or their significant assets are sealed, frozen, deducted, enforced or other measures with similar effects are taken, which may endanger or damage the rights and interests of the lender;</w:t>
      </w:r>
    </w:p>
    <w:p>
      <w:pPr>
        <w:spacing w:after="0" w:line="155" w:lineRule="exact"/>
        <w:rPr>
          <w:rFonts w:ascii="Times New Roman" w:cs="Times New Roman" w:eastAsia="Times New Roman" w:hAnsi="Times New Roman"/>
          <w:sz w:val="16"/>
          <w:szCs w:val="16"/>
          <w:color w:val="auto"/>
        </w:rPr>
      </w:pPr>
    </w:p>
    <w:p>
      <w:pPr>
        <w:ind w:firstLine="285"/>
        <w:spacing w:after="0" w:line="283" w:lineRule="auto"/>
        <w:tabs>
          <w:tab w:leader="none" w:pos="605" w:val="left"/>
        </w:tabs>
        <w:numPr>
          <w:ilvl w:val="0"/>
          <w:numId w:val="6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events stipulated in this contract, or based on the borrower’s fund withdrawal situation, or other events that endanger, damage, or may endanger, damage the rights and interests of the lender.</w:t>
      </w:r>
    </w:p>
    <w:p>
      <w:pPr>
        <w:spacing w:after="0" w:line="155" w:lineRule="exact"/>
        <w:rPr>
          <w:sz w:val="20"/>
          <w:szCs w:val="20"/>
          <w:color w:val="auto"/>
        </w:rPr>
      </w:pPr>
    </w:p>
    <w:p>
      <w:pPr>
        <w:jc w:val="both"/>
        <w:ind w:firstLine="289"/>
        <w:spacing w:after="0" w:line="200"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above situation of early loan collection occurs, the lender may unilaterally decide whether to grant the borrower a certain grace period based on the borrower’s production and operation, financial status, and fund recovery. If the lender grants the borrower a grace period and the borrower fails to take remedial measures or the remedial measures taken do not meet the lender’s requirements during the grace period, the lender has the right to unilaterally decide to receive the loan in advance; The lender can also decide to receive the loan in advance without giving the borrower a grace period.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41" w:name="page542"/>
    <w:bookmarkEnd w:id="541"/>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When receiving the loan in advance, the lender has the right to take corresponding measures in accordance with the provisions of Article 14 (2) of this contract.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13 Obligations of the borrower to disclose major transactions and events to the lender</w:t>
      </w:r>
    </w:p>
    <w:p>
      <w:pPr>
        <w:spacing w:after="0" w:line="215"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shall promptly report in writing to the lender any significant transactions and events that have occurred.</w:t>
      </w:r>
    </w:p>
    <w:p>
      <w:pPr>
        <w:spacing w:after="0" w:line="214" w:lineRule="exact"/>
        <w:rPr>
          <w:sz w:val="20"/>
          <w:szCs w:val="20"/>
          <w:color w:val="auto"/>
        </w:rPr>
      </w:pPr>
    </w:p>
    <w:p>
      <w:pPr>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belongs to a group customer, the borrower shall promptly report to the lender related transactions of more than 10% of the borrower’s net assets in accordance with relevant regulations, including but not limited to:</w:t>
      </w:r>
    </w:p>
    <w:p>
      <w:pPr>
        <w:spacing w:after="0" w:line="178" w:lineRule="exact"/>
        <w:rPr>
          <w:sz w:val="20"/>
          <w:szCs w:val="20"/>
          <w:color w:val="auto"/>
        </w:rPr>
      </w:pPr>
    </w:p>
    <w:p>
      <w:pPr>
        <w:ind w:left="520" w:hanging="235"/>
        <w:spacing w:after="0"/>
        <w:tabs>
          <w:tab w:leader="none" w:pos="520" w:val="left"/>
        </w:tabs>
        <w:numPr>
          <w:ilvl w:val="0"/>
          <w:numId w:val="6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related relationships between the parties involved in the transaction;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items and transaction nature;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or corresponding proportion of the transaction;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Pricing policy (including transactions with no or only symbolic amounts).</w:t>
      </w:r>
    </w:p>
    <w:p>
      <w:pPr>
        <w:spacing w:after="0" w:line="213"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there is a significant change in the basic conditions of the contract that cannot be foreseen at the time of signing the contract and does not belong to commercial risks, and it is necessary to renegotiate, the lender should be notified in a timely manner within three working days after the change occurs.</w:t>
      </w:r>
    </w:p>
    <w:p>
      <w:pPr>
        <w:spacing w:after="0" w:line="1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14 Liability for Breach of Contract</w:t>
      </w:r>
    </w:p>
    <w:p>
      <w:pPr>
        <w:spacing w:after="0" w:line="215"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After this contract takes effect, both the borrower and the lender shall fulfill the obligations stipulated in this contract. If either party fails to perform or fully performs the obligations stipulated in this contract, they shall bear corresponding breach of contract responsibilities.</w:t>
      </w:r>
    </w:p>
    <w:p>
      <w:pPr>
        <w:spacing w:after="0" w:line="190"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borrower fails to use the loan for the purpose specified in this contract, fails to make payment of the loan funds in the agreed manner, fails to comply with the declaration and commitment matters, distorts the information in the loan application documents, exceeds the agreed financial indicators, experiences significant cross breach events, and fails to fulfill any of the provisions of this contract, the lender has the right to take one or more of the following measures:</w:t>
      </w:r>
    </w:p>
    <w:p>
      <w:pPr>
        <w:spacing w:after="0" w:line="177" w:lineRule="exact"/>
        <w:rPr>
          <w:sz w:val="20"/>
          <w:szCs w:val="20"/>
          <w:color w:val="auto"/>
        </w:rPr>
      </w:pPr>
    </w:p>
    <w:p>
      <w:pPr>
        <w:ind w:left="520" w:hanging="235"/>
        <w:spacing w:after="0"/>
        <w:tabs>
          <w:tab w:leader="none" w:pos="520"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Requesting a deadline to rectify the breach of contract;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Suspend the disbursement of outstanding loans under this contract and cease payment of outstanding loan funds under this contract;</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27"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the borrower to provide additional loan disbursement and payment conditions that meet the lender’s requirements, or cancel the borrower’s use of the loan through “self payment”;</w:t>
      </w:r>
    </w:p>
    <w:p>
      <w:pPr>
        <w:spacing w:after="0" w:line="143"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Unilateral decision to advance the maturity of all or part of the debt;</w:t>
      </w:r>
    </w:p>
    <w:p>
      <w:pPr>
        <w:spacing w:after="0" w:line="200" w:lineRule="exact"/>
        <w:rPr>
          <w:rFonts w:ascii="Times New Roman" w:cs="Times New Roman" w:eastAsia="Times New Roman" w:hAnsi="Times New Roman"/>
          <w:sz w:val="16"/>
          <w:szCs w:val="16"/>
          <w:color w:val="auto"/>
        </w:rPr>
      </w:pPr>
    </w:p>
    <w:p>
      <w:pPr>
        <w:ind w:right="20" w:firstLine="285"/>
        <w:spacing w:after="0" w:line="206" w:lineRule="exact"/>
        <w:tabs>
          <w:tab w:leader="none" w:pos="516"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Unilateral termination or termination of this contract, requiring the borrower to repay the principal and interest of the loan due or not yet due, and to pay or compensate for related losses</w:t>
      </w:r>
      <w:r>
        <w:rPr>
          <w:rFonts w:ascii="SimSun" w:cs="SimSun" w:eastAsia="SimSun" w:hAnsi="SimSun"/>
          <w:sz w:val="16"/>
          <w:szCs w:val="16"/>
          <w:color w:val="auto"/>
        </w:rPr>
        <w:t>；</w:t>
      </w:r>
    </w:p>
    <w:p>
      <w:pPr>
        <w:spacing w:after="0" w:line="189" w:lineRule="exact"/>
        <w:rPr>
          <w:rFonts w:ascii="Times New Roman" w:cs="Times New Roman" w:eastAsia="Times New Roman" w:hAnsi="Times New Roman"/>
          <w:sz w:val="16"/>
          <w:szCs w:val="16"/>
          <w:color w:val="auto"/>
        </w:rPr>
      </w:pPr>
    </w:p>
    <w:p>
      <w:pPr>
        <w:jc w:val="both"/>
        <w:ind w:right="20" w:firstLine="285"/>
        <w:spacing w:after="0" w:line="267" w:lineRule="auto"/>
        <w:tabs>
          <w:tab w:leader="none" w:pos="557"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loan is overdue, require the borrower to pay overdue penalty interest; If the borrower misappropriates the loan, demand that the borrower pay the misappropriation penalty interest; Require the borrower to pay compound interest on unpaid interest (including interest before and after loan maturity, misappropriation penalty interest, and overdue penalty interest);</w:t>
      </w:r>
    </w:p>
    <w:p>
      <w:pPr>
        <w:spacing w:after="0" w:line="155"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Request the borrower to add or replace the guarantor, collateral, collateral/pledge rights;</w:t>
      </w:r>
    </w:p>
    <w:p>
      <w:pPr>
        <w:spacing w:after="0" w:line="212" w:lineRule="exact"/>
        <w:rPr>
          <w:rFonts w:ascii="Times New Roman" w:cs="Times New Roman" w:eastAsia="Times New Roman" w:hAnsi="Times New Roman"/>
          <w:sz w:val="16"/>
          <w:szCs w:val="16"/>
          <w:color w:val="auto"/>
        </w:rPr>
      </w:pPr>
    </w:p>
    <w:p>
      <w:pPr>
        <w:ind w:left="520" w:hanging="235"/>
        <w:spacing w:after="0" w:line="195" w:lineRule="exact"/>
        <w:tabs>
          <w:tab w:leader="none" w:pos="520" w:val="left"/>
        </w:tabs>
        <w:numPr>
          <w:ilvl w:val="0"/>
          <w:numId w:val="6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realize any rights under any guarantee related to the loan</w:t>
      </w:r>
      <w:r>
        <w:rPr>
          <w:rFonts w:ascii="SimSun" w:cs="SimSun" w:eastAsia="SimSun" w:hAnsi="SimSun"/>
          <w:sz w:val="16"/>
          <w:szCs w:val="16"/>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2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542" w:name="page543"/>
    <w:bookmarkEnd w:id="542"/>
    <w:p>
      <w:pPr>
        <w:jc w:val="both"/>
        <w:ind w:right="20" w:firstLine="285"/>
        <w:spacing w:after="0" w:line="256" w:lineRule="auto"/>
        <w:tabs>
          <w:tab w:leader="none" w:pos="528" w:val="left"/>
        </w:tabs>
        <w:numPr>
          <w:ilvl w:val="0"/>
          <w:numId w:val="6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going through judicial procedures, the borrower may directly deduct funds from any account opened by the borrower with the lender and all branches and subsidiaries of Industrial Bank, or entrust the borrower’s account opening bank to deduct funds from its account, including but not limited to loan principal and interest (including principal, interest, penalty interest, compound interest),liquidated damages, damages, and expenses incurred by the lender in realizing the creditor’s rights. The borrower agrees that the lender has the right to decide the specific order of deduction. If the currency of the funds in the account is inconsistent with the loan currency, the lender has the right to convert them into the loan currency for deduction at the midpoint published by the lender on the day of deduction; If any account specified in this clause involves wealth management products or structured deposits, the lender has the right to directly initiate relevant product redemption applications or take other necessary measures on behalf of the lender to ensure the smooth deduction of the above-mentioned funds;</w:t>
      </w:r>
    </w:p>
    <w:p>
      <w:pPr>
        <w:spacing w:after="0" w:line="165" w:lineRule="exact"/>
        <w:rPr>
          <w:rFonts w:ascii="Times New Roman" w:cs="Times New Roman" w:eastAsia="Times New Roman" w:hAnsi="Times New Roman"/>
          <w:sz w:val="16"/>
          <w:szCs w:val="16"/>
          <w:color w:val="auto"/>
        </w:rPr>
      </w:pPr>
    </w:p>
    <w:p>
      <w:pPr>
        <w:ind w:right="20" w:firstLine="285"/>
        <w:spacing w:after="0" w:line="283" w:lineRule="auto"/>
        <w:tabs>
          <w:tab w:leader="none" w:pos="596" w:val="left"/>
        </w:tabs>
        <w:numPr>
          <w:ilvl w:val="0"/>
          <w:numId w:val="6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Initiate a lawsuit, arbitration, or apply to a notary public for an execution certificate, requiring the borrower to repay the principal and interest of the loan, and the cost of realizing the creditor’s rights shall be borne by the borrower;</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600" w:val="left"/>
        </w:tabs>
        <w:numPr>
          <w:ilvl w:val="0"/>
          <w:numId w:val="6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seize or retain any movable or immovable, tangible or intangible property of the borrower under the lender’s control and possession, or take other measures deemed appropriate by the lender;</w:t>
      </w:r>
    </w:p>
    <w:p>
      <w:pPr>
        <w:spacing w:after="0" w:line="143" w:lineRule="exact"/>
        <w:rPr>
          <w:rFonts w:ascii="Times New Roman" w:cs="Times New Roman" w:eastAsia="Times New Roman" w:hAnsi="Times New Roman"/>
          <w:sz w:val="16"/>
          <w:szCs w:val="16"/>
          <w:color w:val="auto"/>
        </w:rPr>
      </w:pPr>
    </w:p>
    <w:p>
      <w:pPr>
        <w:jc w:val="both"/>
        <w:ind w:firstLine="285"/>
        <w:spacing w:after="0" w:line="259" w:lineRule="auto"/>
        <w:tabs>
          <w:tab w:leader="none" w:pos="614" w:val="left"/>
        </w:tabs>
        <w:numPr>
          <w:ilvl w:val="0"/>
          <w:numId w:val="6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 has the right to report and disclose the borrower’s breach of credit information to the People’s Bank of China and its established or approved credit reporting agencies and systems, or to the banking industry association, banking regulatory agencies, or other administrative/judicial/supervisory departments and their established or recognized information management systems or news media. At the same time, the lender may take or jointly with other banking and financial institutions to reduce or stop credit, stop opening new settlement accounts, suspend the borrower’s legal representative/borrower’s new credit card, and other joint measures to punish and protect the borrower’s credit;</w:t>
      </w:r>
    </w:p>
    <w:p>
      <w:pPr>
        <w:spacing w:after="0" w:line="161" w:lineRule="exact"/>
        <w:rPr>
          <w:rFonts w:ascii="Times New Roman" w:cs="Times New Roman" w:eastAsia="Times New Roman" w:hAnsi="Times New Roman"/>
          <w:sz w:val="16"/>
          <w:szCs w:val="16"/>
          <w:color w:val="auto"/>
        </w:rPr>
      </w:pPr>
    </w:p>
    <w:p>
      <w:pPr>
        <w:ind w:left="600" w:hanging="315"/>
        <w:spacing w:after="0"/>
        <w:tabs>
          <w:tab w:leader="none" w:pos="600" w:val="left"/>
        </w:tabs>
        <w:numPr>
          <w:ilvl w:val="0"/>
          <w:numId w:val="6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measures as required by laws and regulations, agreed upon in this contract, or deemed appropriate by the lender.</w:t>
      </w:r>
    </w:p>
    <w:p>
      <w:pPr>
        <w:spacing w:after="0" w:line="213" w:lineRule="exact"/>
        <w:rPr>
          <w:sz w:val="20"/>
          <w:szCs w:val="20"/>
          <w:color w:val="auto"/>
        </w:rPr>
      </w:pPr>
    </w:p>
    <w:p>
      <w:pPr>
        <w:jc w:val="both"/>
        <w:ind w:right="20" w:firstLine="289"/>
        <w:spacing w:after="0" w:line="202"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lender fails to provide the loan on the agreed date and amount, and causes losses to the borrower in accordance with the withdrawal prerequisites and loan payment conditions stipulated in this contract, the lender shall compensate the borrower for the direct economic losses incurred as a result. However, regardless of the circumstances, the lender shall not be liable for any foreseeable or unforeseeable indirect losses incurred by the borrower as a result.</w:t>
      </w:r>
    </w:p>
    <w:p>
      <w:pPr>
        <w:spacing w:after="0" w:line="189" w:lineRule="exact"/>
        <w:rPr>
          <w:sz w:val="20"/>
          <w:szCs w:val="20"/>
          <w:color w:val="auto"/>
        </w:rPr>
      </w:pPr>
    </w:p>
    <w:p>
      <w:pPr>
        <w:jc w:val="both"/>
        <w:ind w:firstLine="289"/>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During the performance of this contract, if the materials provided by the borrower are untrue, inaccurate, incomplete, or have other defects, resulting in the lender’s entrusted payment error, untimely payment, the borrower’s violation of the provisions of this contract in handling autonomous payment, or other losses, the lender shall not be held responsible.</w:t>
      </w:r>
    </w:p>
    <w:p>
      <w:pPr>
        <w:spacing w:after="0" w:line="189"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loan disbursement account or payment recipient account specified in this contract is frozen or other reasons result in loan disbursement and payment disputes or other losses, the lender shall not be held responsible.</w:t>
      </w:r>
    </w:p>
    <w:p>
      <w:pPr>
        <w:spacing w:after="0" w:line="190" w:lineRule="exact"/>
        <w:rPr>
          <w:sz w:val="20"/>
          <w:szCs w:val="20"/>
          <w:color w:val="auto"/>
        </w:rPr>
      </w:pPr>
    </w:p>
    <w:p>
      <w:pPr>
        <w:jc w:val="both"/>
        <w:ind w:firstLine="289"/>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guarantor (i.e. guarantor, mortgagor, pledgor) under this contract encounters the following reasons, the lender has the right to take measures in accordance with the provisions of the second paragraph of this article:</w:t>
      </w:r>
    </w:p>
    <w:p>
      <w:pPr>
        <w:spacing w:after="0" w:line="178" w:lineRule="exact"/>
        <w:rPr>
          <w:sz w:val="20"/>
          <w:szCs w:val="20"/>
          <w:color w:val="auto"/>
        </w:rPr>
      </w:pPr>
    </w:p>
    <w:p>
      <w:pPr>
        <w:ind w:left="520" w:hanging="235"/>
        <w:spacing w:after="0"/>
        <w:tabs>
          <w:tab w:leader="none" w:pos="520" w:val="left"/>
        </w:tabs>
        <w:numPr>
          <w:ilvl w:val="0"/>
          <w:numId w:val="6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fails to fulfill the provisions of the guarantee contract, or the credit status deteriorates, or other events that weaken the guarantee ability occur;</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6" w:val="left"/>
        </w:tabs>
        <w:numPr>
          <w:ilvl w:val="0"/>
          <w:numId w:val="6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mortgagor fails to fulfill the provisions of the mortgage contract, intentionally damages the mortgaged property, or the value of the mortgaged property may or has significantly decreased, or other events that harm the lender’s mortgage right;</w:t>
      </w:r>
    </w:p>
    <w:p>
      <w:pPr>
        <w:spacing w:after="0" w:line="143" w:lineRule="exact"/>
        <w:rPr>
          <w:rFonts w:ascii="Times New Roman" w:cs="Times New Roman" w:eastAsia="Times New Roman" w:hAnsi="Times New Roman"/>
          <w:sz w:val="16"/>
          <w:szCs w:val="16"/>
          <w:color w:val="auto"/>
        </w:rPr>
      </w:pPr>
    </w:p>
    <w:p>
      <w:pPr>
        <w:ind w:right="20" w:firstLine="285"/>
        <w:spacing w:after="0" w:line="283" w:lineRule="auto"/>
        <w:tabs>
          <w:tab w:leader="none" w:pos="522" w:val="left"/>
        </w:tabs>
        <w:numPr>
          <w:ilvl w:val="0"/>
          <w:numId w:val="6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pledgor fails to fulfill the provisions of the pledge contract, or the value of the pledged property has significantly decreased or may significantly decrease, or the pledged right must be redeemed before the loan is repaid, or other events that damage the mortgage right of the loan hostage.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43" w:name="page544"/>
    <w:bookmarkEnd w:id="543"/>
    <w:p>
      <w:pPr>
        <w:ind w:left="280"/>
        <w:spacing w:after="0"/>
        <w:rPr>
          <w:sz w:val="20"/>
          <w:szCs w:val="20"/>
          <w:color w:val="auto"/>
        </w:rPr>
      </w:pPr>
      <w:r>
        <w:rPr>
          <w:rFonts w:ascii="Times New Roman" w:cs="Times New Roman" w:eastAsia="Times New Roman" w:hAnsi="Times New Roman"/>
          <w:sz w:val="16"/>
          <w:szCs w:val="16"/>
          <w:b w:val="1"/>
          <w:bCs w:val="1"/>
          <w:color w:val="auto"/>
        </w:rPr>
        <w:t>Article 15 Cross breach</w:t>
      </w:r>
    </w:p>
    <w:p>
      <w:pPr>
        <w:spacing w:after="0" w:line="203" w:lineRule="exact"/>
        <w:rPr>
          <w:sz w:val="20"/>
          <w:szCs w:val="20"/>
          <w:color w:val="auto"/>
        </w:rPr>
      </w:pPr>
    </w:p>
    <w:p>
      <w:pPr>
        <w:jc w:val="both"/>
        <w:ind w:right="20" w:firstLine="289"/>
        <w:spacing w:after="0" w:line="267" w:lineRule="auto"/>
        <w:rPr>
          <w:sz w:val="20"/>
          <w:szCs w:val="20"/>
          <w:color w:val="auto"/>
        </w:rPr>
      </w:pPr>
      <w:r>
        <w:rPr>
          <w:rFonts w:ascii="Times New Roman" w:cs="Times New Roman" w:eastAsia="Times New Roman" w:hAnsi="Times New Roman"/>
          <w:sz w:val="16"/>
          <w:szCs w:val="16"/>
          <w:color w:val="auto"/>
        </w:rPr>
        <w:t>Any of the following situations shall be deemed as a simultaneous breach of this contract by the borrower or its affiliated enterprises, as well as the guarantor or its affiliated enterprises. The lender shall have the right to receive the loan in advance in accordance with Article 12 of this contract and demand the borrower to bear the liability for breach of contract in accordance with Article 14 of this contract:</w:t>
      </w:r>
    </w:p>
    <w:p>
      <w:pPr>
        <w:spacing w:after="0" w:line="156" w:lineRule="exact"/>
        <w:rPr>
          <w:sz w:val="20"/>
          <w:szCs w:val="20"/>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borrowing, financing, or debt that may default or be declared prematurely due;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guarantee or similar obligation is not fulfilled, or there is a possibility of non fulfillment;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perform or violate legal documents or contracts related to debt guarantees and other similar obligations, or the possibility of failure to perform or violation;</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or is about to be an inability to repay due debts or mature loans/financing;</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or about to be declared bankrupt through legal proceedings;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its assets or property to other creditors;</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situations that endanger the safety of the principal and interest of the loan under this contract.</w:t>
      </w:r>
    </w:p>
    <w:p>
      <w:pPr>
        <w:spacing w:after="0" w:line="1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16 Continuity of Obligations</w:t>
      </w:r>
    </w:p>
    <w:p>
      <w:pPr>
        <w:spacing w:after="0" w:line="203" w:lineRule="exact"/>
        <w:rPr>
          <w:sz w:val="20"/>
          <w:szCs w:val="20"/>
          <w:color w:val="auto"/>
        </w:rPr>
      </w:pPr>
    </w:p>
    <w:p>
      <w:pPr>
        <w:jc w:val="both"/>
        <w:ind w:right="20" w:firstLine="289"/>
        <w:spacing w:after="0" w:line="283" w:lineRule="auto"/>
        <w:rPr>
          <w:sz w:val="20"/>
          <w:szCs w:val="20"/>
          <w:color w:val="auto"/>
        </w:rPr>
      </w:pPr>
      <w:r>
        <w:rPr>
          <w:rFonts w:ascii="Times New Roman" w:cs="Times New Roman" w:eastAsia="Times New Roman" w:hAnsi="Times New Roman"/>
          <w:sz w:val="16"/>
          <w:szCs w:val="16"/>
          <w:color w:val="auto"/>
        </w:rPr>
        <w:t>All obligations of the borrower under this contract are continuous and have full and equal binding force on their heirs, agents, receivers, assignees, and their merged, restructured, or renamed entities.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17 Accelerated Maturity of Principal and Interest Clause</w:t>
      </w:r>
    </w:p>
    <w:p>
      <w:pPr>
        <w:spacing w:after="0" w:line="203" w:lineRule="exact"/>
        <w:rPr>
          <w:sz w:val="20"/>
          <w:szCs w:val="20"/>
          <w:color w:val="auto"/>
        </w:rPr>
      </w:pPr>
    </w:p>
    <w:p>
      <w:pPr>
        <w:jc w:val="both"/>
        <w:ind w:firstLine="289"/>
        <w:spacing w:after="0" w:line="267" w:lineRule="auto"/>
        <w:rPr>
          <w:sz w:val="20"/>
          <w:szCs w:val="20"/>
          <w:color w:val="auto"/>
        </w:rPr>
      </w:pPr>
      <w:r>
        <w:rPr>
          <w:rFonts w:ascii="Times New Roman" w:cs="Times New Roman" w:eastAsia="Times New Roman" w:hAnsi="Times New Roman"/>
          <w:sz w:val="16"/>
          <w:szCs w:val="16"/>
          <w:color w:val="auto"/>
        </w:rPr>
        <w:t>The borrower agrees that once the borrower fails to fulfill the declaration and commitment in Article 11 of this contract, or fails to fulfill any of its obligations under this contract, the lender has the right to decide that any other obligations of the borrower to the lender, including the repayment obligation of all principal and interest (including penalty and compound interest) due and not yet due under this contract, will immediately become due.</w:t>
      </w:r>
    </w:p>
    <w:p>
      <w:pPr>
        <w:spacing w:after="0" w:line="1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18 Subrogation Rights</w:t>
      </w:r>
    </w:p>
    <w:p>
      <w:pPr>
        <w:spacing w:after="0" w:line="203" w:lineRule="exact"/>
        <w:rPr>
          <w:sz w:val="20"/>
          <w:szCs w:val="20"/>
          <w:color w:val="auto"/>
        </w:rPr>
      </w:pPr>
    </w:p>
    <w:p>
      <w:pPr>
        <w:jc w:val="both"/>
        <w:ind w:firstLine="289"/>
        <w:spacing w:after="0" w:line="257" w:lineRule="auto"/>
        <w:rPr>
          <w:sz w:val="20"/>
          <w:szCs w:val="20"/>
          <w:color w:val="auto"/>
        </w:rPr>
      </w:pPr>
      <w:r>
        <w:rPr>
          <w:rFonts w:ascii="Times New Roman" w:cs="Times New Roman" w:eastAsia="Times New Roman" w:hAnsi="Times New Roman"/>
          <w:sz w:val="16"/>
          <w:szCs w:val="16"/>
          <w:color w:val="auto"/>
        </w:rPr>
        <w:t>The borrower hereby declares that regardless of whether the lender’s debt has expired or not, the borrower’s debt or any related rights related to the debt are about to expire during the statute of limitations for litigation or fail to declare bankruptcy claims in a timely manner, or if the borrower breaches the contract or is unable to repay the borrower’s advance payments (including but not limited to principal, interest, and expenses) that have reached the repayment period, which affects the realization of the lender’s debt, the lender has the right to exercise subrogation rights against any third party’s debt, accounts receivable, and other property rights related to the aforementioned rights, including but not limited to subrogation to request the borrower’s counterpart to perform, declare to the bankruptcy administrator, or take other necessary actions, and the borrower waives all defenses.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19 Application of Law, Jurisdiction and Dispute Resolution</w:t>
      </w:r>
    </w:p>
    <w:p>
      <w:pPr>
        <w:spacing w:after="0" w:line="215"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The formation, effectiveness, performance, termination, interpretation, and dispute resolution of this contract shall be governed by the laws of the People’s Republic of China (excluding the laws of the Hong Kong Special Administrative Region, Macao Special Administrative Region, and Taiwan for the purpose of this contract).</w:t>
      </w:r>
    </w:p>
    <w:p>
      <w:pPr>
        <w:spacing w:after="0" w:line="190" w:lineRule="exact"/>
        <w:rPr>
          <w:sz w:val="20"/>
          <w:szCs w:val="20"/>
          <w:color w:val="auto"/>
        </w:rPr>
      </w:pPr>
    </w:p>
    <w:p>
      <w:pPr>
        <w:jc w:val="both"/>
        <w:ind w:right="20" w:firstLine="289"/>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Any disputes arising from this contract shall be resolved through friendly consultation between the borrower and the lender; If friendly negotiation fails, both parties agree to resolve the issue in the manner stipulated in Article 23, Special Provisions, and Clause 24 of this contract.</w:t>
      </w:r>
    </w:p>
    <w:p>
      <w:pPr>
        <w:spacing w:after="0" w:line="190" w:lineRule="exact"/>
        <w:rPr>
          <w:sz w:val="20"/>
          <w:szCs w:val="20"/>
          <w:color w:val="auto"/>
        </w:rPr>
      </w:pPr>
    </w:p>
    <w:p>
      <w:pPr>
        <w:ind w:left="280"/>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During the dispute period, the provisions of this contract that do not involve disputed parts shall still be fulfilled.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44" w:name="page545"/>
    <w:bookmarkEnd w:id="544"/>
    <w:p>
      <w:pPr>
        <w:ind w:left="180"/>
        <w:spacing w:after="0"/>
        <w:rPr>
          <w:sz w:val="20"/>
          <w:szCs w:val="20"/>
          <w:color w:val="auto"/>
        </w:rPr>
      </w:pPr>
      <w:r>
        <w:rPr>
          <w:rFonts w:ascii="Times New Roman" w:cs="Times New Roman" w:eastAsia="Times New Roman" w:hAnsi="Times New Roman"/>
          <w:sz w:val="16"/>
          <w:szCs w:val="16"/>
          <w:b w:val="1"/>
          <w:bCs w:val="1"/>
          <w:color w:val="auto"/>
        </w:rPr>
        <w:t>Article 20: Document exchange, communication, and notification</w:t>
      </w:r>
    </w:p>
    <w:p>
      <w:pPr>
        <w:spacing w:after="0" w:line="215"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borrower agrees and confirms that the address specified in Article 23, Special Provisions, and Article 25 of this contract shall serve as the notice for matters under this contract, as well as legal documents related to litigation (arbitration), notarization, etc. in the event of disputes (including but not limited to various notices and documents from the contracting parties; lawsuit (or arbitration application) and evidence served by the court or arbitration tribunal, subpoena, notice of response, notice of proof, notice of hearing, payment order, judgment (award), ruling, mediation, execution notice, notice of limited performance, and other legal documents for litigation or arbitration proceedings, realization of security interests, and enforcement stage legal documents; The delivery address for various notices and legal documents delivered by notary institutions, and further agree that the lender, notary institution, court and other judicial organs, as well as other notices and legal documents, have the right to choose paper or electronic methods of delivery. The electronic delivery methods include but are not limited to email, China Judicial Process Information Disclosure Network, National Unified Delivery Platform, Local or Specialized Court Network Service Platform, as well as the electronic network platform and electronic APP of the delivery party.</w:t>
      </w:r>
    </w:p>
    <w:p>
      <w:pPr>
        <w:spacing w:after="0" w:line="193" w:lineRule="exact"/>
        <w:rPr>
          <w:sz w:val="20"/>
          <w:szCs w:val="20"/>
          <w:color w:val="auto"/>
        </w:rPr>
      </w:pPr>
    </w:p>
    <w:p>
      <w:pPr>
        <w:jc w:val="both"/>
        <w:ind w:right="20"/>
        <w:spacing w:after="0" w:line="197" w:lineRule="exact"/>
        <w:rPr>
          <w:sz w:val="20"/>
          <w:szCs w:val="20"/>
          <w:color w:val="auto"/>
        </w:rPr>
      </w:pPr>
      <w:r>
        <w:rPr>
          <w:rFonts w:ascii="Times New Roman" w:cs="Times New Roman" w:eastAsia="Times New Roman" w:hAnsi="Times New Roman"/>
          <w:sz w:val="16"/>
          <w:szCs w:val="16"/>
          <w:color w:val="auto"/>
        </w:rPr>
        <w:t xml:space="preserve">2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applicable period for the delivery address specified in the first paragraph of this article includes all stages, including non litigation stage and dispute entering arbitration, first instance, second instance, retrial, execution after litigation proceedings, realization of security interests procedure, supervision procedure, and compulsory execution notarization. If there is a change in the delivery address mentioned above, the borrower shall notify the lender in writing in advance (during litigation or arbitration, the arbitration tribunal or court shall also be notified in writing in advance, and if compulsory notarization has been completed, the original notary office shall be notified in writing) to reconfirm the delivery address and obtain a receipt. If no prior notice is given, it shall be deemed that there has been no change, and the corresponding legal consequences shall be borne by the borrower. The delivery address specified in the first paragraph of this article shall still be deemed as a valid delivery address.</w:t>
      </w:r>
    </w:p>
    <w:p>
      <w:pPr>
        <w:spacing w:after="0" w:line="191"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Any document, communication, notice, or legal document sent to any address specified in the first paragraph of this article shall be deemed to have been delivered on the following dates (delivery to the designated recipient shall be deemed to have been delivered to the recipient):</w:t>
      </w:r>
    </w:p>
    <w:p>
      <w:pPr>
        <w:spacing w:after="0" w:line="178" w:lineRule="exact"/>
        <w:rPr>
          <w:sz w:val="20"/>
          <w:szCs w:val="20"/>
          <w:color w:val="auto"/>
        </w:rPr>
      </w:pPr>
    </w:p>
    <w:p>
      <w:pPr>
        <w:ind w:left="520" w:hanging="235"/>
        <w:spacing w:after="0"/>
        <w:tabs>
          <w:tab w:leader="none" w:pos="520" w:val="left"/>
        </w:tabs>
        <w:numPr>
          <w:ilvl w:val="0"/>
          <w:numId w:val="6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mail (including express delivery, regular mail, and registered mail), the fifth working day after the date of mailing shall be deemed as the delivery date;</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Fax, email, mobile SMS, WeChat QQ or other electronic communication address, the date of sending shall be deemed as the delivery date;</w:t>
      </w:r>
    </w:p>
    <w:p>
      <w:pPr>
        <w:spacing w:after="0" w:line="200" w:lineRule="exact"/>
        <w:rPr>
          <w:rFonts w:ascii="Times New Roman" w:cs="Times New Roman" w:eastAsia="Times New Roman" w:hAnsi="Times New Roman"/>
          <w:sz w:val="16"/>
          <w:szCs w:val="16"/>
          <w:color w:val="auto"/>
        </w:rPr>
      </w:pPr>
    </w:p>
    <w:p>
      <w:pPr>
        <w:ind w:right="20" w:firstLine="285"/>
        <w:spacing w:after="0" w:line="283" w:lineRule="auto"/>
        <w:tabs>
          <w:tab w:leader="none" w:pos="517" w:val="left"/>
        </w:tabs>
        <w:numPr>
          <w:ilvl w:val="0"/>
          <w:numId w:val="6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shall be made by dedicated person, and the date of receipt by the recipient shall be deemed as the date of delivery. If the recipient refuses, the delivery person may take photos or videos to record the delivery process, and keep the document, which is also considered as delivery.</w:t>
      </w:r>
    </w:p>
    <w:p>
      <w:pPr>
        <w:spacing w:after="0" w:line="155"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delivery address provided or confirmed by the borrower is inaccurate or untrue, or if the delivery address is changed and the other party, arbitration institution, people’s court, or notary office is not notified in a timely manner, resulting in the inability to actually deliver, the borrower shall bear the corresponding legal consequences and be deemed to have effectively delivered:</w:t>
      </w:r>
    </w:p>
    <w:p>
      <w:pPr>
        <w:spacing w:after="0" w:line="177" w:lineRule="exact"/>
        <w:rPr>
          <w:sz w:val="20"/>
          <w:szCs w:val="20"/>
          <w:color w:val="auto"/>
        </w:rPr>
      </w:pPr>
    </w:p>
    <w:p>
      <w:pPr>
        <w:ind w:left="520" w:hanging="235"/>
        <w:spacing w:after="0"/>
        <w:tabs>
          <w:tab w:leader="none" w:pos="520" w:val="left"/>
        </w:tabs>
        <w:numPr>
          <w:ilvl w:val="0"/>
          <w:numId w:val="6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by mail, the date of return of the document shall be deemed as the date of delivery;</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by a dedicated person, the delivery date shall be the day when the delivery recipient records the situation on the delivery receipt on the spot;</w:t>
      </w:r>
    </w:p>
    <w:p>
      <w:pPr>
        <w:spacing w:after="0" w:line="200" w:lineRule="exact"/>
        <w:rPr>
          <w:rFonts w:ascii="Times New Roman" w:cs="Times New Roman" w:eastAsia="Times New Roman" w:hAnsi="Times New Roman"/>
          <w:sz w:val="16"/>
          <w:szCs w:val="16"/>
          <w:color w:val="auto"/>
        </w:rPr>
      </w:pPr>
    </w:p>
    <w:p>
      <w:pPr>
        <w:ind w:left="520" w:hanging="235"/>
        <w:spacing w:after="0"/>
        <w:tabs>
          <w:tab w:leader="none" w:pos="520" w:val="left"/>
        </w:tabs>
        <w:numPr>
          <w:ilvl w:val="0"/>
          <w:numId w:val="6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delivered electronically, the date of transmission shall be considered as the delivery date.</w:t>
      </w:r>
    </w:p>
    <w:p>
      <w:pPr>
        <w:spacing w:after="0" w:line="213"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lender shall use the domicile specified in the contract as the delivery address. If the lender sends a notice by publishing an announcement on its website, online banking, telephone banking, or business outlet, the date of publication of the announcement shall be deemed as the date of delivery. The lender shall not be liable for any transmission errors, omissions, or delays in postal, fax, telephone, or any other communication system under any circumstances.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45" w:name="page546"/>
    <w:bookmarkEnd w:id="545"/>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parties agree that their official seals, office seals, financial seals, contract seals, receiving and sending seals, and lender’s credit business seals are all valid seals for notification or contact, legal document delivery, and letter exchanges. All staff members of the borrower’s unit are authorized signatories for document exchanges, communications, and notifications.</w:t>
      </w:r>
    </w:p>
    <w:p>
      <w:pPr>
        <w:spacing w:after="0" w:line="189"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This provision is an independent clause in the contract and shall not be affected by the validity of this contract or any other provisions of the contract.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Article 21 Contract Validity and Other Matters</w:t>
      </w:r>
    </w:p>
    <w:p>
      <w:pPr>
        <w:spacing w:after="0" w:line="215"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This contract shall come into effect from the date of signature, seal or fingerprint by both parties.</w:t>
      </w:r>
    </w:p>
    <w:p>
      <w:pPr>
        <w:spacing w:after="0" w:line="214"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During the effective period of this contract, any tolerance, grace or delay granted by the lender to the borrower or guarantor in exercising the rights or interests enjoyed in this contract shall not prejudice, affect or limit all the rights and interests that the lender should enjoy in accordance with relevant laws and regulations and this contract. It shall not be regarded as a waiver of the lender’s rights and interests under this contract, nor shall it affect any obligations of the borrower under this contract.</w:t>
      </w:r>
    </w:p>
    <w:p>
      <w:pPr>
        <w:spacing w:after="0" w:line="189" w:lineRule="exact"/>
        <w:rPr>
          <w:sz w:val="20"/>
          <w:szCs w:val="20"/>
          <w:color w:val="auto"/>
        </w:rPr>
      </w:pPr>
    </w:p>
    <w:p>
      <w:pPr>
        <w:jc w:val="both"/>
        <w:spacing w:after="0" w:line="200"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there are changes in national laws, regulations or regulatory policies that result in the lender’s failure to fulfill the loan obligations as stipulated in this contract in compliance with laws, regulations or regulatory requirements, the lender has the right to unilaterally terminate the contract, announce the early maturity of all loans already issued, and the borrower shall immediately repay them as requested by the lender. If the lender is unable to perform or perform as agreed in the contract due to such reasons, the lender shall not bear any legal responsibility.</w:t>
      </w:r>
    </w:p>
    <w:p>
      <w:pPr>
        <w:spacing w:after="0" w:line="190"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 xml:space="preserve">4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the loan is not disbursed or paid on time due to force majeure, communication or network failures, or system failures of the lender, the lender shall not be held responsible, but shall promptly notify the borrower.</w:t>
      </w:r>
    </w:p>
    <w:p>
      <w:pPr>
        <w:spacing w:after="0" w:line="190"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lender has the right to authorize or entrust other branches of Industrial Bank to perform the rights and obligations under this contract (including but not limited to authorizing or entrusting other branches of Industrial Bank to sign relevant contracts) according to business management needs, or transfer the loan under this contract to other branches of Industrial Bank for management. The borrower acknowledges this and does not need to obtain the borrower’s consent for the above actions.</w:t>
      </w:r>
    </w:p>
    <w:p>
      <w:pPr>
        <w:spacing w:after="0" w:line="189"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6</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at any time, any provision of this Agreement is or becomes illegal, invalid, or unenforceable in any respect, the legality, validity, or enforceability of the other provisions of this Agreement shall not be affected or diminished in any way.</w:t>
      </w:r>
    </w:p>
    <w:p>
      <w:pPr>
        <w:spacing w:after="0" w:line="190" w:lineRule="exact"/>
        <w:rPr>
          <w:sz w:val="20"/>
          <w:szCs w:val="20"/>
          <w:color w:val="auto"/>
        </w:rPr>
      </w:pPr>
    </w:p>
    <w:p>
      <w:pPr>
        <w:jc w:val="both"/>
        <w:ind w:right="20"/>
        <w:spacing w:after="0" w:line="202" w:lineRule="exact"/>
        <w:rPr>
          <w:sz w:val="20"/>
          <w:szCs w:val="20"/>
          <w:color w:val="auto"/>
        </w:rPr>
      </w:pPr>
      <w:r>
        <w:rPr>
          <w:rFonts w:ascii="Times New Roman" w:cs="Times New Roman" w:eastAsia="Times New Roman" w:hAnsi="Times New Roman"/>
          <w:sz w:val="16"/>
          <w:szCs w:val="16"/>
          <w:color w:val="auto"/>
        </w:rPr>
        <w:t>7</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lender has reminded the borrower to pay special attention to the “important signing instructions” in the contract. The borrower has carefully read and fully understood all the rights and obligations of both parties in the contract, as well as the “important signing instructions”. The lender has provided sufficient explanations and clarifications to the relevant terms and personal information</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processing rules as requested by the applicant. Both parties have a completely consistent understanding of the various terms of this contract and have no objections to the contract content.</w:t>
      </w:r>
    </w:p>
    <w:p>
      <w:pPr>
        <w:spacing w:after="0" w:line="173"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8</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subheadings of this contract are added for convenience of reading only and shall not be used for the interpretation or any other purpose of this contract.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9</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The attachments to this contract are an integral part of this contract and have the same legal effect as the main text of this contract.</w:t>
      </w:r>
    </w:p>
    <w:p>
      <w:pPr>
        <w:spacing w:after="0" w:line="214"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10</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This contract is made in five copies, with the lender holding four copies and the borrower holding one copy, all of which have equal legal effect.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32" w:right="319" w:bottom="1440" w:gutter="0" w:footer="0" w:header="0"/>
        </w:sectPr>
      </w:pPr>
    </w:p>
    <w:bookmarkStart w:id="546" w:name="page547"/>
    <w:bookmarkEnd w:id="546"/>
    <w:p>
      <w:pPr>
        <w:ind w:left="280"/>
        <w:spacing w:after="0"/>
        <w:rPr>
          <w:sz w:val="20"/>
          <w:szCs w:val="20"/>
          <w:color w:val="auto"/>
        </w:rPr>
      </w:pPr>
      <w:r>
        <w:rPr>
          <w:rFonts w:ascii="Times New Roman" w:cs="Times New Roman" w:eastAsia="Times New Roman" w:hAnsi="Times New Roman"/>
          <w:sz w:val="16"/>
          <w:szCs w:val="16"/>
          <w:b w:val="1"/>
          <w:bCs w:val="1"/>
          <w:color w:val="auto"/>
        </w:rPr>
        <w:t>Article 22 Notarization and voluntary acceptance of compulsory enforcement</w:t>
      </w:r>
    </w:p>
    <w:p>
      <w:pPr>
        <w:spacing w:after="0" w:line="215"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1</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either party to this contract requests notarization, the other party agrees to notarize it at a nationally designated notary institution as requested by the other party.</w:t>
      </w:r>
    </w:p>
    <w:p>
      <w:pPr>
        <w:spacing w:after="0" w:line="214" w:lineRule="exact"/>
        <w:rPr>
          <w:sz w:val="20"/>
          <w:szCs w:val="20"/>
          <w:color w:val="auto"/>
        </w:rPr>
      </w:pPr>
    </w:p>
    <w:p>
      <w:pPr>
        <w:jc w:val="both"/>
        <w:ind w:right="20"/>
        <w:spacing w:after="0" w:line="200"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A contract that has been notarized for compulsory execution has the effect of compulsory execution. When the borrower fails to perform or improperly performs the debt, or when the lender realizes the creditor’s rights as stipulated in laws and regulations or this contract, the borrower agrees to the lender to apply to a notary institution for an execution certificate with compulsory execution effect. The borrower voluntarily accepts the compulsory execution measures directly applied by the lender to the people’s court with jurisdiction with the execution certificate, and is aware of the corresponding legal consequences. The borrower promises not to raise any objection or defense.</w:t>
      </w:r>
    </w:p>
    <w:p>
      <w:pPr>
        <w:spacing w:after="0" w:line="190"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All parties agree that before the notary public issues the execution certificate, they have the right to use postal, telephone, fax, email, mobile SMS, WeChat, and other methods in accordance with the terms of “document exchange, communication, and notification” stipulated in this contract QQ</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Verify any breach of contract related to the borrower’s failure or improper performance of debts through any one or more methods such as personal delivery and face-to-face interviews. If verification is made through phone or face-to-face communication, it shall be deemed delivered upon completion of the interview or call; Using mailing, fax, email, mobile SMS, WeChat QQ</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verified through personal delivery or other means, the delivery date shall be in accordance with the provisions of this contract on “document exchange, communication, and notification”.</w:t>
      </w:r>
    </w:p>
    <w:p>
      <w:pPr>
        <w:spacing w:after="0" w:line="189"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If the borrower has any objections to the verified breach of contract as mentioned above, they shall provide written evidence and sufficient evidence to the notary public within five working days from the date of delivery. If the borrower fails to provide evidence on time or the notary public believes that the evidence is insufficient to support their claim, it shall be deemed that the borrower confirms the relevant breach of contract such as non performance or inappropriate performance of the debt, and agrees to the notary public to issue an execution certificate based on the lender’s application. If the notary public has other regulations on the verification method and the period of proof, the regulations of the notary public shall be followed.</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Article 23 Supplementary Terms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18" w:right="31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6"/>
          <w:szCs w:val="16"/>
          <w:color w:val="auto"/>
        </w:rPr>
        <w:t>This page is the signature page of the “Working Capital Loan Contract” numbered DD6232023130.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47560" cy="12446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6">
                      <a:extLst>
                        <a:ext uri="{28A0092B-C50C-407E-A947-70E740481C1C}"/>
                      </a:extLst>
                    </a:blip>
                    <a:srcRect/>
                    <a:stretch>
                      <a:fillRect/>
                    </a:stretch>
                  </pic:blipFill>
                  <pic:spPr bwMode="auto">
                    <a:xfrm>
                      <a:off x="0" y="0"/>
                      <a:ext cx="7147560" cy="1244600"/>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Lender (Seal): Responsible person or authorized person (signature and seal):</w:t>
      </w:r>
    </w:p>
    <w:p>
      <w:pPr>
        <w:spacing w:after="0" w:line="393"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6"/>
          <w:szCs w:val="16"/>
          <w:color w:val="auto"/>
        </w:rPr>
        <w:t>March 4, 2025</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Borrower(Seal): Legal representative or authorized person (signature/fingerprint):</w:t>
      </w:r>
    </w:p>
    <w:p>
      <w:pPr>
        <w:spacing w:after="0" w:line="3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March 4, 2025</w:t>
      </w:r>
    </w:p>
    <w:p>
      <w:pPr>
        <w:spacing w:after="0" w:line="223" w:lineRule="exact"/>
        <w:rPr>
          <w:sz w:val="20"/>
          <w:szCs w:val="20"/>
          <w:color w:val="auto"/>
        </w:rPr>
      </w:pPr>
    </w:p>
    <w:p>
      <w:pPr>
        <w:jc w:val="right"/>
        <w:spacing w:after="0" w:line="195" w:lineRule="exact"/>
        <w:rPr>
          <w:sz w:val="20"/>
          <w:szCs w:val="20"/>
          <w:color w:val="auto"/>
        </w:rPr>
      </w:pPr>
      <w:r>
        <w:rPr>
          <w:rFonts w:ascii="Times New Roman" w:cs="Times New Roman" w:eastAsia="Times New Roman" w:hAnsi="Times New Roman"/>
          <w:sz w:val="16"/>
          <w:szCs w:val="16"/>
          <w:b w:val="1"/>
          <w:bCs w:val="1"/>
          <w:color w:val="auto"/>
        </w:rPr>
        <w:t>Contract signing date</w:t>
      </w:r>
      <w:r>
        <w:rPr>
          <w:rFonts w:ascii="SimSun" w:cs="SimSun" w:eastAsia="SimSun" w:hAnsi="SimSun"/>
          <w:sz w:val="16"/>
          <w:szCs w:val="16"/>
          <w:color w:val="auto"/>
        </w:rPr>
        <w:t>：</w:t>
      </w:r>
      <w:r>
        <w:rPr>
          <w:rFonts w:ascii="Times New Roman" w:cs="Times New Roman" w:eastAsia="Times New Roman" w:hAnsi="Times New Roman"/>
          <w:sz w:val="16"/>
          <w:szCs w:val="16"/>
          <w:b w:val="1"/>
          <w:bCs w:val="1"/>
          <w:color w:val="auto"/>
        </w:rPr>
        <w:t>Year__Month__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6176645</wp:posOffset>
            </wp:positionH>
            <wp:positionV relativeFrom="paragraph">
              <wp:posOffset>-88265</wp:posOffset>
            </wp:positionV>
            <wp:extent cx="40640" cy="8128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7">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2"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b w:val="1"/>
          <w:bCs w:val="1"/>
          <w:color w:val="auto"/>
        </w:rPr>
        <w:t>Contract signing place</w:t>
      </w:r>
      <w:r>
        <w:rPr>
          <w:rFonts w:ascii="SimSun" w:cs="SimSun" w:eastAsia="SimSun" w:hAnsi="SimSun"/>
          <w:sz w:val="16"/>
          <w:szCs w:val="16"/>
          <w:color w:val="auto"/>
        </w:rPr>
        <w:t>：</w:t>
      </w:r>
      <w:r>
        <w:rPr>
          <w:rFonts w:ascii="Times New Roman" w:cs="Times New Roman" w:eastAsia="Times New Roman" w:hAnsi="Times New Roman"/>
          <w:sz w:val="16"/>
          <w:szCs w:val="16"/>
          <w:b w:val="1"/>
          <w:bCs w:val="1"/>
          <w:u w:val="single" w:color="auto"/>
          <w:color w:val="auto"/>
        </w:rPr>
        <w:t>Jing’an District,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-88265</wp:posOffset>
            </wp:positionV>
            <wp:extent cx="40640" cy="8128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8">
                      <a:extLst>
                        <a:ext uri="{28A0092B-C50C-407E-A947-70E740481C1C}"/>
                      </a:extLst>
                    </a:blip>
                    <a:srcRect/>
                    <a:stretch>
                      <a:fillRect/>
                    </a:stretch>
                  </pic:blipFill>
                  <pic:spPr bwMode="auto">
                    <a:xfrm>
                      <a:off x="0" y="0"/>
                      <a:ext cx="40640" cy="8128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147560" cy="152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548" w:name="page549"/>
    <w:bookmarkEnd w:id="548"/>
    <w:p>
      <w:pPr>
        <w:jc w:val="right"/>
        <w:spacing w:after="0"/>
        <w:rPr>
          <w:sz w:val="20"/>
          <w:szCs w:val="20"/>
          <w:color w:val="auto"/>
        </w:rPr>
      </w:pPr>
      <w:r>
        <w:rPr>
          <w:rFonts w:ascii="Times New Roman" w:cs="Times New Roman" w:eastAsia="Times New Roman" w:hAnsi="Times New Roman"/>
          <w:sz w:val="16"/>
          <w:szCs w:val="16"/>
          <w:b w:val="1"/>
          <w:bCs w:val="1"/>
          <w:color w:val="auto"/>
        </w:rPr>
        <w:t>Exhibit 10.28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Number: [Yin Hu Xin E Rong 2024 Zi No. 7316511066 202500105497]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Contract for Renminbi Working Capital Loan</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(Version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1326515</wp:posOffset>
            </wp:positionV>
            <wp:extent cx="7147560" cy="152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30">
                      <a:extLst>
                        <a:ext uri="{28A0092B-C50C-407E-A947-70E740481C1C}"/>
                      </a:extLst>
                    </a:blip>
                    <a:srcRect/>
                    <a:stretch>
                      <a:fillRect/>
                    </a:stretch>
                  </pic:blipFill>
                  <pic:spPr bwMode="auto">
                    <a:xfrm>
                      <a:off x="0" y="0"/>
                      <a:ext cx="7147560" cy="1524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127635</wp:posOffset>
            </wp:positionV>
            <wp:extent cx="1603375" cy="5422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1">
                      <a:extLst>
                        <a:ext uri="{28A0092B-C50C-407E-A947-70E740481C1C}"/>
                      </a:extLst>
                    </a:blip>
                    <a:srcRect/>
                    <a:stretch>
                      <a:fillRect/>
                    </a:stretch>
                  </pic:blipFill>
                  <pic:spPr bwMode="auto">
                    <a:xfrm>
                      <a:off x="0" y="0"/>
                      <a:ext cx="1603375" cy="542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9" w:name="page550"/>
    <w:bookmarkEnd w:id="549"/>
    <w:p>
      <w:pPr>
        <w:jc w:val="center"/>
        <w:spacing w:after="0"/>
        <w:rPr>
          <w:sz w:val="20"/>
          <w:szCs w:val="20"/>
          <w:color w:val="auto"/>
        </w:rPr>
      </w:pPr>
      <w:r>
        <w:rPr>
          <w:rFonts w:ascii="Times New Roman" w:cs="Times New Roman" w:eastAsia="Times New Roman" w:hAnsi="Times New Roman"/>
          <w:sz w:val="16"/>
          <w:szCs w:val="16"/>
          <w:color w:val="auto"/>
        </w:rPr>
        <w:t>Customer Notice</w:t>
      </w:r>
    </w:p>
    <w:p>
      <w:pPr>
        <w:spacing w:after="0" w:line="213"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1 </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Your company can sign offline or through USB key electronic signature on CITIC Bank’s online banking or mobile banking. Before signing this agreement, please carefully read all the contents of this agreement. If you do not agree with any of the contents of this agreement or cannot accurately understand the interpretation of the relevant terms, please do not proceed with any further actions.</w:t>
      </w:r>
    </w:p>
    <w:p>
      <w:pPr>
        <w:spacing w:after="0" w:line="189" w:lineRule="exact"/>
        <w:rPr>
          <w:sz w:val="20"/>
          <w:szCs w:val="20"/>
          <w:color w:val="auto"/>
        </w:rPr>
      </w:pPr>
    </w:p>
    <w:p>
      <w:pPr>
        <w:jc w:val="both"/>
        <w:ind w:right="20"/>
        <w:spacing w:after="0" w:line="206" w:lineRule="exact"/>
        <w:rPr>
          <w:sz w:val="20"/>
          <w:szCs w:val="20"/>
          <w:color w:val="auto"/>
        </w:rPr>
      </w:pP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Any excess or unfilled spaces in this contract may be handled by drawing a line, a diagonal line, affixing a “blank space below” seal, or filling in the words “blank space below”.</w:t>
      </w:r>
    </w:p>
    <w:p>
      <w:pPr>
        <w:spacing w:after="0" w:line="190" w:lineRule="exact"/>
        <w:rPr>
          <w:sz w:val="20"/>
          <w:szCs w:val="20"/>
          <w:color w:val="auto"/>
        </w:rPr>
      </w:pPr>
    </w:p>
    <w:p>
      <w:pPr>
        <w:spacing w:after="0" w:line="195" w:lineRule="exact"/>
        <w:rPr>
          <w:sz w:val="20"/>
          <w:szCs w:val="20"/>
          <w:color w:val="auto"/>
        </w:rPr>
      </w:pPr>
      <w:r>
        <w:rPr>
          <w:rFonts w:ascii="Times New Roman" w:cs="Times New Roman" w:eastAsia="Times New Roman" w:hAnsi="Times New Roman"/>
          <w:sz w:val="16"/>
          <w:szCs w:val="16"/>
          <w:color w:val="auto"/>
        </w:rPr>
        <w:t>3</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signed offline, this contract should be filled out using a blue black or black signature pen or fountain pen.</w:t>
      </w:r>
    </w:p>
    <w:p>
      <w:pPr>
        <w:spacing w:after="0" w:line="214"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4</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If your company uses USB key electronic signature method to sign this contract on CITIC Bank online banking or mobile banking, it has the same legal effect as the signature and official seal of the company’s legal representative. The online signing of the contract must be personally operated by the legal representative or authorized online banking operator of your company, and cannot be handled by others.</w:t>
      </w:r>
    </w:p>
    <w:p>
      <w:pPr>
        <w:spacing w:after="0" w:line="189"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5</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As a valid proof of your company’s identity, your company hereby irrevocably confirms that any use of USB key electronic signature method to sign this contract on CITIC Bank’s online banking or mobile banking will be deemed as your company’s signing behavior, and your company shall fulfill all obligations in a timely manner in accordance with the provisions of this agreement.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1012" w:right="319" w:bottom="1440" w:gutter="0" w:footer="0" w:header="0"/>
        </w:sectPr>
      </w:pPr>
    </w:p>
    <w:bookmarkStart w:id="550" w:name="page551"/>
    <w:bookmarkEnd w:id="550"/>
    <w:p>
      <w:pPr>
        <w:jc w:val="center"/>
        <w:ind w:right="-3"/>
        <w:spacing w:after="0"/>
        <w:rPr>
          <w:sz w:val="20"/>
          <w:szCs w:val="20"/>
          <w:color w:val="auto"/>
        </w:rPr>
      </w:pPr>
      <w:r>
        <w:rPr>
          <w:rFonts w:ascii="Times New Roman" w:cs="Times New Roman" w:eastAsia="Times New Roman" w:hAnsi="Times New Roman"/>
          <w:sz w:val="16"/>
          <w:szCs w:val="16"/>
          <w:color w:val="auto"/>
        </w:rPr>
        <w:t>Contract for Renminbi Working Capital Loan</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Party A: CLPS Shanghai Co., Ltd</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representative: [Yang Xiaofeng]</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Address: 2nd Floor, Building 18, 498 Guoshoujing Road, Pudong New Area</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Opening bank and account: [CITIC Bank Shanghai Hongqiao Business District Branch 8110201012301487493]</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Party B: China CITIC Bank Co., Ltd. Shanghai Branch</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Responsible person: [/]</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Address: [1300 Shenchang Road, Minhang District, Shanghai]</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Contract signing location: [/]</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Contract signing date: June 6th, 2025</w:t>
      </w:r>
    </w:p>
    <w:p>
      <w:pPr>
        <w:spacing w:after="0" w:line="184"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Considering that Party A has applied to Party B for working capital loan support due to financing needs, in order to clarify the rights and obligations of both parties, and in accordance with relevant laws, regulations, and rules such as the Civil Code of the People’s Republic of China, the General Principles of Loans, and the Electronic Signature Law of the People’s Republic of China, Party A and Party B have reached the following contract through equal consultation:</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 Types of Loans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Party B agrees to provide a working capital loan to party A in accordance with the provisions of this contract.</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2 Loan Amount (Principal, the same below) and Loan Term</w:t>
      </w:r>
    </w:p>
    <w:p>
      <w:pPr>
        <w:spacing w:after="0" w:line="203" w:lineRule="exact"/>
        <w:rPr>
          <w:sz w:val="20"/>
          <w:szCs w:val="20"/>
          <w:color w:val="auto"/>
        </w:rPr>
      </w:pPr>
    </w:p>
    <w:p>
      <w:pPr>
        <w:ind w:left="4" w:hanging="4"/>
        <w:spacing w:after="0" w:line="283" w:lineRule="auto"/>
        <w:tabs>
          <w:tab w:leader="none" w:pos="164" w:val="left"/>
        </w:tabs>
        <w:numPr>
          <w:ilvl w:val="0"/>
          <w:numId w:val="6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agrees to provide party A with a working capital loan, with a loan amount of (in words): RMB [Fifteen Million Yuan], (in figures): ¥ [15000000.00], and a loan term from June 6th, 2025 to August 18th, 2025.</w:t>
      </w:r>
    </w:p>
    <w:p>
      <w:pPr>
        <w:spacing w:after="0" w:line="143" w:lineRule="exact"/>
        <w:rPr>
          <w:rFonts w:ascii="Times New Roman" w:cs="Times New Roman" w:eastAsia="Times New Roman" w:hAnsi="Times New Roman"/>
          <w:sz w:val="16"/>
          <w:szCs w:val="16"/>
          <w:color w:val="auto"/>
        </w:rPr>
      </w:pPr>
    </w:p>
    <w:p>
      <w:pPr>
        <w:ind w:left="4" w:hanging="4"/>
        <w:spacing w:after="0" w:line="283" w:lineRule="auto"/>
        <w:tabs>
          <w:tab w:leader="none" w:pos="168" w:val="left"/>
        </w:tabs>
        <w:numPr>
          <w:ilvl w:val="0"/>
          <w:numId w:val="6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actual loan term, actual withdrawal date, loan amount, and initial loan interest rate shall be based on the term, date, amount, and interest rate recorded in the unit loan voucher (promissory note) under this contract. The unit loan voucher (promissory note) is an integral part of this contract and has the same legal effect as this contract.</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551" w:name="page552"/>
    <w:bookmarkEnd w:id="551"/>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3. This contract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applies/√ does not apply (please mark “√” at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The following terms:</w:t>
      </w:r>
    </w:p>
    <w:p>
      <w:pPr>
        <w:spacing w:after="0" w:line="237"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6"/>
          <w:szCs w:val="16"/>
          <w:color w:val="auto"/>
        </w:rPr>
        <w:t>This contract, as a specific business contract under the Comprehensive Credit Agreement (Contract No.: [/]), constitutes a complete contract system with the Comprehensive Credit Agreement and cannot be separated. The loan under this contract occupies the comprehensive credit limit under the Comprehensive Credit Agreement. The definitions and other relevant provisions in the Comprehensive Credit Agreement shall apply to this Agreement; If the definition and other relevant provisions are inconsistent with this contract, the definition and relevant provisions of this contract shall prevail.</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3 Loan Purpose</w:t>
      </w:r>
    </w:p>
    <w:p>
      <w:pPr>
        <w:spacing w:after="0" w:line="203" w:lineRule="exact"/>
        <w:rPr>
          <w:sz w:val="20"/>
          <w:szCs w:val="20"/>
          <w:color w:val="auto"/>
        </w:rPr>
      </w:pPr>
    </w:p>
    <w:p>
      <w:pPr>
        <w:ind w:left="4" w:right="8560" w:hanging="4"/>
        <w:spacing w:after="0" w:line="535" w:lineRule="auto"/>
        <w:tabs>
          <w:tab w:leader="none" w:pos="164" w:val="left"/>
        </w:tabs>
        <w:numPr>
          <w:ilvl w:val="0"/>
          <w:numId w:val="6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loan under this contract is used for: Daily production and operation turnover</w:t>
      </w:r>
    </w:p>
    <w:p>
      <w:pPr>
        <w:jc w:val="both"/>
        <w:ind w:left="4" w:right="20" w:hanging="4"/>
        <w:spacing w:after="0" w:line="261" w:lineRule="auto"/>
        <w:tabs>
          <w:tab w:leader="none" w:pos="183" w:val="left"/>
        </w:tabs>
        <w:numPr>
          <w:ilvl w:val="0"/>
          <w:numId w:val="6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written consent of Party B, Party A shall not change the purpose of the loan. Party A shall not use the above-mentioned loan for dividends to party A’s shareholders, as well as for investments in financial assets, fixed assets, real estate, equity, futures, securities, trusts, funds, guarantees, options, small loans, etc. It shall not be used for areas and purposes prohibited by policies such as private lending and illegal fundraising, nor shall it be used for areas and purposes prohibited by the state for production and operation. Party A shall not arbitrarily misappropriate the loan funds. Otherwise, party A shall bear any losses caused to party B as a result.</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164" w:val="left"/>
        </w:tabs>
        <w:numPr>
          <w:ilvl w:val="0"/>
          <w:numId w:val="6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not be held responsible for any consequences arising from the unauthorized use of the loan by Party A without the written consent of Party B, or in violation of the provisions of the “Loan General Rules”, “Management Measures for Working Capital Loans” or other laws and regulations.</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4 Loan Interest Rate and Settlement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Loan interest rate</w:t>
      </w:r>
    </w:p>
    <w:p>
      <w:pPr>
        <w:spacing w:after="0" w:line="201" w:lineRule="exact"/>
        <w:rPr>
          <w:sz w:val="20"/>
          <w:szCs w:val="20"/>
          <w:color w:val="auto"/>
        </w:rPr>
      </w:pPr>
    </w:p>
    <w:p>
      <w:pPr>
        <w:ind w:left="4" w:right="20" w:hanging="4"/>
        <w:spacing w:after="0" w:line="214" w:lineRule="exact"/>
        <w:tabs>
          <w:tab w:leader="none" w:pos="234" w:val="left"/>
        </w:tabs>
        <w:numPr>
          <w:ilvl w:val="0"/>
          <w:numId w:val="6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actual single withdrawal date under this contract is within six months (inclusive) from the date of signing this contract, the loan interest rate shall be executed in the following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method:</w:t>
      </w:r>
    </w:p>
    <w:p>
      <w:pPr>
        <w:spacing w:after="0" w:line="151" w:lineRule="exact"/>
        <w:rPr>
          <w:sz w:val="20"/>
          <w:szCs w:val="20"/>
          <w:color w:val="auto"/>
        </w:rPr>
      </w:pPr>
    </w:p>
    <w:p>
      <w:pPr>
        <w:ind w:left="184" w:hanging="184"/>
        <w:spacing w:after="0"/>
        <w:tabs>
          <w:tab w:leader="none" w:pos="184" w:val="left"/>
        </w:tabs>
        <w:numPr>
          <w:ilvl w:val="0"/>
          <w:numId w:val="63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Loan interest rate=Pricing base interest rate on the date of signing this contract+[/] basis points (1 basis point=0.01%);</w:t>
      </w:r>
    </w:p>
    <w:p>
      <w:pPr>
        <w:spacing w:after="0" w:line="201" w:lineRule="exact"/>
        <w:rPr>
          <w:sz w:val="20"/>
          <w:szCs w:val="20"/>
          <w:color w:val="auto"/>
        </w:rPr>
      </w:pPr>
    </w:p>
    <w:p>
      <w:pPr>
        <w:ind w:left="184" w:hanging="184"/>
        <w:spacing w:after="0"/>
        <w:tabs>
          <w:tab w:leader="none" w:pos="184" w:val="left"/>
        </w:tabs>
        <w:numPr>
          <w:ilvl w:val="0"/>
          <w:numId w:val="63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Loan interest rate=actual loan withdrawal date pricing base rate+[-20.00] basis points (1 basis point=0.01%).</w:t>
      </w:r>
    </w:p>
    <w:p>
      <w:pPr>
        <w:spacing w:after="0" w:line="201" w:lineRule="exact"/>
        <w:rPr>
          <w:sz w:val="20"/>
          <w:szCs w:val="20"/>
          <w:color w:val="auto"/>
        </w:rPr>
      </w:pPr>
    </w:p>
    <w:p>
      <w:pPr>
        <w:jc w:val="both"/>
        <w:ind w:left="4" w:right="20" w:hanging="4"/>
        <w:spacing w:after="0" w:line="267" w:lineRule="auto"/>
        <w:tabs>
          <w:tab w:leader="none" w:pos="245" w:val="left"/>
        </w:tabs>
        <w:numPr>
          <w:ilvl w:val="0"/>
          <w:numId w:val="6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gap of more than six months between the actual withdrawal date and the signing date of this contract, Party B has the right to adjust the loan interest rate according to Party B’s relevant interest rate policy at that time. The specific adjustment method of the loan interest rate shall be clarified in writing through consultation between both parties. The initial execution interest rate of the loan shall be subject to the record on the unit loan voucher (promissory note).</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784" w:right="319" w:bottom="1440" w:gutter="0" w:footer="0" w:header="0"/>
        </w:sectPr>
      </w:pPr>
    </w:p>
    <w:bookmarkStart w:id="552" w:name="page553"/>
    <w:bookmarkEnd w:id="552"/>
    <w:p>
      <w:pPr>
        <w:ind w:left="4" w:right="6540" w:hanging="4"/>
        <w:spacing w:after="0" w:line="478" w:lineRule="auto"/>
        <w:tabs>
          <w:tab w:leader="none" w:pos="228" w:val="left"/>
        </w:tabs>
        <w:numPr>
          <w:ilvl w:val="0"/>
          <w:numId w:val="6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interest rate under this contract is annualized simple interest. 2. Interest rate adjustment method</w:t>
      </w:r>
    </w:p>
    <w:p>
      <w:pPr>
        <w:ind w:left="224" w:hanging="224"/>
        <w:spacing w:after="0" w:line="184" w:lineRule="exact"/>
        <w:tabs>
          <w:tab w:leader="none" w:pos="224" w:val="left"/>
        </w:tabs>
        <w:numPr>
          <w:ilvl w:val="0"/>
          <w:numId w:val="6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adjustment method for this loan is determined by the following method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ind w:left="184" w:hanging="184"/>
        <w:spacing w:after="0"/>
        <w:tabs>
          <w:tab w:leader="none" w:pos="184" w:val="left"/>
        </w:tabs>
        <w:numPr>
          <w:ilvl w:val="0"/>
          <w:numId w:val="63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Fixed interest rate, the interest rate remains unchanged during the loan period.</w:t>
      </w:r>
    </w:p>
    <w:p>
      <w:pPr>
        <w:spacing w:after="0" w:line="201" w:lineRule="exact"/>
        <w:rPr>
          <w:sz w:val="20"/>
          <w:szCs w:val="20"/>
          <w:color w:val="auto"/>
        </w:rPr>
      </w:pPr>
    </w:p>
    <w:p>
      <w:pPr>
        <w:jc w:val="both"/>
        <w:ind w:left="4" w:hanging="4"/>
        <w:spacing w:after="0" w:line="267" w:lineRule="auto"/>
        <w:tabs>
          <w:tab w:leader="none" w:pos="188" w:val="left"/>
        </w:tabs>
        <w:numPr>
          <w:ilvl w:val="0"/>
          <w:numId w:val="63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floating interest rate shall be adjusted according to the [/] method below. The adjusted loan interest rate shall be the interest rate determined by floating the pricing base interest rate applicable on the interest rate adjustment date in accordance with the provisions of Article 4, paragraph 1 of this contract. If the interest rate adjustment date coincides with the release date of the pricing base interest rate, the interest rate adjustment shall be made at the end of that day.</w:t>
      </w:r>
    </w:p>
    <w:p>
      <w:pPr>
        <w:spacing w:after="0" w:line="120" w:lineRule="exact"/>
        <w:rPr>
          <w:sz w:val="20"/>
          <w:szCs w:val="20"/>
          <w:color w:val="auto"/>
        </w:rPr>
      </w:pPr>
    </w:p>
    <w:p>
      <w:pPr>
        <w:jc w:val="both"/>
        <w:ind w:left="4"/>
        <w:spacing w:after="0" w:line="210" w:lineRule="exact"/>
        <w:rPr>
          <w:sz w:val="20"/>
          <w:szCs w:val="20"/>
          <w:color w:val="auto"/>
        </w:rPr>
      </w:pPr>
      <w:r>
        <w:rPr>
          <w:rFonts w:ascii="Times New Roman" w:cs="Times New Roman" w:eastAsia="Times New Roman" w:hAnsi="Times New Roman"/>
          <w:sz w:val="16"/>
          <w:szCs w:val="16"/>
          <w:color w:val="auto"/>
        </w:rPr>
        <w:t>A. From the actual withdrawal date, the interest rate shall be adjusted every (in words) [/]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month/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quarter/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half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 The interest rate adjustment date shall be the corresponding day of the actual withdrawal date in the adjustment month. If there is no corresponding day of the actual withdrawal date in the adjustment month, the last day of the adjustment month shall be the interest rate adjustment day.</w:t>
      </w:r>
    </w:p>
    <w:p>
      <w:pPr>
        <w:spacing w:after="0" w:line="178" w:lineRule="exact"/>
        <w:rPr>
          <w:sz w:val="20"/>
          <w:szCs w:val="20"/>
          <w:color w:val="auto"/>
        </w:rPr>
      </w:pPr>
    </w:p>
    <w:p>
      <w:pPr>
        <w:jc w:val="both"/>
        <w:ind w:left="4"/>
        <w:spacing w:after="0" w:line="197" w:lineRule="exact"/>
        <w:rPr>
          <w:sz w:val="20"/>
          <w:szCs w:val="20"/>
          <w:color w:val="auto"/>
        </w:rPr>
      </w:pPr>
      <w:r>
        <w:rPr>
          <w:rFonts w:ascii="Times New Roman" w:cs="Times New Roman" w:eastAsia="Times New Roman" w:hAnsi="Times New Roman"/>
          <w:sz w:val="16"/>
          <w:szCs w:val="16"/>
          <w:color w:val="auto"/>
        </w:rPr>
        <w:t>B. From the actual withdrawal date, the first interest rate adjustment date shall be determined as [/] year [/] month [/] day, and the interest rate shall be adjusted every (in words) [/]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month/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quarter/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half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year) after the first interest rate adjustment date. The interest rate adjustment date shall be the corresponding date of the first interest rate adjustment date in the adjustment month. If there is no corresponding date of the first interest rate adjustment date in the adjustment month, the last day of the adjustment month shall be the interest rate adjustment date.</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 Fixed day adjustment, that is, the interest rate adjustment date is set to [/] month [/] day of each year within the loan term (such as July 1st).</w:t>
      </w:r>
    </w:p>
    <w:p>
      <w:pPr>
        <w:spacing w:after="0" w:line="201" w:lineRule="exact"/>
        <w:rPr>
          <w:sz w:val="20"/>
          <w:szCs w:val="20"/>
          <w:color w:val="auto"/>
        </w:rPr>
      </w:pPr>
    </w:p>
    <w:p>
      <w:pPr>
        <w:ind w:left="4" w:hanging="4"/>
        <w:spacing w:after="0" w:line="283" w:lineRule="auto"/>
        <w:tabs>
          <w:tab w:leader="none" w:pos="252" w:val="left"/>
        </w:tabs>
        <w:numPr>
          <w:ilvl w:val="0"/>
          <w:numId w:val="6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interest rate adjustment method is a floating interest rate, the pricing base interest rate applicable to this loan on the contract signing date, the actual loan withdrawal date, and the interest rate adjustment date shall be determined using the [/] method as follows:</w:t>
      </w:r>
    </w:p>
    <w:p>
      <w:pPr>
        <w:spacing w:after="0" w:line="143" w:lineRule="exact"/>
        <w:rPr>
          <w:sz w:val="20"/>
          <w:szCs w:val="20"/>
          <w:color w:val="auto"/>
        </w:rPr>
      </w:pPr>
    </w:p>
    <w:p>
      <w:pPr>
        <w:ind w:left="184" w:hanging="184"/>
        <w:spacing w:after="0"/>
        <w:tabs>
          <w:tab w:leader="none" w:pos="184" w:val="left"/>
        </w:tabs>
        <w:numPr>
          <w:ilvl w:val="0"/>
          <w:numId w:val="63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latest loan market quoted interest rate [1 year] (1 year/5 years or more) term range released by the National Interbank Funding Center at the current time point.</w:t>
      </w:r>
    </w:p>
    <w:p>
      <w:pPr>
        <w:spacing w:after="0" w:line="201" w:lineRule="exact"/>
        <w:rPr>
          <w:sz w:val="20"/>
          <w:szCs w:val="20"/>
          <w:color w:val="auto"/>
        </w:rPr>
      </w:pPr>
    </w:p>
    <w:p>
      <w:pPr>
        <w:ind w:left="4" w:right="20" w:hanging="4"/>
        <w:spacing w:after="0" w:line="283" w:lineRule="auto"/>
        <w:tabs>
          <w:tab w:leader="none" w:pos="188" w:val="left"/>
        </w:tabs>
        <w:numPr>
          <w:ilvl w:val="0"/>
          <w:numId w:val="63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Shanghai Interbank Offered Rate [/] (overnight/1 week/2 weeks/1 month/2 months/3 months/6 months/9 months/1 year) term range released by the National Interbank Funding Center the previous working day.</w:t>
      </w:r>
    </w:p>
    <w:p>
      <w:pPr>
        <w:spacing w:after="0" w:line="143" w:lineRule="exact"/>
        <w:rPr>
          <w:sz w:val="20"/>
          <w:szCs w:val="20"/>
          <w:color w:val="auto"/>
        </w:rPr>
      </w:pPr>
    </w:p>
    <w:p>
      <w:pPr>
        <w:ind w:left="184" w:hanging="184"/>
        <w:spacing w:after="0"/>
        <w:tabs>
          <w:tab w:leader="none" w:pos="184" w:val="left"/>
        </w:tabs>
        <w:numPr>
          <w:ilvl w:val="0"/>
          <w:numId w:val="64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ways of negotiation between both parties: [/]</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53" w:name="page554"/>
    <w:bookmarkEnd w:id="553"/>
    <w:p>
      <w:pPr>
        <w:jc w:val="both"/>
        <w:ind w:left="4" w:right="20" w:hanging="4"/>
        <w:spacing w:after="0" w:line="267" w:lineRule="auto"/>
        <w:tabs>
          <w:tab w:leader="none" w:pos="254" w:val="left"/>
        </w:tabs>
        <w:numPr>
          <w:ilvl w:val="0"/>
          <w:numId w:val="6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interest rate adjustment method is a fixed interest rate, the pricing base interest rate applicable to this loan on the date of contract signing and the actual withdrawal date of the loan is the latest loan market quotation interest rate [1 year] (1 year/5 years or more) term level published by the National Interbank Funding Center at the current time point.</w:t>
      </w:r>
    </w:p>
    <w:p>
      <w:pPr>
        <w:spacing w:after="0" w:line="155"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244" w:val="left"/>
        </w:tabs>
        <w:numPr>
          <w:ilvl w:val="0"/>
          <w:numId w:val="6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country cancels the pricing base rate, the market no longer publishes the pricing base rate, or the current loan interest rate cannot meet the cost of raising funds for Party B, Party B has the right to re determine the loan interest rate based on the national interest rate policy of the same period, in accordance with the principles of fairness and integrity, and with reference to industry practices, interest rate conditions, and other factors, and notify Party A. If Party A has any objections, it shall negotiate with Party B. If no agreement can be reached through negotiation within five working days from the date of notification from Party B, Party B may notify Party A of the early maturity of the loan under this contract, and Party A shall immediately repay the remaining loan principal and interest.</w:t>
      </w:r>
    </w:p>
    <w:p>
      <w:pPr>
        <w:spacing w:after="0" w:line="161"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adjustment method” stipulated in this article also applies to penalty interest and compound interest.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 Interest settlement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The interest settlement of the loan under this contract</w:t>
      </w:r>
    </w:p>
    <w:p>
      <w:pPr>
        <w:spacing w:after="0" w:line="201" w:lineRule="exact"/>
        <w:rPr>
          <w:sz w:val="20"/>
          <w:szCs w:val="20"/>
          <w:color w:val="auto"/>
        </w:rPr>
      </w:pPr>
    </w:p>
    <w:p>
      <w:pPr>
        <w:ind w:left="4" w:hanging="4"/>
        <w:spacing w:after="0" w:line="283" w:lineRule="auto"/>
        <w:tabs>
          <w:tab w:leader="none" w:pos="212" w:val="left"/>
        </w:tabs>
        <w:numPr>
          <w:ilvl w:val="0"/>
          <w:numId w:val="64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This loan shall accrue interest from the actual withdrawal date. The calculation formula for the interest payable by Party A under this contract is: Party A’s payable interest=actual loan balance x actual number of days during the interest period x annual interest rate/360 days.</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If the actual loan balance changes during the interest period, it shall be calculated in segments based on the actual number of days.</w:t>
      </w:r>
    </w:p>
    <w:p>
      <w:pPr>
        <w:spacing w:after="0" w:line="201" w:lineRule="exact"/>
        <w:rPr>
          <w:sz w:val="20"/>
          <w:szCs w:val="20"/>
          <w:color w:val="auto"/>
        </w:rPr>
      </w:pPr>
    </w:p>
    <w:p>
      <w:pPr>
        <w:ind w:left="4" w:right="20" w:hanging="4"/>
        <w:spacing w:after="0" w:line="283" w:lineRule="auto"/>
        <w:tabs>
          <w:tab w:leader="none" w:pos="188" w:val="left"/>
        </w:tabs>
        <w:numPr>
          <w:ilvl w:val="0"/>
          <w:numId w:val="64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For non one-time repayment and interest bearing loans, the first interest settlement date is [/] year [/] month [/] day, and the interest settlement method is the following [C] method:</w:t>
      </w:r>
    </w:p>
    <w:p>
      <w:pPr>
        <w:spacing w:after="0" w:line="155" w:lineRule="exact"/>
        <w:rPr>
          <w:sz w:val="20"/>
          <w:szCs w:val="20"/>
          <w:color w:val="auto"/>
        </w:rPr>
      </w:pPr>
    </w:p>
    <w:p>
      <w:pPr>
        <w:ind w:left="4" w:right="20"/>
        <w:spacing w:after="0" w:line="206" w:lineRule="exact"/>
        <w:rPr>
          <w:sz w:val="20"/>
          <w:szCs w:val="20"/>
          <w:color w:val="auto"/>
        </w:rPr>
      </w:pPr>
      <w:r>
        <w:rPr>
          <w:rFonts w:ascii="Times New Roman" w:cs="Times New Roman" w:eastAsia="Times New Roman" w:hAnsi="Times New Roman"/>
          <w:sz w:val="16"/>
          <w:szCs w:val="16"/>
          <w:color w:val="auto"/>
        </w:rPr>
        <w:t>A</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Monthly interest settlement, with the interest settlement date on the 20th day of each month (if the loan interest rate is not uniform during the interest period, interest will be calculated in segments based on the actual number of days);</w:t>
      </w:r>
    </w:p>
    <w:p>
      <w:pPr>
        <w:spacing w:after="0" w:line="190" w:lineRule="exact"/>
        <w:rPr>
          <w:sz w:val="20"/>
          <w:szCs w:val="20"/>
          <w:color w:val="auto"/>
        </w:rPr>
      </w:pPr>
    </w:p>
    <w:p>
      <w:pPr>
        <w:ind w:left="4" w:right="20"/>
        <w:spacing w:after="0" w:line="206" w:lineRule="exact"/>
        <w:rPr>
          <w:sz w:val="20"/>
          <w:szCs w:val="20"/>
          <w:color w:val="auto"/>
        </w:rPr>
      </w:pPr>
      <w:r>
        <w:rPr>
          <w:rFonts w:ascii="Times New Roman" w:cs="Times New Roman" w:eastAsia="Times New Roman" w:hAnsi="Times New Roman"/>
          <w:sz w:val="16"/>
          <w:szCs w:val="16"/>
          <w:color w:val="auto"/>
        </w:rPr>
        <w:t>B</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Quarterly interest settlement, with the interest settlement date on the 20th day of the last month of each quarter (if the loan interest rate is not uniform during the interest period, interest will be calculated in segments based on the actual number of days);</w:t>
      </w:r>
    </w:p>
    <w:p>
      <w:pPr>
        <w:spacing w:after="0" w:line="2" w:lineRule="exact"/>
        <w:rPr>
          <w:sz w:val="20"/>
          <w:szCs w:val="20"/>
          <w:color w:val="auto"/>
        </w:rPr>
      </w:pPr>
    </w:p>
    <w:p>
      <w:pPr>
        <w:ind w:left="4"/>
        <w:spacing w:after="0" w:line="195" w:lineRule="exact"/>
        <w:rPr>
          <w:sz w:val="20"/>
          <w:szCs w:val="20"/>
          <w:color w:val="auto"/>
        </w:rPr>
      </w:pPr>
      <w:r>
        <w:rPr>
          <w:rFonts w:ascii="Times New Roman" w:cs="Times New Roman" w:eastAsia="Times New Roman" w:hAnsi="Times New Roman"/>
          <w:sz w:val="16"/>
          <w:szCs w:val="16"/>
          <w:color w:val="auto"/>
        </w:rPr>
        <w:t>C</w:t>
      </w:r>
      <w:r>
        <w:rPr>
          <w:rFonts w:ascii="SimSun" w:cs="SimSun" w:eastAsia="SimSun" w:hAnsi="SimSun"/>
          <w:sz w:val="16"/>
          <w:szCs w:val="16"/>
          <w:color w:val="auto"/>
        </w:rPr>
        <w:t>、</w:t>
      </w:r>
      <w:r>
        <w:rPr>
          <w:rFonts w:ascii="Times New Roman" w:cs="Times New Roman" w:eastAsia="Times New Roman" w:hAnsi="Times New Roman"/>
          <w:sz w:val="16"/>
          <w:szCs w:val="16"/>
          <w:color w:val="auto"/>
        </w:rPr>
        <w:t xml:space="preserve"> Other agreed upon time by both parties: [Interest will be settled on the actual repayment date].</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54" w:name="page555"/>
    <w:bookmarkEnd w:id="554"/>
    <w:p>
      <w:pPr>
        <w:jc w:val="both"/>
        <w:ind w:left="4" w:hanging="4"/>
        <w:spacing w:after="0" w:line="257" w:lineRule="auto"/>
        <w:tabs>
          <w:tab w:leader="none" w:pos="236" w:val="left"/>
        </w:tabs>
        <w:numPr>
          <w:ilvl w:val="0"/>
          <w:numId w:val="6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prepare sufficient funds in the account opened by party B (account number: [8110201012301487493]) before the end of business on each interest settlement day. Party A hereby irrevocably authorizes party B to directly deduct from the account and has the obligation to maintain sufficient funds in the account to repay the current payable amount before the final deduction by party B; If Party A chooses to pay interest to Party B in other ways, it shall ensure that the interest is received on time. If the interest settlement date is a non bank working day, the payment shall be made in advance on the previous bank working day, and party B shall be obliged to maintain sufficient funds in the account to repay the current payable before the final deduction. If party B fails to receive the corresponding interest in full, it shall be deemed that party A has not paid the interest on time.</w:t>
      </w:r>
    </w:p>
    <w:p>
      <w:pPr>
        <w:spacing w:after="0" w:line="165" w:lineRule="exact"/>
        <w:rPr>
          <w:sz w:val="20"/>
          <w:szCs w:val="20"/>
          <w:color w:val="auto"/>
        </w:rPr>
      </w:pPr>
    </w:p>
    <w:p>
      <w:pPr>
        <w:jc w:val="both"/>
        <w:ind w:left="4" w:hanging="4"/>
        <w:spacing w:after="0" w:line="257" w:lineRule="auto"/>
        <w:tabs>
          <w:tab w:leader="none" w:pos="167" w:val="left"/>
        </w:tabs>
        <w:numPr>
          <w:ilvl w:val="0"/>
          <w:numId w:val="6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loan matures, the interest should be repaid along with the principal. If the loan maturity date falls on a statutory holiday or public holiday, Party A has the right to repay the loan on the last banking working day before the statutory holiday or public holiday. At that time, interest shall be calculated at the contract interest rate, but the interest calculated at the contract interest rate corresponding to the number of days between the maturity date and the repayment date shall be deducted; If Party A chooses to repay the loan on the first bank working day after a statutory holiday or public holiday, interest shall be charged at the contract interest rate for the number of days between the due date and the repayment date. If Party A fails to repay the loan on the first bank working day after a statutory holiday or public holiday, interest shall be charged on the overdue loan from that date onwards.</w:t>
      </w:r>
    </w:p>
    <w:p>
      <w:pPr>
        <w:spacing w:after="0" w:line="165" w:lineRule="exact"/>
        <w:rPr>
          <w:sz w:val="20"/>
          <w:szCs w:val="20"/>
          <w:color w:val="auto"/>
        </w:rPr>
      </w:pPr>
    </w:p>
    <w:p>
      <w:pPr>
        <w:jc w:val="both"/>
        <w:ind w:left="4" w:right="20" w:hanging="4"/>
        <w:spacing w:after="0" w:line="261" w:lineRule="auto"/>
        <w:tabs>
          <w:tab w:leader="none" w:pos="170" w:val="left"/>
        </w:tabs>
        <w:numPr>
          <w:ilvl w:val="0"/>
          <w:numId w:val="6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interest is paid by a third party under this contract, the third party shall voluntarily bear part or all of the loan interest under this contract, and the third party shall sign a relevant interest payment commitment agreement with Party B. Both parties agree that the third party shall bear [/]% of the loan interest under this contract, and Party A shall bear [/]%. If Party B is unable to fully deduct the loan interest (including third-party payable interest), it shall be deemed that Party A has not paid the interest on time, and Party A shall bear the responsibility for repaying all loan interest (including penalty interest and compound interest).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5: Issuance and Payment of Loans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The prerequisite for the first withdrawal</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first withdrawal by Party A must fully meet the following conditions:</w:t>
      </w:r>
    </w:p>
    <w:p>
      <w:pPr>
        <w:spacing w:after="0" w:line="213" w:lineRule="exact"/>
        <w:rPr>
          <w:sz w:val="20"/>
          <w:szCs w:val="20"/>
          <w:color w:val="auto"/>
        </w:rPr>
      </w:pPr>
    </w:p>
    <w:p>
      <w:pPr>
        <w:ind w:left="4"/>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 Preconditions for each withdrawal</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each withdrawal under this contract (including the first withdrawal), Party A must also meet the following conditions:</w:t>
      </w:r>
    </w:p>
    <w:p>
      <w:pPr>
        <w:spacing w:after="0" w:line="201" w:lineRule="exact"/>
        <w:rPr>
          <w:sz w:val="20"/>
          <w:szCs w:val="20"/>
          <w:color w:val="auto"/>
        </w:rPr>
      </w:pPr>
    </w:p>
    <w:p>
      <w:pPr>
        <w:ind w:left="224" w:hanging="224"/>
        <w:spacing w:after="0"/>
        <w:tabs>
          <w:tab w:leader="none" w:pos="224" w:val="left"/>
        </w:tabs>
        <w:numPr>
          <w:ilvl w:val="0"/>
          <w:numId w:val="6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not violated the provisions or agreements of this contract, the guarantee documents, or other relevant documents.</w:t>
      </w:r>
    </w:p>
    <w:p>
      <w:pPr>
        <w:spacing w:after="0" w:line="200" w:lineRule="exact"/>
        <w:rPr>
          <w:rFonts w:ascii="Times New Roman" w:cs="Times New Roman" w:eastAsia="Times New Roman" w:hAnsi="Times New Roman"/>
          <w:sz w:val="16"/>
          <w:szCs w:val="16"/>
          <w:color w:val="auto"/>
        </w:rPr>
      </w:pPr>
    </w:p>
    <w:p>
      <w:pPr>
        <w:ind w:left="4" w:right="20" w:hanging="4"/>
        <w:spacing w:after="0" w:line="283" w:lineRule="auto"/>
        <w:tabs>
          <w:tab w:leader="none" w:pos="255" w:val="left"/>
        </w:tabs>
        <w:numPr>
          <w:ilvl w:val="0"/>
          <w:numId w:val="6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guarantee documents remain valid and the guarantee has not undergone or will undergo any adverse changes that Party B considers may be detrimental to the realization of its creditor’s rights.</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collateral or pledge under the guarantee documents has not been sealed, and the maximum amount of guarantee has not been determined as a debt.</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55" w:name="page556"/>
    <w:bookmarkEnd w:id="555"/>
    <w:p>
      <w:pPr>
        <w:ind w:left="4" w:right="20" w:hanging="4"/>
        <w:spacing w:after="0" w:line="283" w:lineRule="auto"/>
        <w:tabs>
          <w:tab w:leader="none" w:pos="231" w:val="left"/>
        </w:tabs>
        <w:numPr>
          <w:ilvl w:val="0"/>
          <w:numId w:val="6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credit status, business and financial conditions of Party A have not undergone any adverse changes that may jeopardize, delay or prevent its performance of obligations and responsibilities under this contract and the guarantee documents.</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signed or provided party B with the agreed or reasonably requested documents.</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opened relevant accounts in accordance with the provisions of this contract or as requested by party B.</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laws, regulations, or regulatory requirements that prohibit or restrict the disbursement of loans under this contract.</w:t>
      </w:r>
    </w:p>
    <w:p>
      <w:pPr>
        <w:spacing w:after="0" w:line="213" w:lineRule="exact"/>
        <w:rPr>
          <w:sz w:val="20"/>
          <w:szCs w:val="20"/>
          <w:color w:val="auto"/>
        </w:rPr>
      </w:pPr>
    </w:p>
    <w:p>
      <w:pPr>
        <w:ind w:left="4"/>
        <w:spacing w:after="0" w:line="195" w:lineRule="exact"/>
        <w:rPr>
          <w:sz w:val="20"/>
          <w:szCs w:val="20"/>
          <w:color w:val="auto"/>
        </w:rPr>
      </w:pPr>
      <w:r>
        <w:rPr>
          <w:rFonts w:ascii="Times New Roman" w:cs="Times New Roman" w:eastAsia="Times New Roman" w:hAnsi="Times New Roman"/>
          <w:sz w:val="16"/>
          <w:szCs w:val="16"/>
          <w:color w:val="auto"/>
        </w:rPr>
        <w:t>(8)</w:t>
      </w: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p>
      <w:pPr>
        <w:spacing w:after="0" w:line="202" w:lineRule="exact"/>
        <w:rPr>
          <w:sz w:val="20"/>
          <w:szCs w:val="20"/>
          <w:color w:val="auto"/>
        </w:rPr>
      </w:pPr>
    </w:p>
    <w:tbl>
      <w:tblPr>
        <w:tblLayout w:type="fixed"/>
        <w:tblInd w:w="14" w:type="dxa"/>
        <w:tblCellMar>
          <w:top w:w="0" w:type="dxa"/>
          <w:left w:w="0" w:type="dxa"/>
          <w:bottom w:w="0" w:type="dxa"/>
          <w:right w:w="0" w:type="dxa"/>
        </w:tblCellMar>
      </w:tblPr>
      <w:tr>
        <w:trPr>
          <w:trHeight w:val="209"/>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6"/>
              </w:rPr>
              <w:t>(9)</w:t>
            </w:r>
          </w:p>
        </w:tc>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conditions requested by Party B.</w:t>
            </w:r>
          </w:p>
        </w:tc>
        <w:tc>
          <w:tcPr>
            <w:tcW w:w="5620" w:type="dxa"/>
            <w:vAlign w:val="bottom"/>
          </w:tcPr>
          <w:p>
            <w:pPr>
              <w:spacing w:after="0"/>
              <w:rPr>
                <w:sz w:val="18"/>
                <w:szCs w:val="18"/>
                <w:color w:val="auto"/>
              </w:rPr>
            </w:pPr>
          </w:p>
        </w:tc>
      </w:tr>
      <w:tr>
        <w:trPr>
          <w:trHeight w:val="411"/>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6"/>
              </w:rPr>
              <w:t>(1)</w:t>
            </w:r>
          </w:p>
        </w:tc>
        <w:tc>
          <w:tcPr>
            <w:tcW w:w="544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Party A shall withdraw funds according to the following plan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w:t>
            </w:r>
          </w:p>
        </w:tc>
        <w:tc>
          <w:tcPr>
            <w:tcW w:w="5620" w:type="dxa"/>
            <w:vAlign w:val="bottom"/>
          </w:tcPr>
          <w:p>
            <w:pPr>
              <w:spacing w:after="0"/>
              <w:rPr>
                <w:sz w:val="24"/>
                <w:szCs w:val="24"/>
                <w:color w:val="auto"/>
              </w:rPr>
            </w:pPr>
          </w:p>
        </w:tc>
      </w:tr>
      <w:tr>
        <w:trPr>
          <w:trHeight w:val="385"/>
        </w:trPr>
        <w:tc>
          <w:tcPr>
            <w:tcW w:w="5640" w:type="dxa"/>
            <w:vAlign w:val="bottom"/>
            <w:gridSpan w:val="2"/>
          </w:tcPr>
          <w:p>
            <w:pPr>
              <w:spacing w:after="0" w:line="184" w:lineRule="exact"/>
              <w:rPr>
                <w:sz w:val="20"/>
                <w:szCs w:val="20"/>
                <w:color w:val="auto"/>
              </w:rPr>
            </w:pP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xml:space="preserve"> Withdrawal Schedule</w:t>
            </w:r>
          </w:p>
        </w:tc>
        <w:tc>
          <w:tcPr>
            <w:tcW w:w="5620" w:type="dxa"/>
            <w:vAlign w:val="bottom"/>
          </w:tcPr>
          <w:p>
            <w:pPr>
              <w:spacing w:after="0"/>
              <w:rPr>
                <w:sz w:val="24"/>
                <w:szCs w:val="24"/>
                <w:color w:val="auto"/>
              </w:rPr>
            </w:pPr>
          </w:p>
        </w:tc>
      </w:tr>
      <w:tr>
        <w:trPr>
          <w:trHeight w:val="167"/>
        </w:trPr>
        <w:tc>
          <w:tcPr>
            <w:tcW w:w="5640" w:type="dxa"/>
            <w:vAlign w:val="bottom"/>
            <w:tcBorders>
              <w:bottom w:val="single" w:sz="8" w:color="auto"/>
            </w:tcBorders>
            <w:gridSpan w:val="2"/>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r>
      <w:tr>
        <w:trPr>
          <w:trHeight w:val="184"/>
        </w:trPr>
        <w:tc>
          <w:tcPr>
            <w:tcW w:w="56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Withdrawal amount on the planned withdrawal date</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Withdrawal amount</w:t>
            </w:r>
          </w:p>
        </w:tc>
      </w:tr>
      <w:tr>
        <w:trPr>
          <w:trHeight w:val="184"/>
        </w:trPr>
        <w:tc>
          <w:tcPr>
            <w:tcW w:w="564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June 6th, 2025</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RMB 15,000,000.00</w:t>
            </w:r>
          </w:p>
        </w:tc>
      </w:tr>
    </w:tbl>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planned withdrawal date should be a bank working day. If the planned withdrawal date is not a bank working day, it should be adjusted to the previous bank working day.</w:t>
      </w:r>
    </w:p>
    <w:p>
      <w:pPr>
        <w:spacing w:after="0" w:line="177" w:lineRule="exact"/>
        <w:rPr>
          <w:sz w:val="20"/>
          <w:szCs w:val="20"/>
          <w:color w:val="auto"/>
        </w:rPr>
      </w:pPr>
    </w:p>
    <w:p>
      <w:pPr>
        <w:ind w:left="4"/>
        <w:spacing w:after="0" w:line="195" w:lineRule="exact"/>
        <w:rPr>
          <w:sz w:val="20"/>
          <w:szCs w:val="20"/>
          <w:color w:val="auto"/>
        </w:rPr>
      </w:pP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xml:space="preserve"> </w:t>
      </w: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p>
      <w:pPr>
        <w:spacing w:after="0" w:line="64" w:lineRule="exact"/>
        <w:rPr>
          <w:sz w:val="20"/>
          <w:szCs w:val="20"/>
          <w:color w:val="auto"/>
        </w:rPr>
      </w:pPr>
    </w:p>
    <w:p>
      <w:pPr>
        <w:ind w:left="4" w:right="20" w:hanging="4"/>
        <w:spacing w:after="0" w:line="259" w:lineRule="auto"/>
        <w:tabs>
          <w:tab w:leader="none" w:pos="235" w:val="left"/>
        </w:tabs>
        <w:numPr>
          <w:ilvl w:val="0"/>
          <w:numId w:val="6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review the loan amount every (in words) [/] months (not exceeding 12 months) from the date of signing the contract, in order to decide whether to continue providing or adjusting the unused loan amount to party A.</w:t>
      </w:r>
    </w:p>
    <w:p>
      <w:pPr>
        <w:spacing w:after="0" w:line="162" w:lineRule="exact"/>
        <w:rPr>
          <w:sz w:val="20"/>
          <w:szCs w:val="20"/>
          <w:color w:val="auto"/>
        </w:rPr>
      </w:pPr>
    </w:p>
    <w:p>
      <w:pPr>
        <w:jc w:val="both"/>
        <w:ind w:left="4" w:right="20" w:hanging="4"/>
        <w:spacing w:after="0" w:line="267" w:lineRule="auto"/>
        <w:tabs>
          <w:tab w:leader="none" w:pos="169" w:val="left"/>
        </w:tabs>
        <w:numPr>
          <w:ilvl w:val="0"/>
          <w:numId w:val="6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or the guarantor fails to fulfill all legal or contractual obligations, including but not limited to Party A’s failure to provide complete loan materials as required by Party B, or the guarantor’s failure to complete the guarantee registration procedures on time, Party A agrees that Party B has the right to change the above-mentioned withdrawal plan. If the loan term changes due to the change of withdrawal plan, it shall be handled in accordance with the provisions of Article 2, paragraph 2 of this contract.</w:t>
      </w:r>
    </w:p>
    <w:p>
      <w:pPr>
        <w:spacing w:after="0" w:line="155" w:lineRule="exact"/>
        <w:rPr>
          <w:rFonts w:ascii="Times New Roman" w:cs="Times New Roman" w:eastAsia="Times New Roman" w:hAnsi="Times New Roman"/>
          <w:sz w:val="16"/>
          <w:szCs w:val="16"/>
          <w:color w:val="auto"/>
        </w:rPr>
      </w:pPr>
    </w:p>
    <w:p>
      <w:pPr>
        <w:jc w:val="both"/>
        <w:ind w:left="4" w:hanging="4"/>
        <w:spacing w:after="0" w:line="260" w:lineRule="auto"/>
        <w:tabs>
          <w:tab w:leader="none" w:pos="171" w:val="left"/>
        </w:tabs>
        <w:numPr>
          <w:ilvl w:val="0"/>
          <w:numId w:val="6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withdraw funds according to the withdrawal plan stipulated in this contract; Without the written consent of Party B, Party A shall not change the withdrawal plan. If the planned withdrawal date and/or withdrawal amount are changed, a written application shall be submitted to Party B at least [/] banking days before the planned withdrawal date stipulated in this contract. With the consent of Party B, withdrawals can be made according to the changed withdrawal date and/or withdrawal amount. If Party A fails to withdraw according to the changed withdrawal date and/or withdrawal amount, Party B has the right to cancel the loan and no longer allow Party A to withdraw.</w:t>
      </w:r>
    </w:p>
    <w:p>
      <w:pPr>
        <w:spacing w:after="0" w:line="200" w:lineRule="exact"/>
        <w:rPr>
          <w:sz w:val="20"/>
          <w:szCs w:val="20"/>
          <w:color w:val="auto"/>
        </w:rPr>
      </w:pPr>
    </w:p>
    <w:p>
      <w:pPr>
        <w:spacing w:after="0" w:line="3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56" w:name="page557"/>
    <w:bookmarkEnd w:id="556"/>
    <w:p>
      <w:pPr>
        <w:ind w:left="4" w:hanging="4"/>
        <w:spacing w:after="0" w:line="283" w:lineRule="auto"/>
        <w:tabs>
          <w:tab w:leader="none" w:pos="169" w:val="left"/>
        </w:tabs>
        <w:numPr>
          <w:ilvl w:val="0"/>
          <w:numId w:val="6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actual loan principal disbursed by Party B changes due to the circumstances stipulated in Article 5, paragraph 5 of this contract, the loan principal under this contract shall be calculated based on the actual unit loan voucher (promissory note) generated under this contract.</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disbursement and payment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Withdrawal Request</w:t>
      </w:r>
    </w:p>
    <w:p>
      <w:pPr>
        <w:spacing w:after="0" w:line="201" w:lineRule="exact"/>
        <w:rPr>
          <w:sz w:val="20"/>
          <w:szCs w:val="20"/>
          <w:color w:val="auto"/>
        </w:rPr>
      </w:pPr>
    </w:p>
    <w:p>
      <w:pPr>
        <w:ind w:left="4" w:hanging="4"/>
        <w:spacing w:after="0" w:line="283" w:lineRule="auto"/>
        <w:tabs>
          <w:tab w:leader="none" w:pos="188" w:val="left"/>
        </w:tabs>
        <w:numPr>
          <w:ilvl w:val="0"/>
          <w:numId w:val="65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shall issue a withdrawal request through electronic channels such as party B’s online banking or written application at least [/] banking working days before each planned withdrawal date, and submit all withdrawal documents required by party B in accordance with the provisions of this contract and the requirements of party B.</w:t>
      </w:r>
    </w:p>
    <w:p>
      <w:pPr>
        <w:spacing w:after="0" w:line="143"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6"/>
          <w:szCs w:val="16"/>
          <w:color w:val="auto"/>
        </w:rPr>
        <w:t>For withdrawal requests that need to be submitted through offline channels, Party A shall send a withdrawal request to Party B no less than [/] banking days before each planned withdrawal date, submitting the unit loan voucher (promissory note) and all withdrawal documents required by Party B in accordance with the provisions of this contract. Party A shall reserve the seal for its authorized staff to use when withdrawing funds (see Annex 2 for the format, or provide party B with a separate seal card for safekeeping). If party A reserves multiple seals, the use of any seal shall be deemed as party A’s intention. When party A’s staff applies for business, they shall provide a seal that matches the reserved seal. Party B is only responsible for the formal review of the seals provided by the staff of party A against the reserved seals. After verification, party A’s business application can be accepted. Party A shall notify party B in writing and affix the official seal or contract seal on the day of the change of the reserved seal mentioned above. If Party B suffers losses due to failure to notify in a timely manner, Party A shall bear the corresponding compensation liability.</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withdrawal request issued by Party A is irrevocable; After approval by Party B, Party A is obliged to withdraw according to the above-mentioned withdrawal application.</w:t>
      </w:r>
    </w:p>
    <w:p>
      <w:pPr>
        <w:spacing w:after="0" w:line="201" w:lineRule="exact"/>
        <w:rPr>
          <w:sz w:val="20"/>
          <w:szCs w:val="20"/>
          <w:color w:val="auto"/>
        </w:rPr>
      </w:pPr>
    </w:p>
    <w:p>
      <w:pPr>
        <w:jc w:val="both"/>
        <w:ind w:left="4" w:hanging="4"/>
        <w:spacing w:after="0" w:line="261" w:lineRule="auto"/>
        <w:tabs>
          <w:tab w:leader="none" w:pos="216" w:val="left"/>
        </w:tabs>
        <w:numPr>
          <w:ilvl w:val="0"/>
          <w:numId w:val="65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loan funds shall be transferred to Party A’s settlement account (Account No.: [8110201012301487493]) opened with Party B, or disbursed on behalf of Party A’s counterparty as agreed. Once the loan funds enter the aforementioned settlement account, it shall be deemed that Party B has fulfilled its obligation to disburse the funds. Any risks, liabilities, or losses arising from the freezing or seizure of the funds by authorized authorities after the loan is deposited into the aforementioned settlement account shall be borne by Party A. Party A shall compensate Party B for any losses incurred as a result.</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557" w:name="page558"/>
    <w:bookmarkEnd w:id="557"/>
    <w:p>
      <w:pPr>
        <w:ind w:left="4"/>
        <w:spacing w:after="0"/>
        <w:rPr>
          <w:sz w:val="20"/>
          <w:szCs w:val="20"/>
          <w:color w:val="auto"/>
        </w:rPr>
      </w:pPr>
      <w:r>
        <w:rPr>
          <w:rFonts w:ascii="Times New Roman" w:cs="Times New Roman" w:eastAsia="Times New Roman" w:hAnsi="Times New Roman"/>
          <w:sz w:val="16"/>
          <w:szCs w:val="16"/>
          <w:color w:val="auto"/>
        </w:rPr>
        <w:t>(2) Loan Payment Methods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Loan payment can be conducted through either self-payment or entrusted payment. If any of the following conditions apply, the entrusted payment method shall be adopted:</w:t>
      </w:r>
    </w:p>
    <w:p>
      <w:pPr>
        <w:spacing w:after="0" w:line="201" w:lineRule="exact"/>
        <w:rPr>
          <w:sz w:val="20"/>
          <w:szCs w:val="20"/>
          <w:color w:val="auto"/>
        </w:rPr>
      </w:pPr>
    </w:p>
    <w:p>
      <w:pPr>
        <w:ind w:left="184" w:hanging="184"/>
        <w:spacing w:after="0"/>
        <w:tabs>
          <w:tab w:leader="none" w:pos="184" w:val="left"/>
        </w:tabs>
        <w:numPr>
          <w:ilvl w:val="0"/>
          <w:numId w:val="65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and Party B establish a new credit business relationship, and Party B deems it necessary based on Party A’s credit status.</w:t>
      </w:r>
    </w:p>
    <w:p>
      <w:pPr>
        <w:spacing w:after="0" w:line="165" w:lineRule="exact"/>
        <w:rPr>
          <w:sz w:val="20"/>
          <w:szCs w:val="20"/>
          <w:color w:val="auto"/>
        </w:rPr>
      </w:pPr>
    </w:p>
    <w:p>
      <w:pPr>
        <w:ind w:left="4"/>
        <w:spacing w:after="0" w:line="184" w:lineRule="exact"/>
        <w:rPr>
          <w:sz w:val="20"/>
          <w:szCs w:val="20"/>
          <w:color w:val="auto"/>
        </w:rPr>
      </w:pP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The payment recipient is clearly identified and involves a single transaction exceeding RMB 10 million to a specific counterparty of Party A;</w:t>
      </w:r>
    </w:p>
    <w:p>
      <w:pPr>
        <w:spacing w:after="0" w:line="237" w:lineRule="exact"/>
        <w:rPr>
          <w:sz w:val="20"/>
          <w:szCs w:val="20"/>
          <w:color w:val="auto"/>
        </w:rPr>
      </w:pPr>
    </w:p>
    <w:p>
      <w:pPr>
        <w:ind w:left="184" w:hanging="184"/>
        <w:spacing w:after="0"/>
        <w:tabs>
          <w:tab w:leader="none" w:pos="184" w:val="left"/>
        </w:tabs>
        <w:numPr>
          <w:ilvl w:val="0"/>
          <w:numId w:val="65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For loan payments exceeding or equal to [0.00], the entrusted payment method by the lender shall be adopted;</w:t>
      </w:r>
    </w:p>
    <w:p>
      <w:pPr>
        <w:spacing w:after="0" w:line="201" w:lineRule="exact"/>
        <w:rPr>
          <w:sz w:val="20"/>
          <w:szCs w:val="20"/>
          <w:color w:val="auto"/>
        </w:rPr>
      </w:pPr>
    </w:p>
    <w:p>
      <w:pPr>
        <w:ind w:left="184" w:hanging="184"/>
        <w:spacing w:after="0"/>
        <w:tabs>
          <w:tab w:leader="none" w:pos="184" w:val="left"/>
        </w:tabs>
        <w:numPr>
          <w:ilvl w:val="0"/>
          <w:numId w:val="65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Other circumstances deemed necessary by Party B.</w:t>
      </w:r>
    </w:p>
    <w:p>
      <w:pPr>
        <w:spacing w:after="0" w:line="201"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If the entrusted payment method of Party B is adopted, Party B has the right to review whether the payment object, payment amount and other information listed in the payment application submitted by Party A are consistent with the corresponding business contract and other supporting materials before the loan funds are disbursed. After the approval of Party B’s review, according to the payment authorization letter submitted by Party A (see Attachment 1 for the format), the loan funds will be transferred to Party A’s counterparty account listed in the payment authorization letter through the settlement account opened by Party A at Party B’s location (account number [8110201012301487493]).</w:t>
      </w:r>
    </w:p>
    <w:p>
      <w:pPr>
        <w:spacing w:after="0" w:line="162"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The formal review of the above-mentioned business contracts and other documents by Party B does not represent Party B’s confirmation of the authenticity and legality of the relevant transactions, nor does it represent Party B’s intervention in disputes between Party A and its counterparties or third parties, or the responsibilities and obligations that Party A needs to bear.</w:t>
      </w:r>
    </w:p>
    <w:p>
      <w:pPr>
        <w:spacing w:after="0" w:line="156"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6"/>
          <w:szCs w:val="16"/>
          <w:color w:val="auto"/>
        </w:rPr>
        <w:t>If the loan cannot be paid to the designated counterparty’s bank account in a timely and successful manner due to reasons such as refunds from the counterparty’s account opening bank of Party A, Party A’s failure to provide relevant information in a timely manner, or incorrect information provided by Party A, Party B shall not be held responsible. Any risks, liabilities, and losses caused to Party A, Party B, and/or Party A’s designated counterparty shall be borne by Party A. Without the approval and review of Party B, Party A shall not use the funds returned by the counterparty’s account opening bank of Party A.</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4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58" w:name="page559"/>
    <w:bookmarkEnd w:id="558"/>
    <w:p>
      <w:pPr>
        <w:ind w:left="4"/>
        <w:spacing w:after="0"/>
        <w:rPr>
          <w:sz w:val="20"/>
          <w:szCs w:val="20"/>
          <w:color w:val="auto"/>
        </w:rPr>
      </w:pPr>
      <w:r>
        <w:rPr>
          <w:rFonts w:ascii="Times New Roman" w:cs="Times New Roman" w:eastAsia="Times New Roman" w:hAnsi="Times New Roman"/>
          <w:sz w:val="16"/>
          <w:szCs w:val="16"/>
          <w:color w:val="auto"/>
        </w:rPr>
        <w:t>(3) Payment Management</w:t>
      </w:r>
    </w:p>
    <w:p>
      <w:pPr>
        <w:spacing w:after="0" w:line="201" w:lineRule="exact"/>
        <w:rPr>
          <w:sz w:val="20"/>
          <w:szCs w:val="20"/>
          <w:color w:val="auto"/>
        </w:rPr>
      </w:pPr>
    </w:p>
    <w:p>
      <w:pPr>
        <w:jc w:val="both"/>
        <w:ind w:left="4" w:hanging="4"/>
        <w:spacing w:after="0" w:line="257" w:lineRule="auto"/>
        <w:tabs>
          <w:tab w:leader="none" w:pos="212" w:val="left"/>
        </w:tabs>
        <w:numPr>
          <w:ilvl w:val="0"/>
          <w:numId w:val="657"/>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After the loan is disbursed, Party B has the right to conduct regular or irregular reviews and inspections on whether Party A’s use of the loan funds complies with the provisions of this contract and related business contracts. Party A has the obligation to fully cooperate and provide timely records and information on the use of the loan funds as requested by Party B, including but not limited to business contracts related to the payment of the loan funds, other transaction vouchers and materials proving the use of the funds. If Party B finds that the purpose of the loan funds is inconsistent with the relevant provisions after inspection, Party B has the right to request Party A to make corrections within a specified period of time. If Party A refuses to make corrections, Party B has the right to handle it according to the provisions of Article 13 of this contract depending on the circumstances. The first party shall provide proof of the purpose of the loan as requested by the second party at any time.</w:t>
      </w:r>
    </w:p>
    <w:p>
      <w:pPr>
        <w:spacing w:after="0" w:line="165" w:lineRule="exact"/>
        <w:rPr>
          <w:sz w:val="20"/>
          <w:szCs w:val="20"/>
          <w:color w:val="auto"/>
        </w:rPr>
      </w:pPr>
    </w:p>
    <w:p>
      <w:pPr>
        <w:jc w:val="both"/>
        <w:ind w:left="4" w:hanging="4"/>
        <w:spacing w:after="0" w:line="267" w:lineRule="auto"/>
        <w:tabs>
          <w:tab w:leader="none" w:pos="212" w:val="left"/>
        </w:tabs>
        <w:numPr>
          <w:ilvl w:val="0"/>
          <w:numId w:val="658"/>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Party A adopts self payment, Party A shall provide Party B with relevant business contracts and other transaction materials proving the purpose of the loan funds as required by Party B, and summarize and report the payment situation of the loan funds. Party B has the right to verify whether the loan payment is in accordance with the agreed purpose, whether the payment matches the project schedule, and whether there are situations where entrusted payment is avoided by breaking it up into smaller parts.</w:t>
      </w:r>
    </w:p>
    <w:p>
      <w:pPr>
        <w:spacing w:after="0" w:line="156" w:lineRule="exact"/>
        <w:rPr>
          <w:sz w:val="20"/>
          <w:szCs w:val="20"/>
          <w:color w:val="auto"/>
        </w:rPr>
      </w:pPr>
    </w:p>
    <w:p>
      <w:pPr>
        <w:jc w:val="both"/>
        <w:ind w:left="4" w:right="20" w:hanging="4"/>
        <w:spacing w:after="0" w:line="261" w:lineRule="auto"/>
        <w:tabs>
          <w:tab w:leader="none" w:pos="212" w:val="left"/>
        </w:tabs>
        <w:numPr>
          <w:ilvl w:val="0"/>
          <w:numId w:val="659"/>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 the process of loan disbursement and payment under this contract, if Party A encounters the following situations, Party B has the right to negotiate with Party A to supplement the loan disbursement and payment conditions, or change the loan payment method, and may also stop or suspend the disbursement and payment of loan funds at its own discretion depending on the situation. When Party B changes the loan payment method, it shall take effect upon delivery of written notice to Party A, and Party A shall not object.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Decreased credit status;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 The business and financial situation is significantly deteriorating;</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 Abnormal use of loan funds and failure to use loan funds as agreed in the contract;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Avoiding entrusted payment by Party B through methods such as breaking down the whole into smaller parts;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 Other significant breaches of contractual agreements.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8. Other Agreements</w:t>
      </w:r>
    </w:p>
    <w:p>
      <w:pPr>
        <w:spacing w:after="0" w:line="213" w:lineRule="exact"/>
        <w:rPr>
          <w:sz w:val="20"/>
          <w:szCs w:val="20"/>
          <w:color w:val="auto"/>
        </w:rPr>
      </w:pPr>
    </w:p>
    <w:p>
      <w:pPr>
        <w:ind w:left="4"/>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6 Repayment</w:t>
      </w:r>
    </w:p>
    <w:p>
      <w:pPr>
        <w:spacing w:after="0" w:line="203" w:lineRule="exact"/>
        <w:rPr>
          <w:sz w:val="20"/>
          <w:szCs w:val="20"/>
          <w:color w:val="auto"/>
        </w:rPr>
      </w:pPr>
    </w:p>
    <w:p>
      <w:pPr>
        <w:ind w:left="164" w:hanging="164"/>
        <w:spacing w:after="0"/>
        <w:tabs>
          <w:tab w:leader="none" w:pos="164" w:val="left"/>
        </w:tabs>
        <w:numPr>
          <w:ilvl w:val="0"/>
          <w:numId w:val="6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under this contract shall be repaid using the second method as follows:</w:t>
      </w:r>
    </w:p>
    <w:p>
      <w:pPr>
        <w:spacing w:after="0" w:line="200"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Regular interest payment and repayment of principal upon maturity;</w:t>
      </w:r>
    </w:p>
    <w:p>
      <w:pPr>
        <w:spacing w:after="0" w:line="200"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One time repayment of principal and interest.</w:t>
      </w:r>
    </w:p>
    <w:p>
      <w:pPr>
        <w:spacing w:after="0" w:line="200"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Other methods: [/]</w:t>
      </w:r>
    </w:p>
    <w:p>
      <w:pPr>
        <w:spacing w:after="0" w:line="200"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repay the principal according to the following plan (1):</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Repayment Schedule:</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204"/>
        </w:trPr>
        <w:tc>
          <w:tcPr>
            <w:tcW w:w="13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No</w:t>
            </w:r>
          </w:p>
        </w:tc>
        <w:tc>
          <w:tcPr>
            <w:tcW w:w="2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Repayment date</w:t>
            </w:r>
          </w:p>
        </w:tc>
        <w:tc>
          <w:tcPr>
            <w:tcW w:w="2960" w:type="dxa"/>
            <w:vAlign w:val="bottom"/>
            <w:tcBorders>
              <w:top w:val="single" w:sz="8" w:color="auto"/>
              <w:bottom w:val="single" w:sz="8" w:color="auto"/>
              <w:right w:val="single" w:sz="8" w:color="auto"/>
            </w:tcBorders>
          </w:tcPr>
          <w:p>
            <w:pPr>
              <w:spacing w:after="0"/>
              <w:rPr>
                <w:sz w:val="17"/>
                <w:szCs w:val="17"/>
                <w:color w:val="auto"/>
              </w:rPr>
            </w:pPr>
          </w:p>
        </w:tc>
        <w:tc>
          <w:tcPr>
            <w:tcW w:w="42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Repayment amount</w:t>
            </w:r>
          </w:p>
        </w:tc>
      </w:tr>
      <w:tr>
        <w:trPr>
          <w:trHeight w:val="184"/>
        </w:trPr>
        <w:tc>
          <w:tcPr>
            <w:tcW w:w="13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w:t>
            </w:r>
          </w:p>
        </w:tc>
        <w:tc>
          <w:tcPr>
            <w:tcW w:w="2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August 18, 2025</w:t>
            </w:r>
          </w:p>
        </w:tc>
        <w:tc>
          <w:tcPr>
            <w:tcW w:w="2960" w:type="dxa"/>
            <w:vAlign w:val="bottom"/>
            <w:tcBorders>
              <w:bottom w:val="single" w:sz="8" w:color="auto"/>
              <w:right w:val="single" w:sz="8" w:color="auto"/>
            </w:tcBorders>
          </w:tcPr>
          <w:p>
            <w:pPr>
              <w:spacing w:after="0"/>
              <w:rPr>
                <w:sz w:val="16"/>
                <w:szCs w:val="16"/>
                <w:color w:val="auto"/>
              </w:rPr>
            </w:pPr>
          </w:p>
        </w:tc>
        <w:tc>
          <w:tcPr>
            <w:tcW w:w="42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RMB:15,000,000.00</w:t>
            </w:r>
          </w:p>
        </w:tc>
      </w:tr>
      <w:tr>
        <w:trPr>
          <w:trHeight w:val="573"/>
        </w:trPr>
        <w:tc>
          <w:tcPr>
            <w:tcW w:w="1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220"/>
              <w:spacing w:after="0"/>
              <w:rPr>
                <w:sz w:val="20"/>
                <w:szCs w:val="20"/>
                <w:color w:val="auto"/>
              </w:rPr>
            </w:pPr>
            <w:r>
              <w:rPr>
                <w:rFonts w:ascii="Times New Roman" w:cs="Times New Roman" w:eastAsia="Times New Roman" w:hAnsi="Times New Roman"/>
                <w:sz w:val="16"/>
                <w:szCs w:val="16"/>
                <w:color w:val="auto"/>
              </w:rPr>
              <w:t>11</w:t>
            </w: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821" w:right="319" w:bottom="1440" w:gutter="0" w:footer="0" w:header="0"/>
        </w:sectPr>
      </w:pPr>
    </w:p>
    <w:bookmarkStart w:id="559" w:name="page560"/>
    <w:bookmarkEnd w:id="559"/>
    <w:p>
      <w:pPr>
        <w:ind w:left="4"/>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2</w:t>
      </w: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p>
      <w:pPr>
        <w:spacing w:after="0" w:line="202"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3.Party A shall transfer no less than the amount of principal and interest to the account opened by party A with party B (account number: [8110201012301487493]) before the end of business on the repayment date. This account shall serve as the repayment account of party A, and party A hereby authorizes party B to automatically deduct the loan principal and interest from this account.</w:t>
      </w:r>
    </w:p>
    <w:p>
      <w:pPr>
        <w:spacing w:after="0" w:line="156" w:lineRule="exact"/>
        <w:rPr>
          <w:sz w:val="20"/>
          <w:szCs w:val="20"/>
          <w:color w:val="auto"/>
        </w:rPr>
      </w:pPr>
    </w:p>
    <w:p>
      <w:pPr>
        <w:ind w:left="4" w:right="20" w:hanging="4"/>
        <w:spacing w:after="0" w:line="283" w:lineRule="auto"/>
        <w:tabs>
          <w:tab w:leader="none" w:pos="170" w:val="left"/>
        </w:tabs>
        <w:numPr>
          <w:ilvl w:val="0"/>
          <w:numId w:val="6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in this contract, if the amount repaid or paid by Party A is insufficient to repay or pay the total amount of the amount to be repaid or paid for that period, the repayment shall be processed in the following order:</w:t>
      </w:r>
    </w:p>
    <w:p>
      <w:pPr>
        <w:spacing w:after="0" w:line="143" w:lineRule="exact"/>
        <w:rPr>
          <w:sz w:val="20"/>
          <w:szCs w:val="20"/>
          <w:color w:val="auto"/>
        </w:rPr>
      </w:pPr>
    </w:p>
    <w:p>
      <w:pPr>
        <w:ind w:left="224" w:hanging="224"/>
        <w:spacing w:after="0"/>
        <w:tabs>
          <w:tab w:leader="none" w:pos="224" w:val="left"/>
        </w:tabs>
        <w:numPr>
          <w:ilvl w:val="0"/>
          <w:numId w:val="6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all payable fees, liquidated damages, compensation, etc. incurred in accordance with the provisions of this contract and relevant laws and regulations;</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penalty interest and compound interest payable;</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payable interest (including unpaid interest from third parties who have committed to paying interest);</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the payable principal.</w:t>
      </w:r>
    </w:p>
    <w:p>
      <w:pPr>
        <w:spacing w:after="0" w:line="199" w:lineRule="exact"/>
        <w:rPr>
          <w:sz w:val="20"/>
          <w:szCs w:val="20"/>
          <w:color w:val="auto"/>
        </w:rPr>
      </w:pPr>
    </w:p>
    <w:p>
      <w:pPr>
        <w:ind w:left="4" w:right="500"/>
        <w:spacing w:after="0" w:line="285" w:lineRule="auto"/>
        <w:rPr>
          <w:sz w:val="20"/>
          <w:szCs w:val="20"/>
          <w:color w:val="auto"/>
        </w:rPr>
      </w:pPr>
      <w:r>
        <w:rPr>
          <w:rFonts w:ascii="Times New Roman" w:cs="Times New Roman" w:eastAsia="Times New Roman" w:hAnsi="Times New Roman"/>
          <w:sz w:val="16"/>
          <w:szCs w:val="16"/>
          <w:b w:val="1"/>
          <w:bCs w:val="1"/>
          <w:color w:val="auto"/>
        </w:rPr>
        <w:t>If the amount repaid or paid by Party A is insufficient to repay or pay the entire amount in the same order, it shall be settled in the order in which the amount occurred.</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5. Voluntary early repayment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Voluntary early repayment shall be executed according to the following method [1]:</w:t>
      </w:r>
    </w:p>
    <w:p>
      <w:pPr>
        <w:spacing w:after="0" w:line="201" w:lineRule="exact"/>
        <w:rPr>
          <w:sz w:val="20"/>
          <w:szCs w:val="20"/>
          <w:color w:val="auto"/>
        </w:rPr>
      </w:pPr>
    </w:p>
    <w:p>
      <w:pPr>
        <w:ind w:left="4" w:right="20" w:hanging="4"/>
        <w:spacing w:after="0" w:line="283" w:lineRule="auto"/>
        <w:tabs>
          <w:tab w:leader="none" w:pos="188" w:val="left"/>
        </w:tabs>
        <w:numPr>
          <w:ilvl w:val="0"/>
          <w:numId w:val="66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may self repay all or part of the loan principal under this contract through electronic channels such as party B’s online banking at any time according to its own business needs, without any limit on the number of times.</w:t>
      </w:r>
    </w:p>
    <w:p>
      <w:pPr>
        <w:spacing w:after="0" w:line="143" w:lineRule="exact"/>
        <w:rPr>
          <w:sz w:val="20"/>
          <w:szCs w:val="20"/>
          <w:color w:val="auto"/>
        </w:rPr>
      </w:pPr>
    </w:p>
    <w:p>
      <w:pPr>
        <w:ind w:left="184" w:hanging="184"/>
        <w:spacing w:after="0"/>
        <w:tabs>
          <w:tab w:leader="none" w:pos="184" w:val="left"/>
        </w:tabs>
        <w:numPr>
          <w:ilvl w:val="0"/>
          <w:numId w:val="66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Party A can only repay all or part of the loan in advance after meeting all of the following conditions: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Party A has fully paid all due and payable amounts that should have been paid to Party B before the early repayment date;</w:t>
      </w:r>
    </w:p>
    <w:p>
      <w:pPr>
        <w:spacing w:after="0" w:line="201"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B. Party A shall issue a written application for early repayment to Party B at least 20 banking days before the proposed early repayment date and obtain Party B’s written consent;</w:t>
      </w:r>
    </w:p>
    <w:p>
      <w:pPr>
        <w:spacing w:after="0" w:line="143"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C. Except for early repayment of all loans under this contract, the amount of early repayment shall be an integer multiple of RMB [/] million, and the amount of any early repayment shall not be less than RMB [/] million.</w:t>
      </w:r>
    </w:p>
    <w:p>
      <w:pPr>
        <w:spacing w:after="0" w:line="1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interest and other payable fees related to the prepayment amount shall be paid by Party A to Party B at the same time as the prepayment.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E. Unless otherwise agreed in writing by Party B, Party A shall not make more than [/] early repayments during the loan term.</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 Other conditions [/]</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32" w:right="319" w:bottom="1440" w:gutter="0" w:footer="0" w:header="0"/>
        </w:sectPr>
      </w:pPr>
    </w:p>
    <w:bookmarkStart w:id="560" w:name="page561"/>
    <w:bookmarkEnd w:id="560"/>
    <w:p>
      <w:pPr>
        <w:jc w:val="both"/>
        <w:ind w:left="4" w:right="20" w:hanging="4"/>
        <w:spacing w:after="0" w:line="267" w:lineRule="auto"/>
        <w:tabs>
          <w:tab w:leader="none" w:pos="236" w:val="left"/>
        </w:tabs>
        <w:numPr>
          <w:ilvl w:val="0"/>
          <w:numId w:val="6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voluntary early repayment is executed according to the second method mentioned above, the early repayment application is irrevocable. With the written consent of Party B, Party A shall repay the loan under this contract in advance according to the amount and date recorded in the early repayment application. Otherwise, Party B has the right to consider the loan as overdue.</w:t>
      </w:r>
    </w:p>
    <w:p>
      <w:pPr>
        <w:spacing w:after="0" w:line="155"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230" w:val="left"/>
        </w:tabs>
        <w:numPr>
          <w:ilvl w:val="0"/>
          <w:numId w:val="6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loan principal repaid in advance should be repaid in reverse order, that is, the loan principal should be repaid in the reverse order of the repayment plan agreed upon in this contract. The loan interest involved in early repayment shall be calculated based on the actual number of days the loan has been used, and the interest shall be paid along with the principal.</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7 Loan Restructuring</w:t>
      </w:r>
    </w:p>
    <w:p>
      <w:pPr>
        <w:spacing w:after="0" w:line="203"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If Party A is unable to repay the due loan on time, Party A shall submit a written loan restructuring application to Party B at least one month before the current loan maturity date. If Party B agrees to Party A’s application, both parties shall sign a loan restructuring agreement. If Party B disagrees with Party A’s application, Party A shall still repay the due loan in accordance with the provisions of this contract. Otherwise, Party B has the right to treat the loan as overdue.</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8 Loan Guarantee</w:t>
      </w:r>
    </w:p>
    <w:p>
      <w:pPr>
        <w:spacing w:after="0" w:line="203"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1. The loan guarantee under this contract includes the guarantee stipulated in this Article and other related guarantees, subject to the specific terms of the relevant guarantee contracts.</w:t>
      </w:r>
    </w:p>
    <w:p>
      <w:pPr>
        <w:spacing w:after="0" w:line="140" w:lineRule="exact"/>
        <w:rPr>
          <w:sz w:val="20"/>
          <w:szCs w:val="20"/>
          <w:color w:val="auto"/>
        </w:rPr>
      </w:pPr>
    </w:p>
    <w:tbl>
      <w:tblPr>
        <w:tblLayout w:type="fixed"/>
        <w:tblInd w:w="14" w:type="dxa"/>
        <w:tblCellMar>
          <w:top w:w="0" w:type="dxa"/>
          <w:left w:w="0" w:type="dxa"/>
          <w:bottom w:w="0" w:type="dxa"/>
          <w:right w:w="0" w:type="dxa"/>
        </w:tblCellMar>
      </w:tblPr>
      <w:tr>
        <w:trPr>
          <w:trHeight w:val="204"/>
        </w:trPr>
        <w:tc>
          <w:tcPr>
            <w:tcW w:w="38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No</w:t>
            </w:r>
          </w:p>
        </w:tc>
        <w:tc>
          <w:tcPr>
            <w:tcW w:w="37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Contract Number</w:t>
            </w:r>
          </w:p>
        </w:tc>
        <w:tc>
          <w:tcPr>
            <w:tcW w:w="37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Contract name</w:t>
            </w:r>
          </w:p>
        </w:tc>
      </w:tr>
      <w:tr>
        <w:trPr>
          <w:trHeight w:val="205"/>
        </w:trPr>
        <w:tc>
          <w:tcPr>
            <w:tcW w:w="3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w:t>
            </w:r>
          </w:p>
        </w:tc>
        <w:tc>
          <w:tcPr>
            <w:tcW w:w="3720" w:type="dxa"/>
            <w:vAlign w:val="bottom"/>
            <w:tcBorders>
              <w:bottom w:val="single" w:sz="8" w:color="auto"/>
              <w:right w:val="single" w:sz="8" w:color="auto"/>
            </w:tcBorders>
          </w:tcPr>
          <w:p>
            <w:pPr>
              <w:ind w:left="8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tc>
        <w:tc>
          <w:tcPr>
            <w:tcW w:w="3700" w:type="dxa"/>
            <w:vAlign w:val="bottom"/>
            <w:tcBorders>
              <w:bottom w:val="single" w:sz="8" w:color="auto"/>
              <w:right w:val="single" w:sz="8" w:color="auto"/>
            </w:tcBorders>
          </w:tcPr>
          <w:p>
            <w:pPr>
              <w:ind w:left="8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w:t>
            </w:r>
            <w:r>
              <w:rPr>
                <w:rFonts w:ascii="SimSun" w:cs="SimSun" w:eastAsia="SimSun" w:hAnsi="SimSun"/>
                <w:sz w:val="16"/>
                <w:szCs w:val="16"/>
                <w:color w:val="auto"/>
              </w:rPr>
              <w:t>】</w:t>
            </w:r>
          </w:p>
        </w:tc>
      </w:tr>
    </w:tbl>
    <w:p>
      <w:pPr>
        <w:spacing w:after="0" w:line="176"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6"/>
          <w:szCs w:val="16"/>
          <w:color w:val="auto"/>
        </w:rPr>
        <w:t>2. During the loan period, if the aforementioned guarantee methods are altered or if the specific guarantee registration procedures cannot be completed at the time of this contract’s signing, Party A hereby irrevocably commits and agrees: Party A shall ensure the modification of the guarantee methods as mutually agreed upon, urge the changed guarantor to sign relevant guarantee documents, and/or require the guarantor to complete the guarantee registration procedures within three days after meeting the requirements. Failure to do so shall be deemed a breach by Party A, and Party B shall have the right to pursue Party A’s liability for breach of contract and take corresponding remedies in accordance with the terms of this contract.</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9 Declaration and Warranty of Party A</w:t>
      </w:r>
    </w:p>
    <w:p>
      <w:pPr>
        <w:spacing w:after="0" w:line="203" w:lineRule="exact"/>
        <w:rPr>
          <w:sz w:val="20"/>
          <w:szCs w:val="20"/>
          <w:color w:val="auto"/>
        </w:rPr>
      </w:pPr>
    </w:p>
    <w:p>
      <w:pPr>
        <w:jc w:val="both"/>
        <w:ind w:left="4" w:hanging="4"/>
        <w:spacing w:after="0" w:line="261" w:lineRule="auto"/>
        <w:tabs>
          <w:tab w:leader="none" w:pos="168" w:val="left"/>
        </w:tabs>
        <w:numPr>
          <w:ilvl w:val="0"/>
          <w:numId w:val="6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Party A is a Chinese legal entity or unincorporated organization established and validly existing in accordance with the laws of the People’s Republic of China. It has the necessary civil rights and legal capacity to sign and perform this contract, can independently assume civil liability, has independent property and assets, and has the right to conduct business within the scope specified in its business license. Party A and the signatory on behalf of Party A have obtained all necessary and legal internal and external approvals and authorizations to sign this contract. Party A shall ensure that its actual situation is consistent with the registered items.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61" w:name="page562"/>
    <w:bookmarkEnd w:id="561"/>
    <w:p>
      <w:pPr>
        <w:ind w:left="4" w:right="20" w:hanging="4"/>
        <w:spacing w:after="0" w:line="283" w:lineRule="auto"/>
        <w:tabs>
          <w:tab w:leader="none" w:pos="156" w:val="left"/>
        </w:tabs>
        <w:numPr>
          <w:ilvl w:val="0"/>
          <w:numId w:val="6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documents and statements related to this loan provided by Party A in accordance with the law and as requested by Party B (including but not limited to trade background contracts and other proof of fund use materials provided by Party A) are valid, legal, true, accurate, and complete.</w:t>
      </w:r>
    </w:p>
    <w:p>
      <w:pPr>
        <w:spacing w:after="0" w:line="143"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80" w:val="left"/>
        </w:tabs>
        <w:numPr>
          <w:ilvl w:val="0"/>
          <w:numId w:val="6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signing and performance of this contract by Party A shall not violate the provisions of laws, regulations, or other legally binding documents, shall not violate the provisions of Party A’s articles of association, and shall not violate the provisions of contracts, agreements, and other documents signed with third parties. The representative of Party A who signs this contract and related documents has lawfully obtained the necessary authorization in accordance with legal regulations and internal rules of Party A, and has the right to sign the above-mentioned contract or documents.</w:t>
      </w:r>
    </w:p>
    <w:p>
      <w:pPr>
        <w:spacing w:after="0" w:line="161" w:lineRule="exact"/>
        <w:rPr>
          <w:rFonts w:ascii="Times New Roman" w:cs="Times New Roman" w:eastAsia="Times New Roman" w:hAnsi="Times New Roman"/>
          <w:sz w:val="16"/>
          <w:szCs w:val="16"/>
          <w:color w:val="auto"/>
        </w:rPr>
      </w:pPr>
    </w:p>
    <w:p>
      <w:pPr>
        <w:jc w:val="both"/>
        <w:ind w:left="4" w:hanging="4"/>
        <w:spacing w:after="0" w:line="257" w:lineRule="auto"/>
        <w:tabs>
          <w:tab w:leader="none" w:pos="174" w:val="left"/>
        </w:tabs>
        <w:numPr>
          <w:ilvl w:val="0"/>
          <w:numId w:val="6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guarantees agreed upon in this contract or with the written consent of Party B, Party A and the guarantor have not established any other guarantees on the guaranteed assets provided under this contract. There are no other forms of third-party rights on the assets that may harm the interests of Party B (including but not limited to establishing residential or leasing rights on the mortgaged property, providing pledges, mortgages, or other guarantees to any third party), nor are there any disputes or ownership defects, such as being sealed, seized, frozen, or subject to other compulsory measures; Party A has no outstanding non-performing loans, outstanding advances, or outstanding interest records in the People’s Bank of China credit system. The actual controller of party A and its guarantor have no overdue loans in the current People’s Bank of China credit system.</w:t>
      </w:r>
    </w:p>
    <w:p>
      <w:pPr>
        <w:spacing w:after="0" w:line="164" w:lineRule="exact"/>
        <w:rPr>
          <w:rFonts w:ascii="Times New Roman" w:cs="Times New Roman" w:eastAsia="Times New Roman" w:hAnsi="Times New Roman"/>
          <w:sz w:val="16"/>
          <w:szCs w:val="16"/>
          <w:color w:val="auto"/>
        </w:rPr>
      </w:pPr>
    </w:p>
    <w:p>
      <w:pPr>
        <w:ind w:left="4" w:right="20" w:hanging="4"/>
        <w:spacing w:after="0" w:line="283" w:lineRule="auto"/>
        <w:tabs>
          <w:tab w:leader="none" w:pos="176" w:val="left"/>
        </w:tabs>
        <w:numPr>
          <w:ilvl w:val="0"/>
          <w:numId w:val="6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breach of contract and litigation, arbitration, and administrative penalty procedures that have been disclosed to Party B and approved by Party B, Party A does not have any other breach events or potential breach events, nor does it have any other ongoing or potential litigation, arbitration, or administrative penalty procedures.</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173" w:val="left"/>
        </w:tabs>
        <w:numPr>
          <w:ilvl w:val="0"/>
          <w:numId w:val="6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to strictly use the funds in accordance with the loan purpose stipulated in the contract, and shall not make short-term loans for long-term use. Party A guarantees not to invest the loan funds in securities, real estate, futures markets, equity investments, or engage in any form of transfer or purchase of other financial products for arbitrage. Party A shall not use the loan funds in areas prohibited by policies such as illegal fundraising. Party A guarantees not to use the loan funds for shareholder dividends, financial assets, fixed assets, equity investments, or for areas and purposes prohibited by the state for production and operation, and shall not misappropriate the loan.</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62" w:name="page563"/>
    <w:bookmarkEnd w:id="562"/>
    <w:p>
      <w:pPr>
        <w:ind w:left="164" w:hanging="164"/>
        <w:spacing w:after="0"/>
        <w:tabs>
          <w:tab w:leader="none" w:pos="164" w:val="left"/>
        </w:tabs>
        <w:numPr>
          <w:ilvl w:val="0"/>
          <w:numId w:val="6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guarantees that the source of funds used to repay party B’s loan is legal and compliant.</w:t>
      </w:r>
    </w:p>
    <w:p>
      <w:pPr>
        <w:spacing w:after="0" w:line="200"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169" w:val="left"/>
        </w:tabs>
        <w:numPr>
          <w:ilvl w:val="0"/>
          <w:numId w:val="6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comply with the anti money laundering laws and regulations of the People’s Republic of China and shall not participate in illegal and criminal activities such as money laundering, terrorist financing, and proliferation financing; Proactively cooperate with Party B’s customer identification and due diligence, provide truthful, accurate, and complete customer information, and comply with Party B’s anti money laundering and counter-terrorism financing related management regulations. For customers who have reasonable grounds to suspect suspected money laundering or terrorist financing, Party B will take necessary control measures in accordance with the anti money laundering regulations of the People’s Bank of China.</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176" w:val="left"/>
        </w:tabs>
        <w:numPr>
          <w:ilvl w:val="0"/>
          <w:numId w:val="6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online banking username, login password, digital certificate, etc. of Party A and Party A’s authorized online banking operator are security tools used by Party A to confirm identity when conducting business on Party B’s online banking platform. Party A shall properly keep the above-mentioned identity confirmation security tools. All operations conducted using the online banking username, login password, digital certificate, and other security tools of Party A and authorized online banking operators shall be deemed as the actions of Party A. Any electronic information records generated as a result shall serve as valid evidence of Party A’s operations, and Party A shall be responsible for any consequences arising therefrom.</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10 Party A’s Commitment</w:t>
      </w:r>
    </w:p>
    <w:p>
      <w:pPr>
        <w:spacing w:after="0" w:line="203" w:lineRule="exact"/>
        <w:rPr>
          <w:sz w:val="20"/>
          <w:szCs w:val="20"/>
          <w:color w:val="auto"/>
        </w:rPr>
      </w:pPr>
    </w:p>
    <w:p>
      <w:pPr>
        <w:ind w:left="164" w:hanging="164"/>
        <w:spacing w:after="0"/>
        <w:tabs>
          <w:tab w:leader="none" w:pos="164" w:val="left"/>
        </w:tabs>
        <w:numPr>
          <w:ilvl w:val="0"/>
          <w:numId w:val="6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regularly or at any time provide party B with reports and other documents that truthfully reflect its business and financial situation as requested by party B.</w:t>
      </w:r>
    </w:p>
    <w:p>
      <w:pPr>
        <w:spacing w:after="0" w:line="24" w:lineRule="exact"/>
        <w:rPr>
          <w:rFonts w:ascii="Times New Roman" w:cs="Times New Roman" w:eastAsia="Times New Roman" w:hAnsi="Times New Roman"/>
          <w:sz w:val="16"/>
          <w:szCs w:val="16"/>
          <w:color w:val="auto"/>
        </w:rPr>
      </w:pPr>
    </w:p>
    <w:p>
      <w:pPr>
        <w:ind w:left="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Party A promises that the above materials provided are legal, valid, true, and complete.</w:t>
      </w:r>
    </w:p>
    <w:p>
      <w:pPr>
        <w:spacing w:after="0" w:line="184" w:lineRule="exact"/>
        <w:rPr>
          <w:rFonts w:ascii="Times New Roman" w:cs="Times New Roman" w:eastAsia="Times New Roman" w:hAnsi="Times New Roman"/>
          <w:sz w:val="16"/>
          <w:szCs w:val="16"/>
          <w:color w:val="auto"/>
        </w:rPr>
      </w:pPr>
    </w:p>
    <w:p>
      <w:pPr>
        <w:jc w:val="both"/>
        <w:ind w:left="4" w:right="20" w:hanging="4"/>
        <w:spacing w:after="0" w:line="257" w:lineRule="auto"/>
        <w:tabs>
          <w:tab w:leader="none" w:pos="175" w:val="left"/>
        </w:tabs>
        <w:numPr>
          <w:ilvl w:val="0"/>
          <w:numId w:val="6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loan period, any changes in the business decisions of Party A, including but not limited to equity transfer, restructuring, large-scale financing, acquisition and restructuring, asset or debt restructuring, asset disposal, merger, consolidation, division, shareholding reform, bankruptcy liquidation, joint venture, cooperation, joint venture, contracting, leasing, external investment, external guarantee, reaching agreements or arrangements with anyone to share its income or profits, providing any form of funding or financial support to anyone, substantially increasing debt financing, changes in business scope and registered capital, changes in company articles of association, etc. that may affect Party A’s debt repayment ability, shall notify Party B in writing at least thirty working days in advance and obtain Party B’s prior written consent to implement the repayment responsibility of the loan or repay the loan in advance or provide guarantees recognized by Party B.</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63" w:name="page564"/>
    <w:bookmarkEnd w:id="563"/>
    <w:p>
      <w:pPr>
        <w:ind w:left="164" w:hanging="164"/>
        <w:spacing w:after="0"/>
        <w:tabs>
          <w:tab w:leader="none" w:pos="164" w:val="left"/>
        </w:tabs>
        <w:numPr>
          <w:ilvl w:val="0"/>
          <w:numId w:val="6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promises that party B has the right to recover the loan in advance based on the return of funds from party A.</w:t>
      </w:r>
    </w:p>
    <w:p>
      <w:pPr>
        <w:spacing w:after="0" w:line="200"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73" w:val="left"/>
        </w:tabs>
        <w:numPr>
          <w:ilvl w:val="0"/>
          <w:numId w:val="6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actively cooperate with party B in its business situation, loan payment management, and post loan management, including investigating, understanding, and supervising the basic situation of the enterprise, loan usage, business management matters, financial operation status, settlement transactions, and related party transactions through on-site or off-site inspections. All expenses incurred by party B due to the non cooperation of party A shall be borne by party A.</w:t>
      </w:r>
    </w:p>
    <w:p>
      <w:pPr>
        <w:spacing w:after="0" w:line="155"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prior written consent of Party B, Party A shall not transfer or indirectly transfer the debts under this contract in any way.</w:t>
      </w:r>
    </w:p>
    <w:p>
      <w:pPr>
        <w:spacing w:after="0" w:line="200" w:lineRule="exact"/>
        <w:rPr>
          <w:rFonts w:ascii="Times New Roman" w:cs="Times New Roman" w:eastAsia="Times New Roman" w:hAnsi="Times New Roman"/>
          <w:sz w:val="16"/>
          <w:szCs w:val="16"/>
          <w:color w:val="auto"/>
        </w:rPr>
      </w:pPr>
    </w:p>
    <w:p>
      <w:pPr>
        <w:ind w:left="4" w:right="20" w:hanging="4"/>
        <w:spacing w:after="0" w:line="283" w:lineRule="auto"/>
        <w:tabs>
          <w:tab w:leader="none" w:pos="172" w:val="left"/>
        </w:tabs>
        <w:numPr>
          <w:ilvl w:val="0"/>
          <w:numId w:val="6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transfers, leases, or disposes of all or part of its assets or operating income by setting up guarantees for debts other than those under this contract, Party A shall notify Party B in writing at least thirty working days in advance and obtain Party B’s prior written consent.</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following events occur, Party A shall notify Party B in writing and submit relevant materials within three days from the date of occurrence or possible occurrence:</w:t>
      </w:r>
    </w:p>
    <w:p>
      <w:pPr>
        <w:spacing w:after="0" w:line="201" w:lineRule="exact"/>
        <w:rPr>
          <w:sz w:val="20"/>
          <w:szCs w:val="20"/>
          <w:color w:val="auto"/>
        </w:rPr>
      </w:pPr>
    </w:p>
    <w:p>
      <w:pPr>
        <w:ind w:left="224" w:hanging="224"/>
        <w:spacing w:after="0"/>
        <w:tabs>
          <w:tab w:leader="none" w:pos="224" w:val="left"/>
        </w:tabs>
        <w:numPr>
          <w:ilvl w:val="0"/>
          <w:numId w:val="6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Force majeure or default events related to loans;</w:t>
      </w:r>
    </w:p>
    <w:p>
      <w:pPr>
        <w:spacing w:after="0" w:line="200"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256" w:val="left"/>
        </w:tabs>
        <w:numPr>
          <w:ilvl w:val="0"/>
          <w:numId w:val="6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party, the actual controller of the first party, and the controlling shareholder of the first party are involved in litigation, arbitration, criminal investigation, administrative penalties, suspension, closure, restructuring, dissolution, bankruptcy application, acceptance of bankruptcy application, declaration of bankruptcy, revocation of business license, revocation, deterioration of financial condition, or assets are lawfully sealed, frozen, seized or supervised;</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236" w:val="left"/>
        </w:tabs>
        <w:numPr>
          <w:ilvl w:val="0"/>
          <w:numId w:val="6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significant changes such as changes in the members of the board of directors and senior management of Party A, inability to perform their duties, suspected of major cases or economic disputes, or administrative penalties imposed by relevant departments;</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239" w:val="left"/>
        </w:tabs>
        <w:numPr>
          <w:ilvl w:val="0"/>
          <w:numId w:val="6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Liability accidents caused by violations of relevant laws, regulations, regulatory provisions, or industry standards related to food safety, production safety, environmental protection, etc. have already or may have adverse effects on the performance of obligations under this contract.</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violation of this contract, relevant business contracts, or the company’s articles of association;</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has an adverse impact on the performance of the obligations under this contract.</w:t>
      </w:r>
    </w:p>
    <w:p>
      <w:pPr>
        <w:spacing w:after="0" w:line="201" w:lineRule="exact"/>
        <w:rPr>
          <w:sz w:val="20"/>
          <w:szCs w:val="20"/>
          <w:color w:val="auto"/>
        </w:rPr>
      </w:pPr>
    </w:p>
    <w:p>
      <w:pPr>
        <w:jc w:val="both"/>
        <w:ind w:left="4" w:hanging="4"/>
        <w:spacing w:after="0" w:line="261" w:lineRule="auto"/>
        <w:tabs>
          <w:tab w:leader="none" w:pos="178" w:val="left"/>
        </w:tabs>
        <w:numPr>
          <w:ilvl w:val="0"/>
          <w:numId w:val="6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guarantor experiences situations including but not limited to suspension of business, cessation of operations, application for bankruptcy, acceptance of bankruptcy applications, declaration of bankruptcy, dissolution, revocation of business license, revocation, and operating losses, and partially or completely loses the corresponding guarantee ability for this loan, or when the value of the collateral, pledged property, or pledge rights used as collateral for the loan under this contract decreases, Party A shall provide new guarantees recognized by Party B.</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5">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64" w:name="page565"/>
    <w:bookmarkEnd w:id="564"/>
    <w:p>
      <w:pPr>
        <w:ind w:left="4" w:hanging="4"/>
        <w:spacing w:after="0" w:line="283" w:lineRule="auto"/>
        <w:tabs>
          <w:tab w:leader="none" w:pos="169" w:val="left"/>
        </w:tabs>
        <w:numPr>
          <w:ilvl w:val="0"/>
          <w:numId w:val="6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loan period, if Party A changes its name, registered address, legal representative/person in charge, etc., Party A shall notify Party B in writing within three days of the change.</w:t>
      </w:r>
    </w:p>
    <w:p>
      <w:pPr>
        <w:spacing w:after="0" w:line="143" w:lineRule="exact"/>
        <w:rPr>
          <w:rFonts w:ascii="Times New Roman" w:cs="Times New Roman" w:eastAsia="Times New Roman" w:hAnsi="Times New Roman"/>
          <w:sz w:val="16"/>
          <w:szCs w:val="16"/>
          <w:color w:val="auto"/>
        </w:rPr>
      </w:pPr>
    </w:p>
    <w:p>
      <w:pPr>
        <w:jc w:val="both"/>
        <w:ind w:left="4" w:hanging="4"/>
        <w:spacing w:after="0" w:line="267" w:lineRule="auto"/>
        <w:tabs>
          <w:tab w:leader="none" w:pos="256" w:val="left"/>
        </w:tabs>
        <w:numPr>
          <w:ilvl w:val="0"/>
          <w:numId w:val="6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promptly report in writing to party B any related transactions that have occurred or are about to occur, accounting for more than 10% (including 10%) of party A’s net assets, including but not limited to the related relationships between the parties to the transaction, the transaction project and nature, the amount or corresponding proportion of the transaction, and pricing policies (including transactions with no amount or only symbolic amounts).</w:t>
      </w:r>
    </w:p>
    <w:p>
      <w:pPr>
        <w:spacing w:after="0" w:line="156" w:lineRule="exact"/>
        <w:rPr>
          <w:sz w:val="20"/>
          <w:szCs w:val="20"/>
          <w:color w:val="auto"/>
        </w:rPr>
      </w:pPr>
    </w:p>
    <w:p>
      <w:pPr>
        <w:jc w:val="both"/>
        <w:ind w:left="4" w:right="20" w:hanging="4"/>
        <w:spacing w:after="0" w:line="267" w:lineRule="auto"/>
        <w:tabs>
          <w:tab w:leader="none" w:pos="262" w:val="left"/>
        </w:tabs>
        <w:numPr>
          <w:ilvl w:val="0"/>
          <w:numId w:val="6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production and operation of Party A and its related behaviors comply with relevant regulations including but not limited to industrial policies, financial and tax policies, market access, environmental assessment, energy conservation and emission reduction, energy consumption and pollution control, resource utilization, land and urban planning, labor safety, etc.</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12. Party A promises to truthfully disclose the marital status of its actual controller (if any).</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11 Rights and Obligations of Both Parties</w:t>
      </w:r>
    </w:p>
    <w:p>
      <w:pPr>
        <w:spacing w:after="0" w:line="203" w:lineRule="exact"/>
        <w:rPr>
          <w:sz w:val="20"/>
          <w:szCs w:val="20"/>
          <w:color w:val="auto"/>
        </w:rPr>
      </w:pPr>
    </w:p>
    <w:p>
      <w:pPr>
        <w:ind w:left="164" w:hanging="164"/>
        <w:spacing w:after="0"/>
        <w:tabs>
          <w:tab w:leader="none" w:pos="164" w:val="left"/>
        </w:tabs>
        <w:numPr>
          <w:ilvl w:val="0"/>
          <w:numId w:val="6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has the right to withdraw and use the loan according to the term and purpose stipulated in this contract.</w:t>
      </w:r>
    </w:p>
    <w:p>
      <w:pPr>
        <w:spacing w:after="0" w:line="200"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repay the loan principal, interest, and fees in accordance with the provisions of this contract.</w:t>
      </w:r>
    </w:p>
    <w:p>
      <w:pPr>
        <w:spacing w:after="0" w:line="200"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171" w:val="left"/>
        </w:tabs>
        <w:numPr>
          <w:ilvl w:val="0"/>
          <w:numId w:val="6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agrees that party B shall provide its credit information to the financial credit information basic database and/or credit reporting agencies approved by the People’s Bank of China, or for the purposes permitted by this contract. Party A authorizes and agrees that party B shall search, download, copy, print, and use its credit information from the financial credit information basic database and/or credit reporting agencies approved by the People’s Bank of China, or relevant unit or department websites for the purpose of this contract, and use it for legal and compliant purposes related to this contract; If Party A fails to repay the principal and interest of the loan as agreed in the contract, any adverse credit consequences arising therefrom shall be borne by Party A.</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4" w:val="left"/>
        </w:tabs>
        <w:numPr>
          <w:ilvl w:val="0"/>
          <w:numId w:val="6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authorizes party B to have the right to query, download, copy, print, and use the transaction information of party A’s account, including but not limited to transaction records and statements, for the purpose of party B’s review and approval, post loan management, or handling necessary notarization procedures, and as data/evidence materials submitted to judicial, arbitration, and regulatory authorities, or for the purposes permitted by this contract.</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65" w:name="page566"/>
    <w:bookmarkEnd w:id="565"/>
    <w:p>
      <w:pPr>
        <w:jc w:val="both"/>
        <w:ind w:left="4" w:right="20" w:hanging="4"/>
        <w:spacing w:after="0" w:line="261" w:lineRule="auto"/>
        <w:tabs>
          <w:tab w:leader="none" w:pos="171" w:val="left"/>
        </w:tabs>
        <w:numPr>
          <w:ilvl w:val="0"/>
          <w:numId w:val="6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acknowledges and agrees that during the term of the loan, party B has the right to transfer the creditor’s rights and corresponding guarantee rights to a third party, and provide the loan contract and loan related information to potential transferee financial institutions within the necessary scope in accordance with the law and regulations, without the need to obtain the consent of party A separately. When Party A provides guarantee on its own, Party A agrees to continue to assume relevant guarantee responsibilities to the creditor after the transfer of the creditor’s rights.</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59" w:lineRule="auto"/>
        <w:tabs>
          <w:tab w:leader="none" w:pos="179" w:val="left"/>
        </w:tabs>
        <w:numPr>
          <w:ilvl w:val="0"/>
          <w:numId w:val="6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agrees that during the term of the loan, party B has the right to act as the initiating institution for credit asset securitization, entrusting the creditor’s rights and corresponding security rights under this contract to a trustee institution to establish a special purpose trust, and providing this loan contract and loan related materials for the trustee institution to issue asset-backed securities. When Party A provides guarantees on its own, Party A agrees to continue to assume relevant guarantee responsibilities for the aforementioned entrusted institution. Party A agrees that if party B publishes the transfer of debt and corresponding security rights through a special purpose trust in the form of a public announcement (newspaper, website, or any other means), it shall be deemed that the notice has been effectively delivered to party A.</w:t>
      </w:r>
    </w:p>
    <w:p>
      <w:pPr>
        <w:spacing w:after="0" w:line="161" w:lineRule="exact"/>
        <w:rPr>
          <w:rFonts w:ascii="Times New Roman" w:cs="Times New Roman" w:eastAsia="Times New Roman" w:hAnsi="Times New Roman"/>
          <w:sz w:val="16"/>
          <w:szCs w:val="16"/>
          <w:color w:val="auto"/>
        </w:rPr>
      </w:pPr>
    </w:p>
    <w:p>
      <w:pPr>
        <w:jc w:val="both"/>
        <w:ind w:left="4" w:hanging="4"/>
        <w:spacing w:after="0" w:line="257" w:lineRule="auto"/>
        <w:tabs>
          <w:tab w:leader="none" w:pos="166" w:val="left"/>
        </w:tabs>
        <w:numPr>
          <w:ilvl w:val="0"/>
          <w:numId w:val="6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where Party A provides guarantees on its own, Party A understands and agrees that if Party B transfers or trusts the creditor’s rights under this contract to a third party, resulting in the need to handle guarantee transfer matters, Party A shall have an unconditional obligation to cooperate and negotiate with Party B and the third party to determine the relevant expenses to be borne. If the guarantee transfer registration has not been processed, Party A promises to waive any defenses it may have as a result. If Party A fails to cooperate with the transfer registration matters in accordance with laws and regulations, registration management department regulations, or as requested by Party B, Party B has the right to demand that Party A bear the liability for breach of contract and demand that Party A bear all expenses (including but not limited to litigation costs, lawyer fees, travel expenses, etc.).</w:t>
      </w:r>
    </w:p>
    <w:p>
      <w:pPr>
        <w:spacing w:after="0" w:line="164"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74" w:val="left"/>
        </w:tabs>
        <w:numPr>
          <w:ilvl w:val="0"/>
          <w:numId w:val="6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inspect, supervise, and understand the operation, loan use, and related transactions of party A at least once every quarter. Party B has the right to adjust the loan amount and loan term under this contract based on macroeconomic conditions, market conditions, the first party’s credit situation, loan usage, changes in credit guarantee conditions, related party transactions, and other situations that the second party deems necessary. Party B also has the right to decide whether to stop issuing the loan under this contract or to stop processing the business under this contract, and this shall not be deemed as a breach of contract by party B. Party A has no objection to this.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66" w:name="page567"/>
    <w:bookmarkEnd w:id="566"/>
    <w:p>
      <w:pPr>
        <w:ind w:left="4" w:hanging="4"/>
        <w:spacing w:after="0" w:line="267" w:lineRule="auto"/>
        <w:tabs>
          <w:tab w:leader="none" w:pos="164" w:val="left"/>
        </w:tabs>
        <w:numPr>
          <w:ilvl w:val="0"/>
          <w:numId w:val="6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request party A to provide relevant documents according to the review needs of loan disbursement. Party B shall keep confidential the information, documents, and information related to party A provided by party A, except for those that should be queried or disclosed in accordance with laws, regulations, and requirements of government departments, or for information sharing in accordance with the provisions of this contract.</w:t>
      </w:r>
    </w:p>
    <w:p>
      <w:pPr>
        <w:spacing w:after="0" w:line="156"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Both parties may reasonably use and share information on each other’s (including shareholders and actual controllers) operations, credit, and other information obtained during business negotiations, signing, and performance with their controlling shareholders or subsidiaries based on actual business needs. However, both parties should urge the corresponding information recipients to fulfill relevant confidentiality obligations.</w:t>
      </w:r>
    </w:p>
    <w:p>
      <w:pPr>
        <w:spacing w:after="0" w:line="156" w:lineRule="exact"/>
        <w:rPr>
          <w:sz w:val="20"/>
          <w:szCs w:val="20"/>
          <w:color w:val="auto"/>
        </w:rPr>
      </w:pPr>
    </w:p>
    <w:p>
      <w:pPr>
        <w:ind w:left="244" w:hanging="244"/>
        <w:spacing w:after="0"/>
        <w:tabs>
          <w:tab w:leader="none" w:pos="244" w:val="left"/>
        </w:tabs>
        <w:numPr>
          <w:ilvl w:val="0"/>
          <w:numId w:val="6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recover part or all of the loan in advance based on the withdrawal of funds from party A.</w:t>
      </w:r>
    </w:p>
    <w:p>
      <w:pPr>
        <w:spacing w:after="0" w:line="200" w:lineRule="exact"/>
        <w:rPr>
          <w:rFonts w:ascii="Times New Roman" w:cs="Times New Roman" w:eastAsia="Times New Roman" w:hAnsi="Times New Roman"/>
          <w:sz w:val="16"/>
          <w:szCs w:val="16"/>
          <w:color w:val="auto"/>
        </w:rPr>
      </w:pPr>
    </w:p>
    <w:p>
      <w:pPr>
        <w:ind w:left="4" w:hanging="4"/>
        <w:spacing w:after="0" w:line="283" w:lineRule="auto"/>
        <w:tabs>
          <w:tab w:leader="none" w:pos="257" w:val="left"/>
        </w:tabs>
        <w:numPr>
          <w:ilvl w:val="0"/>
          <w:numId w:val="6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participate in party A’s large-scale financing, asset sales, mergers, divisions, shareholding reform, bankruptcy liquidation and other activities in accordance with laws and regulations, regulatory requirements and the provisions of this contract.</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12 Account</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Party A shall open the following [1, 2] accounts with party B (multiple choices are allowed):</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The settlement account, account number: [8110201012301487493], is agreed upon by both parties as follows:</w:t>
      </w:r>
    </w:p>
    <w:p>
      <w:pPr>
        <w:spacing w:after="0" w:line="201" w:lineRule="exact"/>
        <w:rPr>
          <w:sz w:val="20"/>
          <w:szCs w:val="20"/>
          <w:color w:val="auto"/>
        </w:rPr>
      </w:pPr>
    </w:p>
    <w:p>
      <w:pPr>
        <w:ind w:left="4" w:hanging="4"/>
        <w:spacing w:after="0" w:line="283" w:lineRule="auto"/>
        <w:tabs>
          <w:tab w:leader="none" w:pos="234" w:val="left"/>
        </w:tabs>
        <w:numPr>
          <w:ilvl w:val="0"/>
          <w:numId w:val="6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disbursement and payment of this loan funds are processed through this account. Party B has the right to manage and control the payment of loan funds in accordance with the contract, and supervise the use of loan funds for the agreed purposes.</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 The fund withdrawal account, account number: [/], is agreed upon by both parties as follows:</w:t>
      </w:r>
    </w:p>
    <w:p>
      <w:pPr>
        <w:spacing w:after="0" w:line="201" w:lineRule="exact"/>
        <w:rPr>
          <w:sz w:val="20"/>
          <w:szCs w:val="20"/>
          <w:color w:val="auto"/>
        </w:rPr>
      </w:pPr>
    </w:p>
    <w:p>
      <w:pPr>
        <w:ind w:left="4" w:right="120" w:hanging="4"/>
        <w:spacing w:after="0" w:line="534" w:lineRule="auto"/>
        <w:tabs>
          <w:tab w:leader="none" w:pos="231" w:val="left"/>
        </w:tabs>
        <w:numPr>
          <w:ilvl w:val="0"/>
          <w:numId w:val="6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shall provide information on the inflow and outflow of funds in the account, and party B has the right to supervise the inflow and outflow of funds in the account. 3. [/] Account, account number: [/], both parties agree as follows regarding this account:[/]</w:t>
      </w:r>
    </w:p>
    <w:p>
      <w:pPr>
        <w:spacing w:after="0" w:line="14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567" w:name="page568"/>
    <w:bookmarkEnd w:id="567"/>
    <w:p>
      <w:pPr>
        <w:ind w:left="4"/>
        <w:spacing w:after="0"/>
        <w:rPr>
          <w:sz w:val="20"/>
          <w:szCs w:val="20"/>
          <w:color w:val="auto"/>
        </w:rPr>
      </w:pPr>
      <w:r>
        <w:rPr>
          <w:rFonts w:ascii="Times New Roman" w:cs="Times New Roman" w:eastAsia="Times New Roman" w:hAnsi="Times New Roman"/>
          <w:sz w:val="16"/>
          <w:szCs w:val="16"/>
          <w:b w:val="1"/>
          <w:bCs w:val="1"/>
          <w:color w:val="auto"/>
        </w:rPr>
        <w:t>Article 13 Liability for Breach of Contract</w:t>
      </w:r>
    </w:p>
    <w:p>
      <w:pPr>
        <w:spacing w:after="0" w:line="203" w:lineRule="exact"/>
        <w:rPr>
          <w:sz w:val="20"/>
          <w:szCs w:val="20"/>
          <w:color w:val="auto"/>
        </w:rPr>
      </w:pPr>
    </w:p>
    <w:p>
      <w:pPr>
        <w:ind w:left="4" w:right="20" w:hanging="4"/>
        <w:spacing w:after="0" w:line="283" w:lineRule="auto"/>
        <w:tabs>
          <w:tab w:leader="none" w:pos="159" w:val="left"/>
        </w:tabs>
        <w:numPr>
          <w:ilvl w:val="0"/>
          <w:numId w:val="6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this contract comes into effect, both Party A and Party B shall fulfill the obligations stipulated in this contract. If either party violates any provisions, commitments or guarantees of this contract, they shall bear corresponding breach of contract responsibilities.</w:t>
      </w:r>
    </w:p>
    <w:p>
      <w:pPr>
        <w:spacing w:after="0" w:line="143"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Event:</w:t>
      </w:r>
    </w:p>
    <w:p>
      <w:pPr>
        <w:spacing w:after="0" w:line="201" w:lineRule="exact"/>
        <w:rPr>
          <w:sz w:val="20"/>
          <w:szCs w:val="20"/>
          <w:color w:val="auto"/>
        </w:rPr>
      </w:pPr>
    </w:p>
    <w:p>
      <w:pPr>
        <w:ind w:left="4" w:right="20" w:hanging="4"/>
        <w:spacing w:after="0" w:line="283" w:lineRule="auto"/>
        <w:tabs>
          <w:tab w:leader="none" w:pos="237"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violates any obligations, statements, guarantees or commitments under this contract, or the certificates and documents related to this loan submitted to the second party, or the statements and guarantees in Article 9 of this contract are proven to be illegal, untrue, inaccurate, incomplete or intentionally misleading;</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fails to make the loan payment in accordance with the method stipulated in Article 5, paragraph 7 of this contract;</w:t>
      </w:r>
    </w:p>
    <w:p>
      <w:pPr>
        <w:spacing w:after="0" w:line="200" w:lineRule="exact"/>
        <w:rPr>
          <w:rFonts w:ascii="Times New Roman" w:cs="Times New Roman" w:eastAsia="Times New Roman" w:hAnsi="Times New Roman"/>
          <w:sz w:val="16"/>
          <w:szCs w:val="16"/>
          <w:color w:val="auto"/>
        </w:rPr>
      </w:pPr>
    </w:p>
    <w:p>
      <w:pPr>
        <w:ind w:left="4" w:hanging="4"/>
        <w:spacing w:after="0" w:line="283" w:lineRule="auto"/>
        <w:tabs>
          <w:tab w:leader="none" w:pos="234"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fails to use the loan for the agreed purpose, changes the purpose of the loan funds without authorization, misappropriates the loan or engages in illegal or irregular transactions using the loan;</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250"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fails to repay the loan principal, interest, and other payable amounts under this contract as agreed, or is unable (including indicating that it cannot) fulfill its obligations under this contract;</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conceals important business and financial facts from Party B or exceeds the following financial indicators;</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uses false contracts with shareholders and other affiliated companies to obtain this loan;</w:t>
      </w:r>
    </w:p>
    <w:p>
      <w:pPr>
        <w:spacing w:after="0" w:line="200"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251"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transfers the property at a low price and free of charge; Acquiring someone else’s property or providing guarantees for someone else’s debt at an obviously unreasonable high price; Reduce or waive third-party debts; Maliciously extending the performance period of third-party debts; Negligence in exercising creditor’s rights or other rights; Any abnormal fluctuation of funds in any account of Party A (including but not limited to the fund withdrawal account); Upon supervision and inspection by Party B, it has been determined that the profitability of Party A’s main business has decreased, which may affect the realization of Party B’s creditor’s rights; Abnormal use of loan funds; Violating the regulatory requirements of Party B for the fund withdrawal account;</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61" w:lineRule="auto"/>
        <w:tabs>
          <w:tab w:leader="none" w:pos="234"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the actual controller of Party A, and the controlling shareholder of Party A are involved in any litigation, arbitration, criminal or administrative penalties that may affect or have already affected or damaged the rights and interests of the second party under this contract, such as suspension of business, application for liquidation, dissolution or reorganization, entering into takeover, trusteeship or similar legal proceedings, applying for bankruptcy, accepting bankruptcy applications, being declared bankrupt, having its business license revoked, being revoked, involving private financing or having adverse consequences on its own business or property status;</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247"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of the domicile, business scope, legal representative, person in charge, executive partner, or changes in the controlling shareholder/actual controller of Party A or external investments that adversely affect or threaten the realization of Party B’s creditor’s rights;</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18" w:right="319" w:bottom="1440" w:gutter="0" w:footer="0" w:header="0"/>
        </w:sectPr>
      </w:pPr>
    </w:p>
    <w:bookmarkStart w:id="568" w:name="page569"/>
    <w:bookmarkEnd w:id="568"/>
    <w:p>
      <w:pPr>
        <w:ind w:left="4" w:right="20" w:hanging="4"/>
        <w:spacing w:after="0" w:line="283" w:lineRule="auto"/>
        <w:tabs>
          <w:tab w:leader="none" w:pos="325" w:val="left"/>
        </w:tabs>
        <w:numPr>
          <w:ilvl w:val="0"/>
          <w:numId w:val="6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experiences financial losses, asset losses, or asset losses due to its external guarantees, or other financial crises, Party B believes that it may or has already affected or damaged Party B’s rights and interests under this contract;</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310" w:val="left"/>
        </w:tabs>
        <w:numPr>
          <w:ilvl w:val="0"/>
          <w:numId w:val="6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a crisis in the operation or finance of the controlling shareholder and other affiliated companies of Party A, or if there are related transactions between Party A and the controlling shareholder and other affiliated companies that affect the normal operation of Party A, or if Party A’s realization of Party B’s creditor’s rights is adversely affected or threatened through related transactions with shareholders and other affiliated companies;</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330" w:val="left"/>
        </w:tabs>
        <w:numPr>
          <w:ilvl w:val="0"/>
          <w:numId w:val="6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industry in which Party A operates undergoes adverse changes that seriously affect or threaten the realization of Party B’s creditor’s rights, the circumstances described in this clause shall not be considered as force majeure events;</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318" w:val="left"/>
        </w:tabs>
        <w:numPr>
          <w:ilvl w:val="0"/>
          <w:numId w:val="6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breaches any other debt documents and fails to correct them upon the expiration of the applicable grace period, resulting in any of the following situations, it shall also constitute a breach of this contract:</w:t>
      </w:r>
    </w:p>
    <w:p>
      <w:pPr>
        <w:spacing w:after="0" w:line="143" w:lineRule="exact"/>
        <w:rPr>
          <w:sz w:val="20"/>
          <w:szCs w:val="20"/>
          <w:color w:val="auto"/>
        </w:rPr>
      </w:pPr>
    </w:p>
    <w:p>
      <w:pPr>
        <w:ind w:left="184" w:hanging="184"/>
        <w:spacing w:after="0"/>
        <w:tabs>
          <w:tab w:leader="none" w:pos="184" w:val="left"/>
        </w:tabs>
        <w:numPr>
          <w:ilvl w:val="0"/>
          <w:numId w:val="68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debt of Party A in other debt documents is declared or may be declared to be accelerated due;</w:t>
      </w:r>
    </w:p>
    <w:p>
      <w:pPr>
        <w:spacing w:after="0" w:line="201" w:lineRule="exact"/>
        <w:rPr>
          <w:sz w:val="20"/>
          <w:szCs w:val="20"/>
          <w:color w:val="auto"/>
        </w:rPr>
      </w:pPr>
    </w:p>
    <w:p>
      <w:pPr>
        <w:ind w:left="184" w:hanging="184"/>
        <w:spacing w:after="0"/>
        <w:tabs>
          <w:tab w:leader="none" w:pos="184" w:val="left"/>
        </w:tabs>
        <w:numPr>
          <w:ilvl w:val="0"/>
          <w:numId w:val="68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debts of Party A under other debt documents, although not declared or subject to accelerated maturity, have defaulted on payment.</w:t>
      </w:r>
    </w:p>
    <w:p>
      <w:pPr>
        <w:spacing w:after="0" w:line="201"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Other debt documents include loan contracts and guarantee documents signed between Party A and creditors (including Party B and other third parties outside Party B), as well as bond project documents issued by Party A publicly or privately.</w:t>
      </w:r>
    </w:p>
    <w:p>
      <w:pPr>
        <w:spacing w:after="0" w:line="143" w:lineRule="exact"/>
        <w:rPr>
          <w:sz w:val="20"/>
          <w:szCs w:val="20"/>
          <w:color w:val="auto"/>
        </w:rPr>
      </w:pPr>
    </w:p>
    <w:p>
      <w:pPr>
        <w:ind w:left="304" w:hanging="304"/>
        <w:spacing w:after="0"/>
        <w:tabs>
          <w:tab w:leader="none" w:pos="304" w:val="left"/>
        </w:tabs>
        <w:numPr>
          <w:ilvl w:val="0"/>
          <w:numId w:val="6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refuses to accept the party B’s supervision and inspection of its loan usage and related business and financial activities;</w:t>
      </w:r>
    </w:p>
    <w:p>
      <w:pPr>
        <w:spacing w:after="0" w:line="200" w:lineRule="exact"/>
        <w:rPr>
          <w:rFonts w:ascii="Times New Roman" w:cs="Times New Roman" w:eastAsia="Times New Roman" w:hAnsi="Times New Roman"/>
          <w:sz w:val="16"/>
          <w:szCs w:val="16"/>
          <w:color w:val="auto"/>
        </w:rPr>
      </w:pPr>
    </w:p>
    <w:p>
      <w:pPr>
        <w:jc w:val="both"/>
        <w:ind w:left="4" w:hanging="4"/>
        <w:spacing w:after="0" w:line="267" w:lineRule="auto"/>
        <w:tabs>
          <w:tab w:leader="none" w:pos="328" w:val="left"/>
        </w:tabs>
        <w:numPr>
          <w:ilvl w:val="0"/>
          <w:numId w:val="6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legal representatives, responsible persons, senior management personnel, and actual controllers of Party A are missing and unable to be contacted; Suspected of corruption, bribery, fraud, illegal business operations, or other criminal offenses; Involving illegal fundraising, etc., Party B believes that it may or has already affected or damaged Party B’s rights and interests under this contract;</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315" w:val="left"/>
        </w:tabs>
        <w:numPr>
          <w:ilvl w:val="0"/>
          <w:numId w:val="6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guarantor of Party A violates the provisions of the guarantee contract or commits a breach of contract under the guarantee contract, or the guarantor (natural person) or the actual controller of the guarantor disappears or cannot be contacted;</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318" w:val="left"/>
        </w:tabs>
        <w:numPr>
          <w:ilvl w:val="0"/>
          <w:numId w:val="6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collateral or pledge under this contract is sealed, seized, reported lost, suspended from payment, or subjected to other compulsory measures, there is a dispute over ownership, or is or may be infringed by any third party, or its safety or integrity is or may be adversely affected;</w:t>
      </w:r>
    </w:p>
    <w:p>
      <w:pPr>
        <w:spacing w:after="0" w:line="143" w:lineRule="exact"/>
        <w:rPr>
          <w:rFonts w:ascii="Times New Roman" w:cs="Times New Roman" w:eastAsia="Times New Roman" w:hAnsi="Times New Roman"/>
          <w:sz w:val="16"/>
          <w:szCs w:val="16"/>
          <w:color w:val="auto"/>
        </w:rPr>
      </w:pPr>
    </w:p>
    <w:p>
      <w:pPr>
        <w:ind w:left="4" w:hanging="4"/>
        <w:spacing w:after="0" w:line="283" w:lineRule="auto"/>
        <w:tabs>
          <w:tab w:leader="none" w:pos="327" w:val="left"/>
        </w:tabs>
        <w:numPr>
          <w:ilvl w:val="0"/>
          <w:numId w:val="6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causes liability accidents due to violations of relevant laws, regulations, regulatory provisions, or industry standards related to food safety, safety production, environmental protection, etc;</w:t>
      </w:r>
    </w:p>
    <w:p>
      <w:pPr>
        <w:spacing w:after="0" w:line="143" w:lineRule="exact"/>
        <w:rPr>
          <w:rFonts w:ascii="Times New Roman" w:cs="Times New Roman" w:eastAsia="Times New Roman" w:hAnsi="Times New Roman"/>
          <w:sz w:val="16"/>
          <w:szCs w:val="16"/>
          <w:color w:val="auto"/>
        </w:rPr>
      </w:pPr>
    </w:p>
    <w:p>
      <w:pPr>
        <w:ind w:left="304" w:hanging="304"/>
        <w:spacing w:after="0"/>
        <w:tabs>
          <w:tab w:leader="none" w:pos="304" w:val="left"/>
        </w:tabs>
        <w:numPr>
          <w:ilvl w:val="0"/>
          <w:numId w:val="6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transfers the loan funds or purchases other financial products for arbitrage purposes;</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5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569" w:name="page570"/>
    <w:bookmarkEnd w:id="569"/>
    <w:p>
      <w:pPr>
        <w:ind w:left="4" w:right="20" w:hanging="4"/>
        <w:spacing w:after="0" w:line="283" w:lineRule="auto"/>
        <w:tabs>
          <w:tab w:leader="none" w:pos="317" w:val="left"/>
        </w:tabs>
        <w:numPr>
          <w:ilvl w:val="0"/>
          <w:numId w:val="6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other events that endanger, damage or may endanger or damage the rights and interests of party B by party A, or the failure of party A to fulfill other provisions of this contract;</w:t>
      </w:r>
    </w:p>
    <w:p>
      <w:pPr>
        <w:spacing w:after="0" w:line="143" w:lineRule="exact"/>
        <w:rPr>
          <w:rFonts w:ascii="Times New Roman" w:cs="Times New Roman" w:eastAsia="Times New Roman" w:hAnsi="Times New Roman"/>
          <w:sz w:val="16"/>
          <w:szCs w:val="16"/>
          <w:color w:val="auto"/>
        </w:rPr>
      </w:pPr>
    </w:p>
    <w:p>
      <w:pPr>
        <w:ind w:left="304" w:hanging="304"/>
        <w:spacing w:after="0"/>
        <w:tabs>
          <w:tab w:leader="none" w:pos="304" w:val="left"/>
        </w:tabs>
        <w:numPr>
          <w:ilvl w:val="0"/>
          <w:numId w:val="6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 If the above-mentioned breach of contract occurs, Party B has the right to take the following remedial measures:</w:t>
      </w:r>
    </w:p>
    <w:p>
      <w:pPr>
        <w:spacing w:after="0" w:line="201" w:lineRule="exact"/>
        <w:rPr>
          <w:sz w:val="20"/>
          <w:szCs w:val="20"/>
          <w:color w:val="auto"/>
        </w:rPr>
      </w:pPr>
    </w:p>
    <w:p>
      <w:pPr>
        <w:jc w:val="both"/>
        <w:ind w:left="4" w:hanging="4"/>
        <w:spacing w:after="0" w:line="267" w:lineRule="auto"/>
        <w:tabs>
          <w:tab w:leader="none" w:pos="236"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consent of Party A, Party A shall unilaterally stop, suspend or terminate the disbursement of any funds under this contract that Party A has not yet withdrawn (including loans that Party A has already submitted withdrawal applications but have not actually withdrawn), adjust the loan payment method, adjust the loan interest rate, collect penalty interest, reduce the credit limit, and provide additional guarantees;</w:t>
      </w:r>
    </w:p>
    <w:p>
      <w:pPr>
        <w:spacing w:after="0" w:line="155" w:lineRule="exact"/>
        <w:rPr>
          <w:rFonts w:ascii="Times New Roman" w:cs="Times New Roman" w:eastAsia="Times New Roman" w:hAnsi="Times New Roman"/>
          <w:sz w:val="16"/>
          <w:szCs w:val="16"/>
          <w:color w:val="auto"/>
        </w:rPr>
      </w:pPr>
    </w:p>
    <w:p>
      <w:pPr>
        <w:ind w:left="4" w:right="20" w:hanging="4"/>
        <w:spacing w:after="0" w:line="283" w:lineRule="auto"/>
        <w:tabs>
          <w:tab w:leader="none" w:pos="237"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the consent of Party A, it is not necessary to unilaterally declare that the loan under this contract is immediately due and require Party A to repay it immediately. The date on which Party B requests Party A to repay the aforementioned amount shall be the date on which the debt under this contract is due in advance;</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execute the mortgage, pledge or other guarantee under this contract and the guarantee documents;</w:t>
      </w:r>
    </w:p>
    <w:p>
      <w:pPr>
        <w:spacing w:after="0" w:line="200"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245"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freeze any account opened by party A at any business institution of CITIC Bank Co., Ltd. (hereinafter referred to as “CITIC Bank”), and may directly deduct funds from party A’s account to offset party A’s debts under this contract without obtaining the consent of party A separately; If the deducted amount is in foreign exchange and it is necessary to handle the procedures of foreign exchange settlement and sale or foreign exchange buying and selling, Party A has the obligation to assist Party B in handling it, and the exchange rate risk shall be borne by Party A;</w:t>
      </w:r>
    </w:p>
    <w:p>
      <w:pPr>
        <w:spacing w:after="0" w:line="161"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the right to request party A to rectify or lower the loan risk classification within a limited time;</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6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any other rights and remedies available under laws, regulations, and other provisions.</w:t>
      </w:r>
    </w:p>
    <w:p>
      <w:pPr>
        <w:spacing w:after="0" w:line="201" w:lineRule="exact"/>
        <w:rPr>
          <w:sz w:val="20"/>
          <w:szCs w:val="20"/>
          <w:color w:val="auto"/>
        </w:rPr>
      </w:pPr>
    </w:p>
    <w:p>
      <w:pPr>
        <w:jc w:val="both"/>
        <w:ind w:left="4" w:hanging="4"/>
        <w:spacing w:after="0" w:line="198" w:lineRule="exact"/>
        <w:tabs>
          <w:tab w:leader="none" w:pos="168" w:val="left"/>
        </w:tabs>
        <w:numPr>
          <w:ilvl w:val="0"/>
          <w:numId w:val="6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fails to repay the principal as stipulated in this contract, Party B shall have the right to exercise the rights stipulated in Article 13, paragraph 3 of this contract. In addition, Party B shall have the right to adopt the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method below to calculate and collect penalty interest. Party A agrees that the calculation of the penalty interest amount shall be based on the calculation result of Party B</w:t>
      </w:r>
    </w:p>
    <w:p>
      <w:pPr>
        <w:spacing w:after="0" w:line="176" w:lineRule="exact"/>
        <w:rPr>
          <w:sz w:val="20"/>
          <w:szCs w:val="20"/>
          <w:color w:val="auto"/>
        </w:rPr>
      </w:pPr>
    </w:p>
    <w:p>
      <w:pPr>
        <w:ind w:left="4" w:right="20" w:hanging="4"/>
        <w:spacing w:after="0" w:line="283" w:lineRule="auto"/>
        <w:tabs>
          <w:tab w:leader="none" w:pos="212" w:val="left"/>
        </w:tabs>
        <w:numPr>
          <w:ilvl w:val="0"/>
          <w:numId w:val="69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According to the actual number of overdue days, penalty interest shall be charged at an annual interest rate of [/] basis points (1 basis point=0.01%) based on the loan interest rate applicable at the time of this contract;</w:t>
      </w:r>
    </w:p>
    <w:p>
      <w:pPr>
        <w:spacing w:after="0" w:line="143" w:lineRule="exact"/>
        <w:rPr>
          <w:sz w:val="20"/>
          <w:szCs w:val="20"/>
          <w:color w:val="auto"/>
        </w:rPr>
      </w:pPr>
    </w:p>
    <w:p>
      <w:pPr>
        <w:jc w:val="center"/>
        <w:ind w:left="5544" w:right="560" w:hanging="5544"/>
        <w:spacing w:after="0" w:line="785" w:lineRule="auto"/>
        <w:tabs>
          <w:tab w:leader="none" w:pos="181" w:val="left"/>
        </w:tabs>
        <w:numPr>
          <w:ilvl w:val="0"/>
          <w:numId w:val="69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Based on the actual number of overdue days, penalty interest will be charged at a rate of [50]% on top of the loan interest rate applicable at the time of this contract.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7147560" cy="1524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1">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70" w:name="page571"/>
    <w:bookmarkEnd w:id="570"/>
    <w:p>
      <w:pPr>
        <w:jc w:val="both"/>
        <w:ind w:left="4" w:right="20" w:hanging="4"/>
        <w:spacing w:after="0" w:line="207" w:lineRule="exact"/>
        <w:tabs>
          <w:tab w:leader="none" w:pos="180" w:val="left"/>
        </w:tabs>
        <w:numPr>
          <w:ilvl w:val="0"/>
          <w:numId w:val="6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A fails to use the loan for the purpose specified in this contract, Party B shall have the right to exercise the rights stipulated in Article 13, paragraph 3 of this contract, and shall have the right to charge penalty interest on the portion used in breach of contract from the date of misappropriation, in accordance with the following method [</w:t>
      </w:r>
      <w:r>
        <w:rPr>
          <w:rFonts w:ascii="MS PGothic" w:cs="MS PGothic" w:eastAsia="MS PGothic" w:hAnsi="MS PGothic"/>
          <w:sz w:val="16"/>
          <w:szCs w:val="16"/>
          <w:color w:val="auto"/>
        </w:rPr>
        <w:t>②</w:t>
      </w:r>
      <w:r>
        <w:rPr>
          <w:rFonts w:ascii="Times New Roman" w:cs="Times New Roman" w:eastAsia="Times New Roman" w:hAnsi="Times New Roman"/>
          <w:sz w:val="16"/>
          <w:szCs w:val="16"/>
          <w:color w:val="auto"/>
        </w:rPr>
        <w:t>]. Party A agrees that the calculation of the penalty interest amount shall be based on Party B’s calculation result:</w:t>
      </w:r>
    </w:p>
    <w:p>
      <w:pPr>
        <w:spacing w:after="0" w:line="151" w:lineRule="exact"/>
        <w:rPr>
          <w:sz w:val="20"/>
          <w:szCs w:val="20"/>
          <w:color w:val="auto"/>
        </w:rPr>
      </w:pPr>
    </w:p>
    <w:p>
      <w:pPr>
        <w:ind w:left="4" w:hanging="4"/>
        <w:spacing w:after="0" w:line="283" w:lineRule="auto"/>
        <w:tabs>
          <w:tab w:leader="none" w:pos="188" w:val="left"/>
        </w:tabs>
        <w:numPr>
          <w:ilvl w:val="0"/>
          <w:numId w:val="69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According to the number of days of default, penalty interest shall be calculated based on the loan interest rate applicable at the time of this contract plus [/] basis points (1 basis point=0.01%) per year;</w:t>
      </w:r>
    </w:p>
    <w:p>
      <w:pPr>
        <w:spacing w:after="0" w:line="143" w:lineRule="exact"/>
        <w:rPr>
          <w:sz w:val="20"/>
          <w:szCs w:val="20"/>
          <w:color w:val="auto"/>
        </w:rPr>
      </w:pPr>
    </w:p>
    <w:p>
      <w:pPr>
        <w:ind w:left="4" w:right="20" w:hanging="4"/>
        <w:spacing w:after="0" w:line="283" w:lineRule="auto"/>
        <w:tabs>
          <w:tab w:leader="none" w:pos="212" w:val="left"/>
        </w:tabs>
        <w:numPr>
          <w:ilvl w:val="0"/>
          <w:numId w:val="69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penalty interest shall be calculated based on the number of days of breach of contract, and shall be charged at a penalty interest rate of [100]% on top of the loan interest rate applicable at the time of this contract.</w:t>
      </w:r>
    </w:p>
    <w:p>
      <w:pPr>
        <w:spacing w:after="0" w:line="143" w:lineRule="exact"/>
        <w:rPr>
          <w:sz w:val="20"/>
          <w:szCs w:val="20"/>
          <w:color w:val="auto"/>
        </w:rPr>
      </w:pPr>
    </w:p>
    <w:p>
      <w:pPr>
        <w:ind w:left="4" w:right="20" w:hanging="4"/>
        <w:spacing w:after="0" w:line="283" w:lineRule="auto"/>
        <w:tabs>
          <w:tab w:leader="none" w:pos="177" w:val="left"/>
        </w:tabs>
        <w:numPr>
          <w:ilvl w:val="0"/>
          <w:numId w:val="6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loans that are both overdue and not used for the purposes specified in the contract, Party B has the right to charge penalty interest at the higher penalty interest rate specified in Article 13, Paragraph 4 and Article 13, Paragraph 5 of this contract.</w:t>
      </w:r>
    </w:p>
    <w:p>
      <w:pPr>
        <w:spacing w:after="0" w:line="143"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83" w:val="left"/>
        </w:tabs>
        <w:numPr>
          <w:ilvl w:val="0"/>
          <w:numId w:val="6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interest (including the interest corresponding to the principal declared fully or partially due by Party B) and penalty interest that Party A fails to pay on time, compound interest shall be charged from the date of overdue until the date of full repayment in accordance with the overdue loan penalty interest rate and the interest settlement method stipulated in this contract; For those who are both overdue and have not used the loan for the purpose specified in this contract, compound interest shall be charged on the heavier of the two, and no penalty shall be imposed.</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172" w:val="left"/>
        </w:tabs>
        <w:numPr>
          <w:ilvl w:val="0"/>
          <w:numId w:val="6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incurred by Party B in realizing its creditor’s rights (including but not limited to litigation fees, arbitration fees, execution fees, insurance premiums, travel expenses, lawyer fees, property preservation fees, notarization and certification fees, translation fees, evaluation and auction fees, etc.) shall be borne by Party A.</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14 Continuity of Obligations</w:t>
      </w:r>
    </w:p>
    <w:p>
      <w:pPr>
        <w:spacing w:after="0" w:line="203"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6"/>
          <w:szCs w:val="16"/>
          <w:color w:val="auto"/>
        </w:rPr>
        <w:t>All obligations of Party A under this contract are continuous and fully binding on its successors, receivers, assignees, and their merged, reorganized, renamed entities. They shall not be affected by any disputes, claims, legal proceedings, instructions from superior units, or any contracts or documents signed between Party A and any natural or legal person, nor shall they be changed due to Party A’s bankruptcy, inability to repay debts, loss of corporate qualifications, changes in organizational articles, or any essential changes.</w:t>
      </w: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2">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71" w:name="page572"/>
    <w:bookmarkEnd w:id="571"/>
    <w:p>
      <w:pPr>
        <w:ind w:left="4"/>
        <w:spacing w:after="0"/>
        <w:rPr>
          <w:sz w:val="20"/>
          <w:szCs w:val="20"/>
          <w:color w:val="auto"/>
        </w:rPr>
      </w:pPr>
      <w:r>
        <w:rPr>
          <w:rFonts w:ascii="Times New Roman" w:cs="Times New Roman" w:eastAsia="Times New Roman" w:hAnsi="Times New Roman"/>
          <w:sz w:val="16"/>
          <w:szCs w:val="16"/>
          <w:b w:val="1"/>
          <w:bCs w:val="1"/>
          <w:color w:val="auto"/>
        </w:rPr>
        <w:t>Article 15 Notarization</w:t>
      </w:r>
    </w:p>
    <w:p>
      <w:pPr>
        <w:spacing w:after="0" w:line="203" w:lineRule="exact"/>
        <w:rPr>
          <w:sz w:val="20"/>
          <w:szCs w:val="20"/>
          <w:color w:val="auto"/>
        </w:rPr>
      </w:pPr>
    </w:p>
    <w:p>
      <w:pPr>
        <w:ind w:left="164" w:hanging="164"/>
        <w:spacing w:after="0"/>
        <w:tabs>
          <w:tab w:leader="none" w:pos="164" w:val="left"/>
        </w:tabs>
        <w:numPr>
          <w:ilvl w:val="0"/>
          <w:numId w:val="6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either party to this contract requests notarization, it shall be notarized at a notary office designated by the state.</w:t>
      </w:r>
    </w:p>
    <w:p>
      <w:pPr>
        <w:spacing w:after="0" w:line="200"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71" w:val="left"/>
        </w:tabs>
        <w:numPr>
          <w:ilvl w:val="0"/>
          <w:numId w:val="6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Party B requests to obtain a notarized certificate with compulsory enforcement effect, Party A agrees that Party B may apply to a notary institution for the issuance of a notarized certificate with compulsory enforcement effect by presenting this contract. The notary fees paid for the compulsory enforcement notarization shall be borne by Party B. If the loan principal and interest of Party B, as well as the relevant expenses that Party A should bear according to law, are not fully repaid within the repayment period stipulated in this contract, Party B may apply for compulsory enforcement to the relevant court in accordance with the law by presenting the notarized certificate.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16 Validity of this Contract</w:t>
      </w:r>
    </w:p>
    <w:p>
      <w:pPr>
        <w:spacing w:after="0" w:line="203"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If any provision or part of a provision of this Agreement becomes invalid now or in the future, such invalid provision or part shall not affect the validity of this Agreement or any other provision or part of this Agreement.</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17 Other Agreed Matters</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 case of any conflict between this provision and other provisions of this contract, this provision shall prevail.</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18 Application of Law and Resolution of Disputes</w:t>
      </w:r>
    </w:p>
    <w:p>
      <w:pPr>
        <w:spacing w:after="0" w:line="203"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This contract shall be governed by the laws of the People’s Republic of China (excluding the laws of Hong Kong Special Administrative Region, Macao Special Administrative Region, and Taiwan for the purpose of this contract).</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19 Dispute Resolution</w:t>
      </w:r>
    </w:p>
    <w:p>
      <w:pPr>
        <w:spacing w:after="0" w:line="203" w:lineRule="exact"/>
        <w:rPr>
          <w:sz w:val="20"/>
          <w:szCs w:val="20"/>
          <w:color w:val="auto"/>
        </w:rPr>
      </w:pPr>
    </w:p>
    <w:p>
      <w:pPr>
        <w:ind w:left="4" w:right="20"/>
        <w:spacing w:after="0" w:line="283" w:lineRule="auto"/>
        <w:rPr>
          <w:sz w:val="20"/>
          <w:szCs w:val="20"/>
          <w:color w:val="auto"/>
        </w:rPr>
      </w:pPr>
      <w:r>
        <w:rPr>
          <w:rFonts w:ascii="Times New Roman" w:cs="Times New Roman" w:eastAsia="Times New Roman" w:hAnsi="Times New Roman"/>
          <w:sz w:val="16"/>
          <w:szCs w:val="16"/>
          <w:color w:val="auto"/>
        </w:rPr>
        <w:t>Any disputes arising from or related to this contract shall be resolved through consultation between Party A and Party B; If the negotiation fails, both parties agree to adopt the second method of resolution as follows:</w:t>
      </w:r>
    </w:p>
    <w:p>
      <w:pPr>
        <w:spacing w:after="0" w:line="143" w:lineRule="exact"/>
        <w:rPr>
          <w:sz w:val="20"/>
          <w:szCs w:val="20"/>
          <w:color w:val="auto"/>
        </w:rPr>
      </w:pPr>
    </w:p>
    <w:p>
      <w:pPr>
        <w:ind w:left="164" w:hanging="164"/>
        <w:spacing w:after="0"/>
        <w:tabs>
          <w:tab w:leader="none" w:pos="164" w:val="left"/>
        </w:tabs>
        <w:numPr>
          <w:ilvl w:val="0"/>
          <w:numId w:val="6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Apply for arbitration to [/], with the place of arbitration being [/], and apply the current effective arbitration rules of the institution at the time of applying for arbitration;</w:t>
      </w:r>
    </w:p>
    <w:p>
      <w:pPr>
        <w:spacing w:after="0" w:line="200" w:lineRule="exact"/>
        <w:rPr>
          <w:rFonts w:ascii="Times New Roman" w:cs="Times New Roman" w:eastAsia="Times New Roman" w:hAnsi="Times New Roman"/>
          <w:sz w:val="16"/>
          <w:szCs w:val="16"/>
          <w:color w:val="auto"/>
        </w:rPr>
      </w:pPr>
    </w:p>
    <w:p>
      <w:pPr>
        <w:ind w:left="164" w:hanging="164"/>
        <w:spacing w:after="0"/>
        <w:tabs>
          <w:tab w:leader="none" w:pos="164" w:val="left"/>
        </w:tabs>
        <w:numPr>
          <w:ilvl w:val="0"/>
          <w:numId w:val="6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Bring a lawsuit to the people’s court with jurisdiction over the domicile of Party B.</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20 Force Majeure Events</w:t>
      </w:r>
    </w:p>
    <w:p>
      <w:pPr>
        <w:spacing w:after="0" w:line="203" w:lineRule="exact"/>
        <w:rPr>
          <w:sz w:val="20"/>
          <w:szCs w:val="20"/>
          <w:color w:val="auto"/>
        </w:rPr>
      </w:pPr>
    </w:p>
    <w:p>
      <w:pPr>
        <w:ind w:left="4" w:right="20" w:hanging="4"/>
        <w:spacing w:after="0" w:line="283" w:lineRule="auto"/>
        <w:tabs>
          <w:tab w:leader="none" w:pos="174" w:val="left"/>
        </w:tabs>
        <w:numPr>
          <w:ilvl w:val="0"/>
          <w:numId w:val="6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force majeure event in this contract refers to unforeseeable, unavoidable, and insurmountable objective circumstances that prevent either party from performing this contract normally, including war, strike, martial law, severe floods, fires, windstorms, earthquakes, and other accidents agreed upon by both parties as force majeure.</w:t>
      </w:r>
    </w:p>
    <w:p>
      <w:pPr>
        <w:spacing w:after="0" w:line="33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3">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18" w:right="319" w:bottom="1440" w:gutter="0" w:footer="0" w:header="0"/>
        </w:sectPr>
      </w:pPr>
    </w:p>
    <w:bookmarkStart w:id="572" w:name="page573"/>
    <w:bookmarkEnd w:id="572"/>
    <w:p>
      <w:pPr>
        <w:jc w:val="both"/>
        <w:ind w:left="4" w:hanging="4"/>
        <w:spacing w:after="0" w:line="261" w:lineRule="auto"/>
        <w:tabs>
          <w:tab w:leader="none" w:pos="167" w:val="left"/>
        </w:tabs>
        <w:numPr>
          <w:ilvl w:val="0"/>
          <w:numId w:val="6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either party is unable to perform the contract due to a force majeure event, it may be partially or fully exempted from its responsibilities or obligations under this contract based on the impact of the force majeure event. However, the party experiencing force majeure shall promptly notify the other party in writing to mitigate any losses that may be caused to the other party, and shall provide appropriate proof of the occurrence and duration of the force majeure event within a reasonable period of time. At the same time, the party experiencing a force majeure event shall make every effort to minimize the potential impact of the force majeure event on the other party.</w:t>
      </w:r>
    </w:p>
    <w:p>
      <w:pPr>
        <w:spacing w:after="0" w:line="161" w:lineRule="exact"/>
        <w:rPr>
          <w:rFonts w:ascii="Times New Roman" w:cs="Times New Roman" w:eastAsia="Times New Roman" w:hAnsi="Times New Roman"/>
          <w:sz w:val="16"/>
          <w:szCs w:val="16"/>
          <w:color w:val="auto"/>
        </w:rPr>
      </w:pPr>
    </w:p>
    <w:p>
      <w:pPr>
        <w:ind w:left="4" w:right="20" w:hanging="4"/>
        <w:spacing w:after="0" w:line="283" w:lineRule="auto"/>
        <w:tabs>
          <w:tab w:leader="none" w:pos="170" w:val="left"/>
        </w:tabs>
        <w:numPr>
          <w:ilvl w:val="0"/>
          <w:numId w:val="6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a force majeure event occurs, both parties should immediately engage in negotiations within a reasonable period of time to seek a fair and reasonable solution, and make every effort to minimize the consequences of the force majeure event.</w:t>
      </w:r>
    </w:p>
    <w:p>
      <w:pPr>
        <w:spacing w:after="0" w:line="1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21 No Waiver of Rights</w:t>
      </w:r>
    </w:p>
    <w:p>
      <w:pPr>
        <w:spacing w:after="0" w:line="20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The rights of Party B under this contract are cumulative and do not affect or exclude any rights that Party B may have against Party A under laws, regulations, and other contracts. Unless otherwise stated in writing by Party B, the non exercise, partial exercise, and/or delayed exercise of any rights by Party B shall not constitute a waiver or partial waiver of such rights, nor shall it affect, prevent, or hinder Party B’s continued exercise of such rights or the exercise of any other rights.</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22 Effectiveness, Amendment and Termination of the Contrac</w:t>
      </w:r>
      <w:r>
        <w:rPr>
          <w:rFonts w:ascii="Times New Roman" w:cs="Times New Roman" w:eastAsia="Times New Roman" w:hAnsi="Times New Roman"/>
          <w:sz w:val="16"/>
          <w:szCs w:val="16"/>
          <w:color w:val="auto"/>
        </w:rPr>
        <w:t>t</w:t>
      </w:r>
    </w:p>
    <w:p>
      <w:pPr>
        <w:spacing w:after="0" w:line="167" w:lineRule="exact"/>
        <w:rPr>
          <w:sz w:val="20"/>
          <w:szCs w:val="20"/>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1. The effectiveness of this contract shall be subject to the following [</w:t>
      </w:r>
      <w:r>
        <w:rPr>
          <w:rFonts w:ascii="MS PGothic" w:cs="MS PGothic" w:eastAsia="MS PGothic" w:hAnsi="MS PGothic"/>
          <w:sz w:val="16"/>
          <w:szCs w:val="16"/>
          <w:color w:val="auto"/>
        </w:rPr>
        <w:t>①</w:t>
      </w:r>
      <w:r>
        <w:rPr>
          <w:rFonts w:ascii="Times New Roman" w:cs="Times New Roman" w:eastAsia="Times New Roman" w:hAnsi="Times New Roman"/>
          <w:sz w:val="16"/>
          <w:szCs w:val="16"/>
          <w:color w:val="auto"/>
        </w:rPr>
        <w:t>] method agreed by both parties:</w:t>
      </w:r>
    </w:p>
    <w:p>
      <w:pPr>
        <w:spacing w:after="0" w:line="237" w:lineRule="exact"/>
        <w:rPr>
          <w:sz w:val="20"/>
          <w:szCs w:val="20"/>
          <w:color w:val="auto"/>
        </w:rPr>
      </w:pPr>
    </w:p>
    <w:p>
      <w:pPr>
        <w:ind w:left="4" w:right="20" w:hanging="4"/>
        <w:spacing w:after="0" w:line="283" w:lineRule="auto"/>
        <w:tabs>
          <w:tab w:leader="none" w:pos="212" w:val="left"/>
        </w:tabs>
        <w:numPr>
          <w:ilvl w:val="0"/>
          <w:numId w:val="700"/>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This contract shall come into effect upon the completion of the electronic channel security verification operation by Party A and the signing of the USB key electronic signature on CITIC Bank’s online banking or mobile banking, and upon the approval of Party B’s review and approval;</w:t>
      </w:r>
    </w:p>
    <w:p>
      <w:pPr>
        <w:spacing w:after="0" w:line="143" w:lineRule="exact"/>
        <w:rPr>
          <w:sz w:val="20"/>
          <w:szCs w:val="20"/>
          <w:color w:val="auto"/>
        </w:rPr>
      </w:pPr>
    </w:p>
    <w:p>
      <w:pPr>
        <w:ind w:left="4" w:right="20" w:hanging="4"/>
        <w:spacing w:after="0" w:line="283" w:lineRule="auto"/>
        <w:tabs>
          <w:tab w:leader="none" w:pos="212" w:val="left"/>
        </w:tabs>
        <w:numPr>
          <w:ilvl w:val="0"/>
          <w:numId w:val="70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This contract shall come into effect from the date when Party A completes the electronic channel security verification operation and signs it with a USB key electronic signature on CITIC Bank’s online banking or mobile banking, and Party B completes the electronic signature.</w:t>
      </w:r>
    </w:p>
    <w:p>
      <w:pPr>
        <w:spacing w:after="0" w:line="143" w:lineRule="exact"/>
        <w:rPr>
          <w:sz w:val="20"/>
          <w:szCs w:val="20"/>
          <w:color w:val="auto"/>
        </w:rPr>
      </w:pPr>
    </w:p>
    <w:p>
      <w:pPr>
        <w:ind w:left="4" w:right="20" w:hanging="4"/>
        <w:spacing w:after="0" w:line="283" w:lineRule="auto"/>
        <w:tabs>
          <w:tab w:leader="none" w:pos="188" w:val="left"/>
        </w:tabs>
        <w:numPr>
          <w:ilvl w:val="0"/>
          <w:numId w:val="70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legal representative/person in charge or authorized agent of Party A and the person in charge or authorized agent of Party B shall sign (sign or affix their name seal) and affix their official seal or contract specific seal to take effect.</w:t>
      </w:r>
    </w:p>
    <w:p>
      <w:pPr>
        <w:spacing w:after="0" w:line="143" w:lineRule="exact"/>
        <w:rPr>
          <w:sz w:val="20"/>
          <w:szCs w:val="20"/>
          <w:color w:val="auto"/>
        </w:rPr>
      </w:pPr>
    </w:p>
    <w:p>
      <w:pPr>
        <w:ind w:left="4" w:right="20" w:hanging="4"/>
        <w:spacing w:after="0" w:line="283" w:lineRule="auto"/>
        <w:tabs>
          <w:tab w:leader="none" w:pos="157" w:val="left"/>
        </w:tabs>
        <w:numPr>
          <w:ilvl w:val="0"/>
          <w:numId w:val="7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this contract comes into effect, except as otherwise agreed in this contract, neither party shall unilaterally change or terminate this contract; If it is necessary to change or terminate this contract, both parties shall reach a consensus through consultation and sign a written agreement separately.</w:t>
      </w:r>
    </w:p>
    <w:p>
      <w:pPr>
        <w:spacing w:after="0" w:line="143" w:lineRule="exact"/>
        <w:rPr>
          <w:rFonts w:ascii="Times New Roman" w:cs="Times New Roman" w:eastAsia="Times New Roman" w:hAnsi="Times New Roman"/>
          <w:sz w:val="16"/>
          <w:szCs w:val="16"/>
          <w:color w:val="auto"/>
        </w:rPr>
      </w:pPr>
    </w:p>
    <w:p>
      <w:pPr>
        <w:jc w:val="both"/>
        <w:ind w:left="4" w:right="20" w:hanging="4"/>
        <w:spacing w:after="0" w:line="267" w:lineRule="auto"/>
        <w:tabs>
          <w:tab w:leader="none" w:pos="163" w:val="left"/>
        </w:tabs>
        <w:numPr>
          <w:ilvl w:val="0"/>
          <w:numId w:val="7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this contract comes into effect, without the written consent of Party B, Party A shall not transfer all or any part of its rights or obligations under this contract and its annexes. Party A shall transfer all or part of the debt under this contract to a third party, and shall submit a written document to the second party stating that the guarantor agrees to the transfer and continue to assume the guarantee obligation, or provide new guarantees, and obtain the written consent of party B.</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4">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573" w:name="page574"/>
    <w:bookmarkEnd w:id="573"/>
    <w:p>
      <w:pPr>
        <w:ind w:left="4"/>
        <w:spacing w:after="0"/>
        <w:rPr>
          <w:sz w:val="20"/>
          <w:szCs w:val="20"/>
          <w:color w:val="auto"/>
        </w:rPr>
      </w:pPr>
      <w:r>
        <w:rPr>
          <w:rFonts w:ascii="Times New Roman" w:cs="Times New Roman" w:eastAsia="Times New Roman" w:hAnsi="Times New Roman"/>
          <w:sz w:val="16"/>
          <w:szCs w:val="16"/>
          <w:b w:val="1"/>
          <w:bCs w:val="1"/>
          <w:color w:val="auto"/>
        </w:rPr>
        <w:t>Article 23 Notice and Delivery</w:t>
      </w:r>
    </w:p>
    <w:p>
      <w:pPr>
        <w:spacing w:after="0" w:line="203"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6"/>
          <w:szCs w:val="16"/>
          <w:color w:val="auto"/>
        </w:rPr>
        <w:t>Unless otherwise agreed in this contract, both parties agree as follows regarding the delivery address (including contact information, the same below) and legal consequences of various notices, letters, attachments, agreements and other documents related to this contract, as well as the delivery of relevant documents and legal documents in case of disputes arising from this contract:</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 Effective delivery address confirmed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7560" cy="2832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5">
                      <a:extLst>
                        <a:ext uri="{28A0092B-C50C-407E-A947-70E740481C1C}"/>
                      </a:extLst>
                    </a:blip>
                    <a:srcRect/>
                    <a:stretch>
                      <a:fillRect/>
                    </a:stretch>
                  </pic:blipFill>
                  <pic:spPr bwMode="auto">
                    <a:xfrm>
                      <a:off x="0" y="0"/>
                      <a:ext cx="7147560" cy="2832735"/>
                    </a:xfrm>
                    <a:prstGeom prst="rect">
                      <a:avLst/>
                    </a:prstGeom>
                    <a:noFill/>
                  </pic:spPr>
                </pic:pic>
              </a:graphicData>
            </a:graphic>
          </wp:anchor>
        </w:drawing>
      </w:r>
    </w:p>
    <w:p>
      <w:pPr>
        <w:spacing w:after="0" w:line="205" w:lineRule="exact"/>
        <w:rPr>
          <w:sz w:val="20"/>
          <w:szCs w:val="20"/>
          <w:color w:val="auto"/>
        </w:rPr>
      </w:pPr>
    </w:p>
    <w:p>
      <w:pPr>
        <w:ind w:left="84"/>
        <w:spacing w:after="0"/>
        <w:rPr>
          <w:sz w:val="20"/>
          <w:szCs w:val="20"/>
          <w:color w:val="auto"/>
        </w:rPr>
      </w:pPr>
      <w:r>
        <w:rPr>
          <w:rFonts w:ascii="Times New Roman" w:cs="Times New Roman" w:eastAsia="Times New Roman" w:hAnsi="Times New Roman"/>
          <w:sz w:val="16"/>
          <w:szCs w:val="16"/>
          <w:color w:val="auto"/>
        </w:rPr>
        <w:t>Party A confirms its valid delivery address as follows</w:t>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168"/>
        </w:trPr>
        <w:tc>
          <w:tcPr>
            <w:tcW w:w="3740" w:type="dxa"/>
            <w:vAlign w:val="bottom"/>
            <w:tcBorders>
              <w:top w:val="single" w:sz="8" w:color="auto"/>
            </w:tcBorders>
          </w:tcPr>
          <w:p>
            <w:pPr>
              <w:spacing w:after="0"/>
              <w:rPr>
                <w:sz w:val="14"/>
                <w:szCs w:val="14"/>
                <w:color w:val="auto"/>
              </w:rPr>
            </w:pPr>
          </w:p>
        </w:tc>
        <w:tc>
          <w:tcPr>
            <w:tcW w:w="3140" w:type="dxa"/>
            <w:vAlign w:val="bottom"/>
            <w:tcBorders>
              <w:top w:val="single" w:sz="8" w:color="auto"/>
              <w:right w:val="single" w:sz="8" w:color="auto"/>
            </w:tcBorders>
          </w:tcPr>
          <w:p>
            <w:pPr>
              <w:spacing w:after="0"/>
              <w:rPr>
                <w:sz w:val="14"/>
                <w:szCs w:val="14"/>
                <w:color w:val="auto"/>
              </w:rPr>
            </w:pPr>
          </w:p>
        </w:tc>
        <w:tc>
          <w:tcPr>
            <w:tcW w:w="4380" w:type="dxa"/>
            <w:vAlign w:val="bottom"/>
            <w:tcBorders>
              <w:top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color w:val="auto"/>
              </w:rPr>
              <w:t>2nd Floor, Building 18, 498 Guoshoujing Road, Pudong</w:t>
            </w:r>
          </w:p>
        </w:tc>
        <w:tc>
          <w:tcPr>
            <w:tcW w:w="0" w:type="dxa"/>
            <w:vAlign w:val="bottom"/>
          </w:tcPr>
          <w:p>
            <w:pPr>
              <w:spacing w:after="0"/>
              <w:rPr>
                <w:sz w:val="1"/>
                <w:szCs w:val="1"/>
                <w:color w:val="auto"/>
              </w:rPr>
            </w:pPr>
          </w:p>
        </w:tc>
      </w:tr>
      <w:tr>
        <w:trPr>
          <w:trHeight w:val="245"/>
        </w:trPr>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color w:val="auto"/>
              </w:rPr>
              <w:t>Address</w:t>
            </w:r>
          </w:p>
        </w:tc>
        <w:tc>
          <w:tcPr>
            <w:tcW w:w="3140" w:type="dxa"/>
            <w:vAlign w:val="bottom"/>
            <w:tcBorders>
              <w:bottom w:val="single" w:sz="8" w:color="auto"/>
              <w:right w:val="single" w:sz="8" w:color="auto"/>
            </w:tcBorders>
          </w:tcPr>
          <w:p>
            <w:pPr>
              <w:spacing w:after="0"/>
              <w:rPr>
                <w:sz w:val="21"/>
                <w:szCs w:val="21"/>
                <w:color w:val="auto"/>
              </w:rPr>
            </w:pPr>
          </w:p>
        </w:tc>
        <w:tc>
          <w:tcPr>
            <w:tcW w:w="4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New Area</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3140" w:type="dxa"/>
            <w:vAlign w:val="bottom"/>
            <w:tcBorders>
              <w:bottom w:val="single" w:sz="8" w:color="auto"/>
              <w:right w:val="single" w:sz="8" w:color="auto"/>
            </w:tcBorders>
          </w:tcPr>
          <w:p>
            <w:pPr>
              <w:spacing w:after="0"/>
              <w:rPr>
                <w:sz w:val="17"/>
                <w:szCs w:val="17"/>
                <w:color w:val="auto"/>
              </w:rPr>
            </w:pP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201210</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b w:val="1"/>
                <w:bCs w:val="1"/>
                <w:color w:val="auto"/>
              </w:rPr>
              <w:t>Contact</w:t>
            </w:r>
          </w:p>
        </w:tc>
        <w:tc>
          <w:tcPr>
            <w:tcW w:w="314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Liu Ya</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Phone</w:t>
            </w:r>
          </w:p>
        </w:tc>
        <w:tc>
          <w:tcPr>
            <w:tcW w:w="314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7"/>
        </w:trPr>
        <w:tc>
          <w:tcPr>
            <w:tcW w:w="3740" w:type="dxa"/>
            <w:vAlign w:val="bottom"/>
            <w:tcBorders>
              <w:right w:val="single" w:sz="8" w:color="auto"/>
            </w:tcBorders>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electronic service</w:t>
            </w:r>
          </w:p>
        </w:tc>
        <w:tc>
          <w:tcPr>
            <w:tcW w:w="31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Email</w:t>
            </w: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3740" w:type="dxa"/>
            <w:vAlign w:val="bottom"/>
            <w:tcBorders>
              <w:right w:val="single" w:sz="8" w:color="auto"/>
            </w:tcBorders>
            <w:vMerge w:val="continue"/>
          </w:tcPr>
          <w:p>
            <w:pPr>
              <w:spacing w:after="0"/>
              <w:rPr>
                <w:sz w:val="18"/>
                <w:szCs w:val="18"/>
                <w:color w:val="auto"/>
              </w:rPr>
            </w:pPr>
          </w:p>
        </w:tc>
        <w:tc>
          <w:tcPr>
            <w:tcW w:w="3140" w:type="dxa"/>
            <w:vAlign w:val="bottom"/>
            <w:tcBorders>
              <w:bottom w:val="single" w:sz="8" w:color="auto"/>
              <w:right w:val="single" w:sz="8" w:color="auto"/>
            </w:tcBorders>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Fax</w:t>
            </w: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740" w:type="dxa"/>
            <w:vAlign w:val="bottom"/>
            <w:tcBorders>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Mobile</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9"/>
              </w:rPr>
              <w:t>Wechat</w:t>
            </w:r>
          </w:p>
        </w:tc>
        <w:tc>
          <w:tcPr>
            <w:tcW w:w="4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Party B confirms its valid delivery address as follows</w:t>
            </w:r>
          </w:p>
        </w:tc>
        <w:tc>
          <w:tcPr>
            <w:tcW w:w="31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3140" w:type="dxa"/>
            <w:vAlign w:val="bottom"/>
            <w:tcBorders>
              <w:right w:val="single" w:sz="8" w:color="auto"/>
            </w:tcBorders>
          </w:tcPr>
          <w:p>
            <w:pPr>
              <w:spacing w:after="0"/>
              <w:rPr>
                <w:sz w:val="17"/>
                <w:szCs w:val="17"/>
                <w:color w:val="auto"/>
              </w:rPr>
            </w:pPr>
          </w:p>
        </w:tc>
        <w:tc>
          <w:tcPr>
            <w:tcW w:w="43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No. 1300 Shenchang Road, Minhang District, Shanghai</w:t>
            </w:r>
          </w:p>
        </w:tc>
        <w:tc>
          <w:tcPr>
            <w:tcW w:w="0" w:type="dxa"/>
            <w:vAlign w:val="bottom"/>
          </w:tcPr>
          <w:p>
            <w:pPr>
              <w:spacing w:after="0"/>
              <w:rPr>
                <w:sz w:val="1"/>
                <w:szCs w:val="1"/>
                <w:color w:val="auto"/>
              </w:rPr>
            </w:pPr>
          </w:p>
        </w:tc>
      </w:tr>
      <w:tr>
        <w:trPr>
          <w:trHeight w:val="222"/>
        </w:trPr>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color w:val="auto"/>
              </w:rPr>
              <w:t>Address</w:t>
            </w:r>
          </w:p>
        </w:tc>
        <w:tc>
          <w:tcPr>
            <w:tcW w:w="3140" w:type="dxa"/>
            <w:vAlign w:val="bottom"/>
            <w:tcBorders>
              <w:bottom w:val="single" w:sz="8" w:color="auto"/>
              <w:right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314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201107</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6"/>
                <w:szCs w:val="16"/>
                <w:b w:val="1"/>
                <w:bCs w:val="1"/>
                <w:color w:val="auto"/>
              </w:rPr>
              <w:t>Contact</w:t>
            </w:r>
          </w:p>
        </w:tc>
        <w:tc>
          <w:tcPr>
            <w:tcW w:w="314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Hu Ke</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6"/>
                <w:szCs w:val="16"/>
                <w:b w:val="1"/>
                <w:bCs w:val="1"/>
                <w:color w:val="auto"/>
              </w:rPr>
              <w:t>Phone</w:t>
            </w:r>
          </w:p>
        </w:tc>
        <w:tc>
          <w:tcPr>
            <w:tcW w:w="3140" w:type="dxa"/>
            <w:vAlign w:val="bottom"/>
            <w:tcBorders>
              <w:bottom w:val="single" w:sz="8" w:color="auto"/>
              <w:right w:val="single" w:sz="8" w:color="auto"/>
            </w:tcBorders>
          </w:tcPr>
          <w:p>
            <w:pPr>
              <w:spacing w:after="0"/>
              <w:rPr>
                <w:sz w:val="18"/>
                <w:szCs w:val="18"/>
                <w:color w:val="auto"/>
              </w:rPr>
            </w:pPr>
          </w:p>
        </w:tc>
        <w:tc>
          <w:tcPr>
            <w:tcW w:w="4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3740" w:type="dxa"/>
            <w:vAlign w:val="bottom"/>
            <w:tcBorders>
              <w:right w:val="single" w:sz="8" w:color="auto"/>
            </w:tcBorders>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electronic service</w:t>
            </w:r>
          </w:p>
        </w:tc>
        <w:tc>
          <w:tcPr>
            <w:tcW w:w="31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Email</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740" w:type="dxa"/>
            <w:vAlign w:val="bottom"/>
            <w:tcBorders>
              <w:right w:val="single" w:sz="8" w:color="auto"/>
            </w:tcBorders>
            <w:vMerge w:val="continue"/>
          </w:tcPr>
          <w:p>
            <w:pPr>
              <w:spacing w:after="0"/>
              <w:rPr>
                <w:sz w:val="17"/>
                <w:szCs w:val="17"/>
                <w:color w:val="auto"/>
              </w:rPr>
            </w:pPr>
          </w:p>
        </w:tc>
        <w:tc>
          <w:tcPr>
            <w:tcW w:w="3140" w:type="dxa"/>
            <w:vAlign w:val="bottom"/>
            <w:tcBorders>
              <w:bottom w:val="single" w:sz="8" w:color="auto"/>
              <w:right w:val="single" w:sz="8" w:color="auto"/>
            </w:tcBorders>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Fax</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740" w:type="dxa"/>
            <w:vAlign w:val="bottom"/>
            <w:tcBorders>
              <w:right w:val="single" w:sz="8" w:color="auto"/>
            </w:tcBorders>
          </w:tcPr>
          <w:p>
            <w:pPr>
              <w:spacing w:after="0"/>
              <w:rPr>
                <w:sz w:val="18"/>
                <w:szCs w:val="18"/>
                <w:color w:val="auto"/>
              </w:rPr>
            </w:pPr>
          </w:p>
        </w:tc>
        <w:tc>
          <w:tcPr>
            <w:tcW w:w="3140" w:type="dxa"/>
            <w:vAlign w:val="bottom"/>
            <w:tcBorders>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Mobile</w:t>
            </w:r>
          </w:p>
        </w:tc>
        <w:tc>
          <w:tcPr>
            <w:tcW w:w="4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374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9"/>
              </w:rPr>
              <w:t>Wechat</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4" w:hanging="4"/>
        <w:spacing w:after="0" w:line="257" w:lineRule="auto"/>
        <w:tabs>
          <w:tab w:leader="none" w:pos="165" w:val="left"/>
        </w:tabs>
        <w:numPr>
          <w:ilvl w:val="0"/>
          <w:numId w:val="7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delivery address confirmed by both parties in this clause changes, they shall notify the other parties in writing within three days from the date of the change. However, both parties agree and acknowledge that if China CITIC Bank and its branches display information related to this contract through channels such as China CITIC Bank’s online banking, mobile banking, official website, etc., such information shall be deemed to have been notified/delivered to the other parties once it is displayed (if the displayed information states an effective date, the date stated shall prevail). When it comes to arbitration, civil litigation, or enforcement procedures, if either party’s delivery address changes, they shall notify the arbitration institution or court in writing on the day of the change. If either party fails to fulfill the obligation of notification and notification in the aforementioned manner, the confirmed delivery address of that party shall still be deemed as a valid delivery address.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6">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18" w:right="319" w:bottom="1440" w:gutter="0" w:footer="0" w:header="0"/>
        </w:sectPr>
      </w:pPr>
    </w:p>
    <w:bookmarkStart w:id="574" w:name="page575"/>
    <w:bookmarkEnd w:id="574"/>
    <w:p>
      <w:pPr>
        <w:jc w:val="both"/>
        <w:ind w:left="4" w:right="20" w:hanging="4"/>
        <w:spacing w:after="0" w:line="257" w:lineRule="auto"/>
        <w:tabs>
          <w:tab w:leader="none" w:pos="166" w:val="left"/>
        </w:tabs>
        <w:numPr>
          <w:ilvl w:val="0"/>
          <w:numId w:val="7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scope of application of the delivery address confirmed by both parties in this clause includes all kinds of notices, letters, attachments, agreements and other documents during the performance of this contract, as well as the delivery of relevant documents and legal documents to both parties in case of disputes arising from this contract, including the delivery of relevant case materials and legal documents (including but not limited to: various procedural documents such as pleadings, arbitration applications, acceptance notices, response notices, subpoenas, proof notices, payment notices, etc.; various legal documents such as arbitration awards, judgments, rulings, mediation agreements, etc.) to both parties at various stages after the dispute enters the notarization, arbitration, civil litigation procedures. Unless otherwise agreed in paragraph 2 of this article, one party shall send the above-mentioned documents to the delivery address, it shall be deemed to have been delivered on the following dates:</w:t>
      </w:r>
    </w:p>
    <w:p>
      <w:pPr>
        <w:spacing w:after="0" w:line="165" w:lineRule="exact"/>
        <w:rPr>
          <w:sz w:val="20"/>
          <w:szCs w:val="20"/>
          <w:color w:val="auto"/>
        </w:rPr>
      </w:pPr>
    </w:p>
    <w:p>
      <w:pPr>
        <w:ind w:left="224" w:hanging="224"/>
        <w:spacing w:after="0"/>
        <w:tabs>
          <w:tab w:leader="none" w:pos="224" w:val="left"/>
        </w:tabs>
        <w:numPr>
          <w:ilvl w:val="0"/>
          <w:numId w:val="7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Postal services (including express delivery, regular mail, and registered mail) shall be deemed delivered on the third day after the date of delivery;</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7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Telephone, fax, email, WeChat or other electronic communication methods shall be deemed as delivered on the date of sending;</w:t>
      </w:r>
    </w:p>
    <w:p>
      <w:pPr>
        <w:spacing w:after="0" w:line="200" w:lineRule="exact"/>
        <w:rPr>
          <w:rFonts w:ascii="Times New Roman" w:cs="Times New Roman" w:eastAsia="Times New Roman" w:hAnsi="Times New Roman"/>
          <w:sz w:val="16"/>
          <w:szCs w:val="16"/>
          <w:color w:val="auto"/>
        </w:rPr>
      </w:pPr>
    </w:p>
    <w:p>
      <w:pPr>
        <w:ind w:left="4" w:right="20" w:hanging="4"/>
        <w:spacing w:after="0" w:line="283" w:lineRule="auto"/>
        <w:tabs>
          <w:tab w:leader="none" w:pos="236" w:val="left"/>
        </w:tabs>
        <w:numPr>
          <w:ilvl w:val="0"/>
          <w:numId w:val="7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Delivered by a designated person, the date of receipt by the recipient shall be deemed as the date of delivery; If the recipient refuses or no one receives the document, the delivery person may take photos or videos to record the delivery process and keep the document, which is also considered as delivery;</w:t>
      </w:r>
    </w:p>
    <w:p>
      <w:pPr>
        <w:spacing w:after="0" w:line="143"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7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above methods are used simultaneously, the one that reaches the other party the fastest shall prevail.</w:t>
      </w:r>
    </w:p>
    <w:p>
      <w:pPr>
        <w:spacing w:after="0" w:line="201"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If any party provides or confirms an inaccurate delivery address, fails to promptly notify or inform other parties, courts, arbitration institutions, or notary offices in accordance with procedures after a change in delivery address, or if any party or its designated recipient refuses to sign for legal documents, enforcement documents, arbitration awards, or notary office execution certificates, and other legal documents or related documents cannot be delivered, delivered in a timely manner, or actually received by that party, other parties, courts, arbitration institutions, or notary offices shall be deemed to have been effectively delivered in accordance with the above effective delivery rules, and that party shall bear all legal consequences that may arise therefrom. Both parties agree that the court, arbitration institution, or notary public may adopt one or more delivery methods to serve legal documents, and the delivery time shall be based on the earliest delivery method mentioned above.</w:t>
      </w:r>
    </w:p>
    <w:p>
      <w:pPr>
        <w:spacing w:after="0" w:line="165" w:lineRule="exact"/>
        <w:rPr>
          <w:sz w:val="20"/>
          <w:szCs w:val="20"/>
          <w:color w:val="auto"/>
        </w:rPr>
      </w:pPr>
    </w:p>
    <w:p>
      <w:pPr>
        <w:jc w:val="both"/>
        <w:ind w:left="4" w:hanging="4"/>
        <w:spacing w:after="0" w:line="267" w:lineRule="auto"/>
        <w:tabs>
          <w:tab w:leader="none" w:pos="177" w:val="left"/>
        </w:tabs>
        <w:numPr>
          <w:ilvl w:val="0"/>
          <w:numId w:val="7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content of this agreement is a special clause expressly agreed upon by both parties to this contract, and its validity is independent of other clauses of this contract. Regardless of whether other terms of this contract are deemed invalid or revoked by a court, arbitration institution, or other competent authority for any reason, the provisions of this clause shall remain valid.</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Article 24 Other</w:t>
      </w:r>
    </w:p>
    <w:p>
      <w:pPr>
        <w:spacing w:after="0" w:line="203" w:lineRule="exact"/>
        <w:rPr>
          <w:sz w:val="20"/>
          <w:szCs w:val="20"/>
          <w:color w:val="auto"/>
        </w:rPr>
      </w:pPr>
    </w:p>
    <w:p>
      <w:pPr>
        <w:ind w:left="4" w:right="20" w:hanging="4"/>
        <w:spacing w:after="0" w:line="283" w:lineRule="auto"/>
        <w:tabs>
          <w:tab w:leader="none" w:pos="162" w:val="left"/>
        </w:tabs>
        <w:numPr>
          <w:ilvl w:val="0"/>
          <w:numId w:val="7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choosing the third option of Article 22, Paragraph 1, this contract shall be signed in [/] copies, with Party A holding [/] copies, Party B holding [/] copies, and relevant departments retaining [/] copies.</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71" w:val="left"/>
        </w:tabs>
        <w:numPr>
          <w:ilvl w:val="0"/>
          <w:numId w:val="7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this contract, “working days”/“bank working days” refer to the banking business days on which the bank accepts general corporate business, excluding national statutory holidays and public holidays.</w:t>
      </w:r>
    </w:p>
    <w:p>
      <w:pPr>
        <w:spacing w:after="0" w:line="143" w:lineRule="exact"/>
        <w:rPr>
          <w:rFonts w:ascii="Times New Roman" w:cs="Times New Roman" w:eastAsia="Times New Roman" w:hAnsi="Times New Roman"/>
          <w:sz w:val="16"/>
          <w:szCs w:val="16"/>
          <w:color w:val="auto"/>
        </w:rPr>
      </w:pPr>
    </w:p>
    <w:p>
      <w:pPr>
        <w:ind w:left="4" w:right="20" w:hanging="4"/>
        <w:spacing w:after="0" w:line="283" w:lineRule="auto"/>
        <w:tabs>
          <w:tab w:leader="none" w:pos="165" w:val="left"/>
        </w:tabs>
        <w:numPr>
          <w:ilvl w:val="0"/>
          <w:numId w:val="7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matters not covered in this contract, Party A and Party B may sign a separate written agreement as an attachment to this contract. Any attachments, modifications or supplements to this contract shall constitute an integral part of this contract and shall have the same legal effect as this contract.</w:t>
      </w:r>
    </w:p>
    <w:p>
      <w:pPr>
        <w:spacing w:after="0" w:line="143" w:lineRule="exact"/>
        <w:rPr>
          <w:rFonts w:ascii="Times New Roman" w:cs="Times New Roman" w:eastAsia="Times New Roman" w:hAnsi="Times New Roman"/>
          <w:sz w:val="16"/>
          <w:szCs w:val="16"/>
          <w:color w:val="auto"/>
        </w:rPr>
      </w:pPr>
    </w:p>
    <w:p>
      <w:pPr>
        <w:jc w:val="both"/>
        <w:ind w:left="4" w:hanging="4"/>
        <w:spacing w:after="0" w:line="261" w:lineRule="auto"/>
        <w:tabs>
          <w:tab w:leader="none" w:pos="168" w:val="left"/>
        </w:tabs>
        <w:numPr>
          <w:ilvl w:val="0"/>
          <w:numId w:val="7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has taken reasonable measures such as bolding, bolding, highlighting, etc. to draw the attention of party A to the clauses under this contract that exempt or limit its liability, and has fully explained the relevant clauses as required by party A. Party A has read all the terms of this contract, fully understands the meanings and corresponding legal consequences of the terms, and agrees to comply with the above terms. Both Party A and Party B have no objection to the understanding of all the terms and conditions of this contract.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 text below)</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7">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6"/>
          <w:szCs w:val="16"/>
          <w:color w:val="auto"/>
        </w:rPr>
        <w:t>Attachment List: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Attachment 1: Payment Authorization Letter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Attachment 2: Sample Seal Reserved by Party A</w:t>
      </w:r>
    </w:p>
    <w:p>
      <w:pPr>
        <w:spacing w:after="0" w:line="18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(This page has no main text and is the signature page for the “RMB Working Capital Loan Contract” with the reference number [Yinhu Xin E-Rong 2024 Zi No. 7316511066 202500105497].)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 CLPS Shanghai Co.,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(official seal or contract seal)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legal representative/person in charge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authorized agent):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B: China CITIC Bank Co., Ltd. Shanghai Branch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(official seal or contract seal)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of the person in charge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authorized agent):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8">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576" w:name="page577"/>
    <w:bookmarkEnd w:id="576"/>
    <w:p>
      <w:pPr>
        <w:ind w:left="4"/>
        <w:spacing w:after="0"/>
        <w:rPr>
          <w:sz w:val="20"/>
          <w:szCs w:val="20"/>
          <w:color w:val="auto"/>
        </w:rPr>
      </w:pPr>
      <w:r>
        <w:rPr>
          <w:rFonts w:ascii="Times New Roman" w:cs="Times New Roman" w:eastAsia="Times New Roman" w:hAnsi="Times New Roman"/>
          <w:sz w:val="16"/>
          <w:szCs w:val="16"/>
          <w:color w:val="auto"/>
        </w:rPr>
        <w:t>Attachment 1</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Payment Authorization Letter</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(Applicable to bank entrusted payment situations)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China CITIC Bank Co., Ltd. Shanghai Branch:</w:t>
      </w:r>
    </w:p>
    <w:p>
      <w:pPr>
        <w:spacing w:after="0" w:line="201"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6"/>
          <w:szCs w:val="16"/>
          <w:color w:val="auto"/>
        </w:rPr>
        <w:t>According to the “RMB Working Capital Loan Contract” (“Loan Contract”) with the reference number of Yin Hu Xin E Rong 2024 Zi 7316511066 No. 202500105497, we hereby authorize your bank to transfer the payment amount from our company’s settlement account (account number: 8110201012301487493) to the following counterparty’s account on the following payment date</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funding plan is for daily production and operation turnover. Please refer to the attached documents for the relevant business contracts.</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204"/>
        </w:trPr>
        <w:tc>
          <w:tcPr>
            <w:tcW w:w="56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Full name of counterparty 1:</w:t>
            </w:r>
          </w:p>
        </w:tc>
        <w:tc>
          <w:tcPr>
            <w:tcW w:w="56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CLPS Shanghai Co.,Ltd.</w:t>
            </w:r>
          </w:p>
        </w:tc>
      </w:tr>
      <w:tr>
        <w:trPr>
          <w:trHeight w:val="184"/>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Bank:</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China Merchants Bank Co., Ltd. Shanghai Century Avenue Branch</w:t>
            </w:r>
          </w:p>
        </w:tc>
      </w:tr>
      <w:tr>
        <w:trPr>
          <w:trHeight w:val="184"/>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Account:</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121908367810901</w:t>
            </w:r>
          </w:p>
        </w:tc>
      </w:tr>
      <w:tr>
        <w:trPr>
          <w:trHeight w:val="184"/>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Payment amount:</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(In words): Fifteen million yuan (in figures): 15,000,000.00 yuan</w:t>
            </w:r>
          </w:p>
        </w:tc>
      </w:tr>
      <w:tr>
        <w:trPr>
          <w:trHeight w:val="184"/>
        </w:trPr>
        <w:tc>
          <w:tcPr>
            <w:tcW w:w="5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Payment date:</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June 6, 2025</w:t>
            </w:r>
          </w:p>
        </w:tc>
      </w:tr>
      <w:tr>
        <w:trPr>
          <w:trHeight w:val="377"/>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Our company confirms that:</w:t>
            </w:r>
          </w:p>
        </w:tc>
        <w:tc>
          <w:tcPr>
            <w:tcW w:w="5620" w:type="dxa"/>
            <w:vAlign w:val="bottom"/>
          </w:tcPr>
          <w:p>
            <w:pPr>
              <w:spacing w:after="0"/>
              <w:rPr>
                <w:sz w:val="24"/>
                <w:szCs w:val="24"/>
                <w:color w:val="auto"/>
              </w:rPr>
            </w:pPr>
          </w:p>
        </w:tc>
      </w:tr>
    </w:tbl>
    <w:p>
      <w:pPr>
        <w:spacing w:after="0" w:line="176" w:lineRule="exact"/>
        <w:rPr>
          <w:sz w:val="20"/>
          <w:szCs w:val="20"/>
          <w:color w:val="auto"/>
        </w:rPr>
      </w:pPr>
    </w:p>
    <w:p>
      <w:pPr>
        <w:ind w:left="224" w:hanging="224"/>
        <w:spacing w:after="0"/>
        <w:tabs>
          <w:tab w:leader="none" w:pos="224" w:val="left"/>
        </w:tabs>
        <w:numPr>
          <w:ilvl w:val="0"/>
          <w:numId w:val="7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statements, guarantees, and commitments made by our company in the loan contract remain true, accurate, and complete on the date of this power of attorney; and</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7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company has not violated any provisions of the loan contract or experienced any default events or potential default events as stipulated in the loan contract; and</w:t>
      </w:r>
    </w:p>
    <w:p>
      <w:pPr>
        <w:spacing w:after="0" w:line="200" w:lineRule="exact"/>
        <w:rPr>
          <w:rFonts w:ascii="Times New Roman" w:cs="Times New Roman" w:eastAsia="Times New Roman" w:hAnsi="Times New Roman"/>
          <w:sz w:val="16"/>
          <w:szCs w:val="16"/>
          <w:color w:val="auto"/>
        </w:rPr>
      </w:pPr>
    </w:p>
    <w:p>
      <w:pPr>
        <w:ind w:left="224" w:hanging="224"/>
        <w:spacing w:after="0"/>
        <w:tabs>
          <w:tab w:leader="none" w:pos="224" w:val="left"/>
        </w:tabs>
        <w:numPr>
          <w:ilvl w:val="0"/>
          <w:numId w:val="7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power of attorney is irrevocable.</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Attachment: 1 copy of business contract</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Company name: CLPS Shanghai Co., Ltd.</w:t>
      </w: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(official seal or reserved seal)</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Legal representative/person in charge or authorized agent: Yang Xiaofeng</w:t>
      </w:r>
    </w:p>
    <w:p>
      <w:pPr>
        <w:spacing w:after="0" w:line="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Date: June 6th, 2025</w:t>
      </w:r>
    </w:p>
    <w:p>
      <w:pPr>
        <w:spacing w:after="0" w:line="37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47560" cy="1524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9">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4"/>
          </w:cols>
          <w:pgMar w:left="316" w:top="821" w:right="31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6"/>
          <w:szCs w:val="16"/>
          <w:color w:val="auto"/>
        </w:rPr>
        <w:t>Attachment 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Party A reserves a sample seal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 reserves seal one: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 reserves seal two: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 reserves seal three: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Party A’s seal: (official seal or contract specific seal)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representative/person in charge (or authorized agent): Yang Xiaofeng</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June 6th, 2025</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47560" cy="152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60">
                      <a:extLst>
                        <a:ext uri="{28A0092B-C50C-407E-A947-70E740481C1C}"/>
                      </a:extLst>
                    </a:blip>
                    <a:srcRect/>
                    <a:stretch>
                      <a:fillRect/>
                    </a:stretch>
                  </pic:blipFill>
                  <pic:spPr bwMode="auto">
                    <a:xfrm>
                      <a:off x="0" y="0"/>
                      <a:ext cx="7147560" cy="15240"/>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578" w:name="page579"/>
    <w:bookmarkEnd w:id="578"/>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Rule 13a-14(a) of the Exchange Act</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Raymond Ming Hui Lin, certify that:</w:t>
      </w:r>
    </w:p>
    <w:p>
      <w:pPr>
        <w:spacing w:after="0" w:line="201" w:lineRule="exact"/>
        <w:rPr>
          <w:sz w:val="20"/>
          <w:szCs w:val="20"/>
          <w:color w:val="auto"/>
        </w:rPr>
      </w:pPr>
    </w:p>
    <w:p>
      <w:pPr>
        <w:ind w:left="284" w:hanging="284"/>
        <w:spacing w:after="0"/>
        <w:tabs>
          <w:tab w:leader="none" w:pos="284" w:val="left"/>
        </w:tabs>
        <w:numPr>
          <w:ilvl w:val="0"/>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CLPS Incorporation;</w:t>
      </w:r>
    </w:p>
    <w:p>
      <w:pPr>
        <w:spacing w:after="0" w:line="200" w:lineRule="exact"/>
        <w:rPr>
          <w:rFonts w:ascii="Times New Roman" w:cs="Times New Roman" w:eastAsia="Times New Roman" w:hAnsi="Times New Roman"/>
          <w:sz w:val="16"/>
          <w:szCs w:val="16"/>
          <w:color w:val="auto"/>
        </w:rPr>
      </w:pPr>
    </w:p>
    <w:p>
      <w:pPr>
        <w:ind w:left="284" w:hanging="284"/>
        <w:spacing w:after="0" w:line="283" w:lineRule="auto"/>
        <w:tabs>
          <w:tab w:leader="none" w:pos="284" w:val="left"/>
        </w:tabs>
        <w:numPr>
          <w:ilvl w:val="0"/>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284" w:hanging="284"/>
        <w:spacing w:after="0" w:line="283" w:lineRule="auto"/>
        <w:tabs>
          <w:tab w:leader="none" w:pos="284" w:val="left"/>
        </w:tabs>
        <w:numPr>
          <w:ilvl w:val="0"/>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w:t>
      </w:r>
    </w:p>
    <w:p>
      <w:pPr>
        <w:spacing w:after="0" w:line="24" w:lineRule="exact"/>
        <w:rPr>
          <w:rFonts w:ascii="Times New Roman" w:cs="Times New Roman" w:eastAsia="Times New Roman" w:hAnsi="Times New Roman"/>
          <w:sz w:val="16"/>
          <w:szCs w:val="16"/>
          <w:color w:val="auto"/>
        </w:rPr>
      </w:pPr>
    </w:p>
    <w:p>
      <w:pPr>
        <w:ind w:left="2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184" w:lineRule="exact"/>
        <w:rPr>
          <w:rFonts w:ascii="Times New Roman" w:cs="Times New Roman" w:eastAsia="Times New Roman" w:hAnsi="Times New Roman"/>
          <w:sz w:val="16"/>
          <w:szCs w:val="16"/>
          <w:color w:val="auto"/>
        </w:rPr>
      </w:pPr>
    </w:p>
    <w:p>
      <w:pPr>
        <w:jc w:val="both"/>
        <w:ind w:left="584" w:hanging="295"/>
        <w:spacing w:after="0" w:line="267" w:lineRule="auto"/>
        <w:tabs>
          <w:tab w:leader="none" w:pos="584" w:val="left"/>
        </w:tabs>
        <w:numPr>
          <w:ilvl w:val="1"/>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584" w:right="20" w:hanging="295"/>
        <w:spacing w:after="0" w:line="267" w:lineRule="auto"/>
        <w:tabs>
          <w:tab w:leader="none" w:pos="584" w:val="left"/>
        </w:tabs>
        <w:numPr>
          <w:ilvl w:val="1"/>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584" w:right="20" w:hanging="295"/>
        <w:spacing w:after="0" w:line="283" w:lineRule="auto"/>
        <w:tabs>
          <w:tab w:leader="none" w:pos="584" w:val="left"/>
        </w:tabs>
        <w:numPr>
          <w:ilvl w:val="1"/>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84" w:hanging="295"/>
        <w:spacing w:after="0" w:line="283" w:lineRule="auto"/>
        <w:tabs>
          <w:tab w:leader="none" w:pos="584" w:val="left"/>
        </w:tabs>
        <w:numPr>
          <w:ilvl w:val="1"/>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rFonts w:ascii="Times New Roman" w:cs="Times New Roman" w:eastAsia="Times New Roman" w:hAnsi="Times New Roman"/>
          <w:sz w:val="16"/>
          <w:szCs w:val="16"/>
          <w:color w:val="auto"/>
        </w:rPr>
      </w:pPr>
    </w:p>
    <w:p>
      <w:pPr>
        <w:ind w:left="284" w:right="20" w:hanging="284"/>
        <w:spacing w:after="0" w:line="283" w:lineRule="auto"/>
        <w:tabs>
          <w:tab w:leader="none" w:pos="284" w:val="left"/>
        </w:tabs>
        <w:numPr>
          <w:ilvl w:val="0"/>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84" w:right="20" w:hanging="295"/>
        <w:spacing w:after="0" w:line="283" w:lineRule="auto"/>
        <w:tabs>
          <w:tab w:leader="none" w:pos="584" w:val="left"/>
        </w:tabs>
        <w:numPr>
          <w:ilvl w:val="1"/>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84" w:hanging="295"/>
        <w:spacing w:after="0" w:line="283" w:lineRule="auto"/>
        <w:tabs>
          <w:tab w:leader="none" w:pos="584" w:val="left"/>
        </w:tabs>
        <w:numPr>
          <w:ilvl w:val="1"/>
          <w:numId w:val="7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3" w:lineRule="exact"/>
        <w:rPr>
          <w:sz w:val="20"/>
          <w:szCs w:val="20"/>
          <w:color w:val="auto"/>
        </w:rPr>
      </w:pPr>
    </w:p>
    <w:p>
      <w:pPr>
        <w:ind w:left="4"/>
        <w:spacing w:after="0"/>
        <w:tabs>
          <w:tab w:leader="none" w:pos="6743" w:val="left"/>
          <w:tab w:leader="none" w:pos="7203" w:val="left"/>
        </w:tabs>
        <w:rPr>
          <w:sz w:val="20"/>
          <w:szCs w:val="20"/>
          <w:color w:val="auto"/>
        </w:rPr>
      </w:pPr>
      <w:r>
        <w:rPr>
          <w:rFonts w:ascii="Times New Roman" w:cs="Times New Roman" w:eastAsia="Times New Roman" w:hAnsi="Times New Roman"/>
          <w:sz w:val="16"/>
          <w:szCs w:val="16"/>
          <w:color w:val="auto"/>
        </w:rPr>
        <w:t>Date: October 17,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15875</wp:posOffset>
            </wp:positionV>
            <wp:extent cx="2565400" cy="152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1">
                      <a:extLst>
                        <a:ext uri="{28A0092B-C50C-407E-A947-70E740481C1C}"/>
                      </a:extLst>
                    </a:blip>
                    <a:srcRect/>
                    <a:stretch>
                      <a:fillRect/>
                    </a:stretch>
                  </pic:blipFill>
                  <pic:spPr bwMode="auto">
                    <a:xfrm>
                      <a:off x="0" y="0"/>
                      <a:ext cx="2565400" cy="15240"/>
                    </a:xfrm>
                    <a:prstGeom prst="rect">
                      <a:avLst/>
                    </a:prstGeom>
                    <a:noFill/>
                  </pic:spPr>
                </pic:pic>
              </a:graphicData>
            </a:graphic>
          </wp:anchor>
        </w:drawing>
      </w:r>
    </w:p>
    <w:p>
      <w:pPr>
        <w:spacing w:after="0" w:line="12"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6"/>
          <w:szCs w:val="16"/>
          <w:color w:val="auto"/>
        </w:rPr>
        <w:t>Name:  Raymond Ming Hui Lin</w:t>
      </w:r>
    </w:p>
    <w:p>
      <w:pPr>
        <w:spacing w:after="0" w:line="25" w:lineRule="exact"/>
        <w:rPr>
          <w:sz w:val="20"/>
          <w:szCs w:val="20"/>
          <w:color w:val="auto"/>
        </w:rPr>
      </w:pPr>
    </w:p>
    <w:p>
      <w:pPr>
        <w:ind w:left="7224"/>
        <w:spacing w:after="0"/>
        <w:tabs>
          <w:tab w:leader="none" w:pos="7743"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8" w:lineRule="exact"/>
        <w:rPr>
          <w:sz w:val="20"/>
          <w:szCs w:val="20"/>
          <w:color w:val="auto"/>
        </w:rPr>
      </w:pPr>
    </w:p>
    <w:p>
      <w:pPr>
        <w:ind w:left="7764"/>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64"/>
          </w:cols>
          <w:pgMar w:left="316" w:top="120" w:right="319" w:bottom="1440" w:gutter="0" w:footer="0" w:header="0"/>
        </w:sectPr>
      </w:pPr>
    </w:p>
    <w:bookmarkStart w:id="579" w:name="page580"/>
    <w:bookmarkEnd w:id="579"/>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0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Rule 13a-14(a) of the Exchange Act</w:t>
      </w:r>
    </w:p>
    <w:p>
      <w:pPr>
        <w:spacing w:after="0" w:line="1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 Rui Yang, certify that:</w:t>
      </w:r>
    </w:p>
    <w:p>
      <w:pPr>
        <w:spacing w:after="0" w:line="201" w:lineRule="exact"/>
        <w:rPr>
          <w:sz w:val="20"/>
          <w:szCs w:val="20"/>
          <w:color w:val="auto"/>
        </w:rPr>
      </w:pPr>
    </w:p>
    <w:p>
      <w:pPr>
        <w:ind w:left="284" w:hanging="284"/>
        <w:spacing w:after="0"/>
        <w:tabs>
          <w:tab w:leader="none" w:pos="284" w:val="left"/>
        </w:tabs>
        <w:numPr>
          <w:ilvl w:val="0"/>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CLPS Incorporation;</w:t>
      </w:r>
    </w:p>
    <w:p>
      <w:pPr>
        <w:spacing w:after="0" w:line="200" w:lineRule="exact"/>
        <w:rPr>
          <w:rFonts w:ascii="Times New Roman" w:cs="Times New Roman" w:eastAsia="Times New Roman" w:hAnsi="Times New Roman"/>
          <w:sz w:val="16"/>
          <w:szCs w:val="16"/>
          <w:color w:val="auto"/>
        </w:rPr>
      </w:pPr>
    </w:p>
    <w:p>
      <w:pPr>
        <w:ind w:left="284" w:hanging="284"/>
        <w:spacing w:after="0" w:line="283" w:lineRule="auto"/>
        <w:tabs>
          <w:tab w:leader="none" w:pos="284" w:val="left"/>
        </w:tabs>
        <w:numPr>
          <w:ilvl w:val="0"/>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6"/>
          <w:szCs w:val="16"/>
          <w:color w:val="auto"/>
        </w:rPr>
      </w:pPr>
    </w:p>
    <w:p>
      <w:pPr>
        <w:ind w:left="284" w:hanging="284"/>
        <w:spacing w:after="0" w:line="283" w:lineRule="auto"/>
        <w:tabs>
          <w:tab w:leader="none" w:pos="284" w:val="left"/>
        </w:tabs>
        <w:numPr>
          <w:ilvl w:val="0"/>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3"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w:t>
      </w:r>
    </w:p>
    <w:p>
      <w:pPr>
        <w:spacing w:after="0" w:line="24" w:lineRule="exact"/>
        <w:rPr>
          <w:rFonts w:ascii="Times New Roman" w:cs="Times New Roman" w:eastAsia="Times New Roman" w:hAnsi="Times New Roman"/>
          <w:sz w:val="16"/>
          <w:szCs w:val="16"/>
          <w:color w:val="auto"/>
        </w:rPr>
      </w:pPr>
    </w:p>
    <w:p>
      <w:pPr>
        <w:ind w:left="28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184" w:lineRule="exact"/>
        <w:rPr>
          <w:rFonts w:ascii="Times New Roman" w:cs="Times New Roman" w:eastAsia="Times New Roman" w:hAnsi="Times New Roman"/>
          <w:sz w:val="16"/>
          <w:szCs w:val="16"/>
          <w:color w:val="auto"/>
        </w:rPr>
      </w:pPr>
    </w:p>
    <w:p>
      <w:pPr>
        <w:jc w:val="both"/>
        <w:ind w:left="584" w:hanging="295"/>
        <w:spacing w:after="0" w:line="267" w:lineRule="auto"/>
        <w:tabs>
          <w:tab w:leader="none" w:pos="584" w:val="left"/>
        </w:tabs>
        <w:numPr>
          <w:ilvl w:val="1"/>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6"/>
          <w:szCs w:val="16"/>
          <w:color w:val="auto"/>
        </w:rPr>
      </w:pPr>
    </w:p>
    <w:p>
      <w:pPr>
        <w:jc w:val="both"/>
        <w:ind w:left="584" w:right="20" w:hanging="295"/>
        <w:spacing w:after="0" w:line="267" w:lineRule="auto"/>
        <w:tabs>
          <w:tab w:leader="none" w:pos="584" w:val="left"/>
        </w:tabs>
        <w:numPr>
          <w:ilvl w:val="1"/>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Times New Roman" w:cs="Times New Roman" w:eastAsia="Times New Roman" w:hAnsi="Times New Roman"/>
          <w:sz w:val="16"/>
          <w:szCs w:val="16"/>
          <w:color w:val="auto"/>
        </w:rPr>
      </w:pPr>
    </w:p>
    <w:p>
      <w:pPr>
        <w:ind w:left="584" w:right="20" w:hanging="295"/>
        <w:spacing w:after="0" w:line="283" w:lineRule="auto"/>
        <w:tabs>
          <w:tab w:leader="none" w:pos="584" w:val="left"/>
        </w:tabs>
        <w:numPr>
          <w:ilvl w:val="1"/>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6"/>
          <w:szCs w:val="16"/>
          <w:color w:val="auto"/>
        </w:rPr>
      </w:pPr>
    </w:p>
    <w:p>
      <w:pPr>
        <w:ind w:left="584" w:hanging="295"/>
        <w:spacing w:after="0" w:line="283" w:lineRule="auto"/>
        <w:tabs>
          <w:tab w:leader="none" w:pos="584" w:val="left"/>
        </w:tabs>
        <w:numPr>
          <w:ilvl w:val="1"/>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3" w:lineRule="exact"/>
        <w:rPr>
          <w:rFonts w:ascii="Times New Roman" w:cs="Times New Roman" w:eastAsia="Times New Roman" w:hAnsi="Times New Roman"/>
          <w:sz w:val="16"/>
          <w:szCs w:val="16"/>
          <w:color w:val="auto"/>
        </w:rPr>
      </w:pPr>
    </w:p>
    <w:p>
      <w:pPr>
        <w:ind w:left="284" w:right="20" w:hanging="284"/>
        <w:spacing w:after="0" w:line="283" w:lineRule="auto"/>
        <w:tabs>
          <w:tab w:leader="none" w:pos="284" w:val="left"/>
        </w:tabs>
        <w:numPr>
          <w:ilvl w:val="0"/>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3" w:lineRule="exact"/>
        <w:rPr>
          <w:rFonts w:ascii="Times New Roman" w:cs="Times New Roman" w:eastAsia="Times New Roman" w:hAnsi="Times New Roman"/>
          <w:sz w:val="16"/>
          <w:szCs w:val="16"/>
          <w:color w:val="auto"/>
        </w:rPr>
      </w:pPr>
    </w:p>
    <w:p>
      <w:pPr>
        <w:ind w:left="584" w:right="20" w:hanging="295"/>
        <w:spacing w:after="0" w:line="283" w:lineRule="auto"/>
        <w:tabs>
          <w:tab w:leader="none" w:pos="584" w:val="left"/>
        </w:tabs>
        <w:numPr>
          <w:ilvl w:val="1"/>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3" w:lineRule="exact"/>
        <w:rPr>
          <w:rFonts w:ascii="Times New Roman" w:cs="Times New Roman" w:eastAsia="Times New Roman" w:hAnsi="Times New Roman"/>
          <w:sz w:val="16"/>
          <w:szCs w:val="16"/>
          <w:color w:val="auto"/>
        </w:rPr>
      </w:pPr>
    </w:p>
    <w:p>
      <w:pPr>
        <w:ind w:left="584" w:hanging="295"/>
        <w:spacing w:after="0" w:line="283" w:lineRule="auto"/>
        <w:tabs>
          <w:tab w:leader="none" w:pos="584" w:val="left"/>
        </w:tabs>
        <w:numPr>
          <w:ilvl w:val="1"/>
          <w:numId w:val="7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43" w:lineRule="exact"/>
        <w:rPr>
          <w:sz w:val="20"/>
          <w:szCs w:val="20"/>
          <w:color w:val="auto"/>
        </w:rPr>
      </w:pPr>
    </w:p>
    <w:p>
      <w:pPr>
        <w:ind w:left="4"/>
        <w:spacing w:after="0"/>
        <w:tabs>
          <w:tab w:leader="none" w:pos="6743" w:val="left"/>
          <w:tab w:leader="none" w:pos="7203" w:val="left"/>
        </w:tabs>
        <w:rPr>
          <w:sz w:val="20"/>
          <w:szCs w:val="20"/>
          <w:color w:val="auto"/>
        </w:rPr>
      </w:pPr>
      <w:r>
        <w:rPr>
          <w:rFonts w:ascii="Times New Roman" w:cs="Times New Roman" w:eastAsia="Times New Roman" w:hAnsi="Times New Roman"/>
          <w:sz w:val="16"/>
          <w:szCs w:val="16"/>
          <w:color w:val="auto"/>
        </w:rPr>
        <w:t>Date: October 17,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15875</wp:posOffset>
            </wp:positionV>
            <wp:extent cx="2565400" cy="1524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2">
                      <a:extLst>
                        <a:ext uri="{28A0092B-C50C-407E-A947-70E740481C1C}"/>
                      </a:extLst>
                    </a:blip>
                    <a:srcRect/>
                    <a:stretch>
                      <a:fillRect/>
                    </a:stretch>
                  </pic:blipFill>
                  <pic:spPr bwMode="auto">
                    <a:xfrm>
                      <a:off x="0" y="0"/>
                      <a:ext cx="2565400" cy="15240"/>
                    </a:xfrm>
                    <a:prstGeom prst="rect">
                      <a:avLst/>
                    </a:prstGeom>
                    <a:noFill/>
                  </pic:spPr>
                </pic:pic>
              </a:graphicData>
            </a:graphic>
          </wp:anchor>
        </w:drawing>
      </w:r>
    </w:p>
    <w:p>
      <w:pPr>
        <w:spacing w:after="0" w:line="12" w:lineRule="exact"/>
        <w:rPr>
          <w:sz w:val="20"/>
          <w:szCs w:val="20"/>
          <w:color w:val="auto"/>
        </w:rPr>
      </w:pPr>
    </w:p>
    <w:p>
      <w:pPr>
        <w:ind w:left="7224"/>
        <w:spacing w:after="0"/>
        <w:rPr>
          <w:sz w:val="20"/>
          <w:szCs w:val="20"/>
          <w:color w:val="auto"/>
        </w:rPr>
      </w:pPr>
      <w:r>
        <w:rPr>
          <w:rFonts w:ascii="Times New Roman" w:cs="Times New Roman" w:eastAsia="Times New Roman" w:hAnsi="Times New Roman"/>
          <w:sz w:val="16"/>
          <w:szCs w:val="16"/>
          <w:color w:val="auto"/>
        </w:rPr>
        <w:t>Name:  Rui Yang</w:t>
      </w:r>
    </w:p>
    <w:p>
      <w:pPr>
        <w:spacing w:after="0" w:line="25" w:lineRule="exact"/>
        <w:rPr>
          <w:sz w:val="20"/>
          <w:szCs w:val="20"/>
          <w:color w:val="auto"/>
        </w:rPr>
      </w:pPr>
    </w:p>
    <w:p>
      <w:pPr>
        <w:ind w:left="7224"/>
        <w:spacing w:after="0"/>
        <w:tabs>
          <w:tab w:leader="none" w:pos="7743"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8" w:lineRule="exact"/>
        <w:rPr>
          <w:sz w:val="20"/>
          <w:szCs w:val="20"/>
          <w:color w:val="auto"/>
        </w:rPr>
      </w:pPr>
    </w:p>
    <w:p>
      <w:pPr>
        <w:ind w:left="7764"/>
        <w:spacing w:after="0"/>
        <w:rPr>
          <w:sz w:val="20"/>
          <w:szCs w:val="20"/>
          <w:color w:val="auto"/>
        </w:rPr>
      </w:pPr>
      <w:r>
        <w:rPr>
          <w:rFonts w:ascii="Times New Roman" w:cs="Times New Roman" w:eastAsia="Times New Roman" w:hAnsi="Times New Roman"/>
          <w:sz w:val="16"/>
          <w:szCs w:val="16"/>
          <w:color w:val="auto"/>
        </w:rPr>
        <w:t>(Principal Financial and</w:t>
      </w:r>
    </w:p>
    <w:p>
      <w:pPr>
        <w:spacing w:after="0" w:line="8" w:lineRule="exact"/>
        <w:rPr>
          <w:sz w:val="20"/>
          <w:szCs w:val="20"/>
          <w:color w:val="auto"/>
        </w:rPr>
      </w:pPr>
    </w:p>
    <w:p>
      <w:pPr>
        <w:ind w:left="7764"/>
        <w:spacing w:after="0"/>
        <w:rPr>
          <w:sz w:val="20"/>
          <w:szCs w:val="20"/>
          <w:color w:val="auto"/>
        </w:rPr>
      </w:pPr>
      <w:r>
        <w:rPr>
          <w:rFonts w:ascii="Times New Roman" w:cs="Times New Roman" w:eastAsia="Times New Roman" w:hAnsi="Times New Roman"/>
          <w:sz w:val="16"/>
          <w:szCs w:val="16"/>
          <w:color w:val="auto"/>
        </w:rPr>
        <w:t>Accounting Officer)</w:t>
      </w:r>
    </w:p>
    <w:p>
      <w:pPr>
        <w:sectPr>
          <w:pgSz w:w="11900" w:h="16838" w:orient="portrait"/>
          <w:cols w:equalWidth="0" w:num="1">
            <w:col w:w="11264"/>
          </w:cols>
          <w:pgMar w:left="316" w:top="121" w:right="319" w:bottom="1440" w:gutter="0" w:footer="0" w:header="0"/>
        </w:sectPr>
      </w:pPr>
    </w:p>
    <w:bookmarkStart w:id="580" w:name="page581"/>
    <w:bookmarkEnd w:id="580"/>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2025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CLPS Incorporation</w:t>
      </w:r>
    </w:p>
    <w:p>
      <w:pPr>
        <w:spacing w:after="0" w:line="203"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6"/>
          <w:szCs w:val="16"/>
          <w:color w:val="auto"/>
        </w:rPr>
        <w:t>October 17,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15875</wp:posOffset>
            </wp:positionV>
            <wp:extent cx="2565400" cy="152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3">
                      <a:extLst>
                        <a:ext uri="{28A0092B-C50C-407E-A947-70E740481C1C}"/>
                      </a:extLst>
                    </a:blip>
                    <a:srcRect/>
                    <a:stretch>
                      <a:fillRect/>
                    </a:stretch>
                  </pic:blipFill>
                  <pic:spPr bwMode="auto">
                    <a:xfrm>
                      <a:off x="0" y="0"/>
                      <a:ext cx="2565400" cy="15240"/>
                    </a:xfrm>
                    <a:prstGeom prst="rect">
                      <a:avLst/>
                    </a:prstGeom>
                    <a:noFill/>
                  </pic:spPr>
                </pic:pic>
              </a:graphicData>
            </a:graphic>
          </wp:anchor>
        </w:drawing>
      </w:r>
    </w:p>
    <w:p>
      <w:pPr>
        <w:spacing w:after="0" w:line="1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Name:  Raymond Ming Hui Lin</w:t>
      </w:r>
    </w:p>
    <w:p>
      <w:pPr>
        <w:spacing w:after="0" w:line="25" w:lineRule="exact"/>
        <w:rPr>
          <w:sz w:val="20"/>
          <w:szCs w:val="20"/>
          <w:color w:val="auto"/>
        </w:rPr>
      </w:pPr>
    </w:p>
    <w:p>
      <w:pPr>
        <w:ind w:left="722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84"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6"/>
          <w:szCs w:val="16"/>
          <w:color w:val="auto"/>
        </w:rPr>
        <w:t>October 17,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15875</wp:posOffset>
            </wp:positionV>
            <wp:extent cx="2565400" cy="1524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4">
                      <a:extLst>
                        <a:ext uri="{28A0092B-C50C-407E-A947-70E740481C1C}"/>
                      </a:extLst>
                    </a:blip>
                    <a:srcRect/>
                    <a:stretch>
                      <a:fillRect/>
                    </a:stretch>
                  </pic:blipFill>
                  <pic:spPr bwMode="auto">
                    <a:xfrm>
                      <a:off x="0" y="0"/>
                      <a:ext cx="2565400" cy="15240"/>
                    </a:xfrm>
                    <a:prstGeom prst="rect">
                      <a:avLst/>
                    </a:prstGeom>
                    <a:noFill/>
                  </pic:spPr>
                </pic:pic>
              </a:graphicData>
            </a:graphic>
          </wp:anchor>
        </w:drawing>
      </w:r>
    </w:p>
    <w:p>
      <w:pPr>
        <w:spacing w:after="0" w:line="1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color w:val="auto"/>
        </w:rPr>
        <w:t>Name:  Rui Yang</w:t>
      </w:r>
    </w:p>
    <w:p>
      <w:pPr>
        <w:spacing w:after="0" w:line="25" w:lineRule="exact"/>
        <w:rPr>
          <w:sz w:val="20"/>
          <w:szCs w:val="20"/>
          <w:color w:val="auto"/>
        </w:rPr>
      </w:pPr>
    </w:p>
    <w:p>
      <w:pPr>
        <w:ind w:left="722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color w:val="auto"/>
        </w:rPr>
        <w:t>(Principal Financial and</w:t>
      </w:r>
    </w:p>
    <w:p>
      <w:pPr>
        <w:spacing w:after="0" w:line="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6"/>
          <w:szCs w:val="16"/>
          <w:color w:val="auto"/>
        </w:rPr>
        <w:t>Accounting Officer)</w:t>
      </w:r>
    </w:p>
    <w:p>
      <w:pPr>
        <w:sectPr>
          <w:pgSz w:w="11900" w:h="16838" w:orient="portrait"/>
          <w:cols w:equalWidth="0" w:num="1">
            <w:col w:w="11260"/>
          </w:cols>
          <w:pgMar w:left="320" w:top="120" w:right="319" w:bottom="1440" w:gutter="0" w:footer="0" w:header="0"/>
        </w:sectPr>
      </w:pPr>
    </w:p>
    <w:bookmarkStart w:id="581" w:name="page582"/>
    <w:bookmarkEnd w:id="581"/>
    <w:tbl>
      <w:tblPr>
        <w:tblLayout w:type="fixed"/>
        <w:tblInd w:w="0" w:type="dxa"/>
        <w:tblCellMar>
          <w:top w:w="0" w:type="dxa"/>
          <w:left w:w="0" w:type="dxa"/>
          <w:bottom w:w="0" w:type="dxa"/>
          <w:right w:w="0" w:type="dxa"/>
        </w:tblCellMar>
      </w:tblPr>
      <w:tr>
        <w:trPr>
          <w:trHeight w:val="254"/>
        </w:trPr>
        <w:tc>
          <w:tcPr>
            <w:tcW w:w="9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Pr>
          <w:p>
            <w:pPr>
              <w:ind w:left="700"/>
              <w:spacing w:after="0"/>
              <w:rPr>
                <w:sz w:val="20"/>
                <w:szCs w:val="20"/>
                <w:color w:val="auto"/>
              </w:rPr>
            </w:pPr>
            <w:r>
              <w:rPr>
                <w:rFonts w:ascii="Times New Roman" w:cs="Times New Roman" w:eastAsia="Times New Roman" w:hAnsi="Times New Roman"/>
                <w:sz w:val="19"/>
                <w:szCs w:val="19"/>
                <w:b w:val="1"/>
                <w:bCs w:val="1"/>
                <w:color w:val="auto"/>
                <w:w w:val="99"/>
              </w:rPr>
              <w:t>Exhibit 21.1</w:t>
            </w:r>
          </w:p>
        </w:tc>
      </w:tr>
      <w:tr>
        <w:trPr>
          <w:trHeight w:val="411"/>
        </w:trPr>
        <w:tc>
          <w:tcPr>
            <w:tcW w:w="9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the Entity</w:t>
            </w:r>
          </w:p>
        </w:tc>
        <w:tc>
          <w:tcPr>
            <w:tcW w:w="220" w:type="dxa"/>
            <w:vAlign w:val="bottom"/>
          </w:tcPr>
          <w:p>
            <w:pPr>
              <w:spacing w:after="0"/>
              <w:rPr>
                <w:sz w:val="24"/>
                <w:szCs w:val="24"/>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8"/>
        </w:trPr>
        <w:tc>
          <w:tcPr>
            <w:tcW w:w="9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Qinheng Co., Limited</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Qiner Co., Limited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Hong Kong</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Qincheng Information Technology Co.,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Shanghai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Dalian Co.,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Beijing Hengtong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JAJI (Shanghai) Co.,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JAJI (Shanghai) Human Resource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Technology (Singapore)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Technology (HK)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Hong Kong</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Shenzhen Co.,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Guangzhou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Technology (US)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Delware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Technology (California) Inc.</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California</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Hangzhou Co.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Ridik Pte.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Ridik Consulting Private Limited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India</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Ridik Sdn. Bhd.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Malaysia</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Ridik Software Solutions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Technology Japan</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Japan</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Qinson Credit Card Services Limited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Hainan Qincheng Software Technology Co.Ltd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Xian Co.,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Shanghai Chenqin Information Technology Services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Growth Ring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Arabian Jasmine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Noni (SINGAPORE)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CLPS-Beefinance Holding Limited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Qinson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LQE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Ridik Technology (Philippines) Corp</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Philippines</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MSCT Investment Holdings Limited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MNYC HOLDINGS (HK) LIMITED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CLPS Chengdu Co.,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CLPS Investment Management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BVI</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Ridik Technology Canada Limited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Canada</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JAJI Global Incorporation</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JAJI Singapore Pte. Ltd.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Qinson Singapore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Shanghai Yingjia Technology Limited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PRC</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College of Allied Educators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Purple Potato Finance Limited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Hong Kong</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Shell Infotech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Shell Infotech Consulting Sdn. Bhd</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Malaysia</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Ridik Technology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Dubai</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PT Ridik Fintech Services</w:t>
            </w:r>
          </w:p>
        </w:tc>
        <w:tc>
          <w:tcPr>
            <w:tcW w:w="1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Indonesia</w:t>
            </w:r>
          </w:p>
        </w:tc>
      </w:tr>
      <w:tr>
        <w:trPr>
          <w:trHeight w:val="224"/>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Ridik Technology Services Pte. Ltd.</w:t>
            </w:r>
          </w:p>
        </w:tc>
        <w:tc>
          <w:tcPr>
            <w:tcW w:w="1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Singapore</w:t>
            </w:r>
          </w:p>
        </w:tc>
      </w:tr>
    </w:tbl>
    <w:p>
      <w:pPr>
        <w:sectPr>
          <w:pgSz w:w="11900" w:h="16838" w:orient="portrait"/>
          <w:cols w:equalWidth="0" w:num="1">
            <w:col w:w="11260"/>
          </w:cols>
          <w:pgMar w:left="320" w:top="111" w:right="319" w:bottom="1440" w:gutter="0" w:footer="0" w:header="0"/>
        </w:sectPr>
      </w:pPr>
    </w:p>
    <w:bookmarkStart w:id="582" w:name="page583"/>
    <w:bookmarkEnd w:id="582"/>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01" w:lineRule="exact"/>
        <w:rPr>
          <w:sz w:val="20"/>
          <w:szCs w:val="20"/>
          <w:color w:val="auto"/>
        </w:rPr>
      </w:pPr>
    </w:p>
    <w:p>
      <w:pPr>
        <w:ind w:left="580" w:right="20" w:hanging="295"/>
        <w:spacing w:after="0" w:line="283" w:lineRule="auto"/>
        <w:tabs>
          <w:tab w:leader="none" w:pos="580" w:val="left"/>
        </w:tabs>
        <w:numPr>
          <w:ilvl w:val="0"/>
          <w:numId w:val="7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333-271860) pertaining to the 2023 Equity Incentive Plan of CLPS Incorporation and Post-Effective Amendment No. 1 to the Registration Statement (Form S-8 No. 333-271860) of CLPS Incorporation,</w:t>
      </w:r>
    </w:p>
    <w:p>
      <w:pPr>
        <w:spacing w:after="0" w:line="167" w:lineRule="exact"/>
        <w:rPr>
          <w:rFonts w:ascii="Times New Roman" w:cs="Times New Roman" w:eastAsia="Times New Roman" w:hAnsi="Times New Roman"/>
          <w:sz w:val="16"/>
          <w:szCs w:val="16"/>
          <w:color w:val="auto"/>
        </w:rPr>
      </w:pPr>
    </w:p>
    <w:p>
      <w:pPr>
        <w:ind w:left="580" w:hanging="295"/>
        <w:spacing w:after="0"/>
        <w:tabs>
          <w:tab w:leader="none" w:pos="580" w:val="left"/>
        </w:tabs>
        <w:numPr>
          <w:ilvl w:val="0"/>
          <w:numId w:val="7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F-3 No. 333-254910) and Amendment No.1 to the Registration Statement (Form F-3 No. 333-254910) of CLPS Incorporation, and</w:t>
      </w:r>
    </w:p>
    <w:p>
      <w:pPr>
        <w:spacing w:after="0" w:line="224" w:lineRule="exact"/>
        <w:rPr>
          <w:rFonts w:ascii="Times New Roman" w:cs="Times New Roman" w:eastAsia="Times New Roman" w:hAnsi="Times New Roman"/>
          <w:sz w:val="16"/>
          <w:szCs w:val="16"/>
          <w:color w:val="auto"/>
        </w:rPr>
      </w:pPr>
    </w:p>
    <w:p>
      <w:pPr>
        <w:ind w:left="580" w:right="20" w:hanging="295"/>
        <w:spacing w:after="0" w:line="283" w:lineRule="auto"/>
        <w:tabs>
          <w:tab w:leader="none" w:pos="580" w:val="left"/>
        </w:tabs>
        <w:numPr>
          <w:ilvl w:val="0"/>
          <w:numId w:val="7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F-3 No. 333-266951) and Amendments No.1, No.2, No.3 and No.4 to the Registration Statement (Form F-3 No. 333-266951) of CLPS Incorporation;</w:t>
      </w:r>
    </w:p>
    <w:p>
      <w:pPr>
        <w:spacing w:after="0" w:line="14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of our report dated October 17, 2025, with respect to the consolidated financial statements of CLPS Incorporation included in this Annual Report (Form 20-F) of CLPS Incorporation for the year ended June 30,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Hua Ming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The People’s Republic of China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17, 2025</w:t>
      </w:r>
    </w:p>
    <w:sectPr>
      <w:pgSz w:w="11900" w:h="16838" w:orient="portrait"/>
      <w:cols w:equalWidth="0" w:num="1">
        <w:col w:w="11260"/>
      </w:cols>
      <w:pgMar w:left="32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B683D0D"/>
    <w:multiLevelType w:val="hybridMultilevel"/>
    <w:lvl w:ilvl="0">
      <w:lvlJc w:val="left"/>
      <w:lvlText w:val="☐"/>
      <w:numFmt w:val="bullet"/>
      <w:start w:val="1"/>
    </w:lvl>
    <w:lvl w:ilvl="1">
      <w:lvlJc w:val="left"/>
      <w:lvlText w:val="☒"/>
      <w:numFmt w:val="bullet"/>
      <w:start w:val="1"/>
    </w:lvl>
  </w:abstractNum>
  <w:abstractNum w:abstractNumId="1">
    <w:nsid w:val="76E41D8"/>
    <w:multiLevelType w:val="hybridMultilevel"/>
    <w:lvl w:ilvl="0">
      <w:lvlJc w:val="left"/>
      <w:lvlText w:val="☐"/>
      <w:numFmt w:val="bullet"/>
      <w:start w:val="1"/>
    </w:lvl>
    <w:lvl w:ilvl="1">
      <w:lvlJc w:val="left"/>
      <w:lvlText w:val="☐"/>
      <w:numFmt w:val="bullet"/>
      <w:start w:val="1"/>
    </w:lvl>
  </w:abstractNum>
  <w:abstractNum w:abstractNumId="2">
    <w:nsid w:val="71DCE0FD"/>
    <w:multiLevelType w:val="hybridMultilevel"/>
    <w:lvl w:ilvl="0">
      <w:lvlJc w:val="left"/>
      <w:lvlText w:val="●"/>
      <w:numFmt w:val="bullet"/>
      <w:start w:val="1"/>
    </w:lvl>
  </w:abstractNum>
  <w:abstractNum w:abstractNumId="3">
    <w:nsid w:val="7906328B"/>
    <w:multiLevelType w:val="hybridMultilevel"/>
    <w:lvl w:ilvl="0">
      <w:lvlJc w:val="left"/>
      <w:lvlText w:val="●"/>
      <w:numFmt w:val="bullet"/>
      <w:start w:val="1"/>
    </w:lvl>
  </w:abstractNum>
  <w:abstractNum w:abstractNumId="4">
    <w:nsid w:val="72BBC16"/>
    <w:multiLevelType w:val="hybridMultilevel"/>
    <w:lvl w:ilvl="0">
      <w:lvlJc w:val="left"/>
      <w:lvlText w:val="●"/>
      <w:numFmt w:val="bullet"/>
      <w:start w:val="1"/>
    </w:lvl>
  </w:abstractNum>
  <w:abstractNum w:abstractNumId="5">
    <w:nsid w:val="766D98C2"/>
    <w:multiLevelType w:val="hybridMultilevel"/>
    <w:lvl w:ilvl="0">
      <w:lvlJc w:val="left"/>
      <w:lvlText w:val="%1."/>
      <w:numFmt w:val="upperLetter"/>
      <w:start w:val="1"/>
    </w:lvl>
  </w:abstractNum>
  <w:abstractNum w:abstractNumId="6">
    <w:nsid w:val="3C09D4A1"/>
    <w:multiLevelType w:val="hybridMultilevel"/>
    <w:lvl w:ilvl="0">
      <w:lvlJc w:val="left"/>
      <w:lvlText w:val="●"/>
      <w:numFmt w:val="bullet"/>
      <w:start w:val="1"/>
    </w:lvl>
  </w:abstractNum>
  <w:abstractNum w:abstractNumId="7">
    <w:nsid w:val="20E45CA4"/>
    <w:multiLevelType w:val="hybridMultilevel"/>
    <w:lvl w:ilvl="0">
      <w:lvlJc w:val="left"/>
      <w:lvlText w:val="●"/>
      <w:numFmt w:val="bullet"/>
      <w:start w:val="1"/>
    </w:lvl>
  </w:abstractNum>
  <w:abstractNum w:abstractNumId="8">
    <w:nsid w:val="4B232EE3"/>
    <w:multiLevelType w:val="hybridMultilevel"/>
    <w:lvl w:ilvl="0">
      <w:lvlJc w:val="left"/>
      <w:lvlText w:val="●"/>
      <w:numFmt w:val="bullet"/>
      <w:start w:val="1"/>
    </w:lvl>
  </w:abstractNum>
  <w:abstractNum w:abstractNumId="9">
    <w:nsid w:val="159C74CF"/>
    <w:multiLevelType w:val="hybridMultilevel"/>
    <w:lvl w:ilvl="0">
      <w:lvlJc w:val="left"/>
      <w:lvlText w:val="●"/>
      <w:numFmt w:val="bullet"/>
      <w:start w:val="1"/>
    </w:lvl>
  </w:abstractNum>
  <w:abstractNum w:abstractNumId="10">
    <w:nsid w:val="4AD3AFD2"/>
    <w:multiLevelType w:val="hybridMultilevel"/>
    <w:lvl w:ilvl="0">
      <w:lvlJc w:val="left"/>
      <w:lvlText w:val="●"/>
      <w:numFmt w:val="bullet"/>
      <w:start w:val="1"/>
    </w:lvl>
  </w:abstractNum>
  <w:abstractNum w:abstractNumId="11">
    <w:nsid w:val="3CF93092"/>
    <w:multiLevelType w:val="hybridMultilevel"/>
    <w:lvl w:ilvl="0">
      <w:lvlJc w:val="left"/>
      <w:lvlText w:val="●"/>
      <w:numFmt w:val="bullet"/>
      <w:start w:val="1"/>
    </w:lvl>
  </w:abstractNum>
  <w:abstractNum w:abstractNumId="12">
    <w:nsid w:val="6863E8D2"/>
    <w:multiLevelType w:val="hybridMultilevel"/>
    <w:lvl w:ilvl="0">
      <w:lvlJc w:val="left"/>
      <w:lvlText w:val="●"/>
      <w:numFmt w:val="bullet"/>
      <w:start w:val="1"/>
    </w:lvl>
  </w:abstractNum>
  <w:abstractNum w:abstractNumId="13">
    <w:nsid w:val="76896198"/>
    <w:multiLevelType w:val="hybridMultilevel"/>
    <w:lvl w:ilvl="0">
      <w:lvlJc w:val="left"/>
      <w:lvlText w:val="●"/>
      <w:numFmt w:val="bullet"/>
      <w:start w:val="1"/>
    </w:lvl>
  </w:abstractNum>
  <w:abstractNum w:abstractNumId="14">
    <w:nsid w:val="4365174B"/>
    <w:multiLevelType w:val="hybridMultilevel"/>
    <w:lvl w:ilvl="0">
      <w:lvlJc w:val="left"/>
      <w:lvlText w:val="●"/>
      <w:numFmt w:val="bullet"/>
      <w:start w:val="1"/>
    </w:lvl>
  </w:abstractNum>
  <w:abstractNum w:abstractNumId="15">
    <w:nsid w:val="4A872C35"/>
    <w:multiLevelType w:val="hybridMultilevel"/>
    <w:lvl w:ilvl="0">
      <w:lvlJc w:val="left"/>
      <w:lvlText w:val="●"/>
      <w:numFmt w:val="bullet"/>
      <w:start w:val="1"/>
    </w:lvl>
  </w:abstractNum>
  <w:abstractNum w:abstractNumId="16">
    <w:nsid w:val="5D5CE761"/>
    <w:multiLevelType w:val="hybridMultilevel"/>
    <w:lvl w:ilvl="0">
      <w:lvlJc w:val="left"/>
      <w:lvlText w:val="●"/>
      <w:numFmt w:val="bullet"/>
      <w:start w:val="1"/>
    </w:lvl>
  </w:abstractNum>
  <w:abstractNum w:abstractNumId="17">
    <w:nsid w:val="1CD484D5"/>
    <w:multiLevelType w:val="hybridMultilevel"/>
    <w:lvl w:ilvl="0">
      <w:lvlJc w:val="left"/>
      <w:lvlText w:val="●"/>
      <w:numFmt w:val="bullet"/>
      <w:start w:val="1"/>
    </w:lvl>
  </w:abstractNum>
  <w:abstractNum w:abstractNumId="18">
    <w:nsid w:val="21D06255"/>
    <w:multiLevelType w:val="hybridMultilevel"/>
    <w:lvl w:ilvl="0">
      <w:lvlJc w:val="left"/>
      <w:lvlText w:val="●"/>
      <w:numFmt w:val="bullet"/>
      <w:start w:val="1"/>
    </w:lvl>
  </w:abstractNum>
  <w:abstractNum w:abstractNumId="19">
    <w:nsid w:val="51194ED1"/>
    <w:multiLevelType w:val="hybridMultilevel"/>
    <w:lvl w:ilvl="0">
      <w:lvlJc w:val="left"/>
      <w:lvlText w:val="(%1)"/>
      <w:numFmt w:val="decimal"/>
      <w:start w:val="3"/>
    </w:lvl>
  </w:abstractNum>
  <w:abstractNum w:abstractNumId="20">
    <w:nsid w:val="44E2ED6C"/>
    <w:multiLevelType w:val="hybridMultilevel"/>
    <w:lvl w:ilvl="0">
      <w:lvlJc w:val="left"/>
      <w:lvlText w:val="●"/>
      <w:numFmt w:val="bullet"/>
      <w:start w:val="1"/>
    </w:lvl>
  </w:abstractNum>
  <w:abstractNum w:abstractNumId="21">
    <w:nsid w:val="2219B33"/>
    <w:multiLevelType w:val="hybridMultilevel"/>
    <w:lvl w:ilvl="0">
      <w:lvlJc w:val="left"/>
      <w:lvlText w:val="●"/>
      <w:numFmt w:val="bullet"/>
      <w:start w:val="1"/>
    </w:lvl>
  </w:abstractNum>
  <w:abstractNum w:abstractNumId="22">
    <w:nsid w:val="773BFBDD"/>
    <w:multiLevelType w:val="hybridMultilevel"/>
    <w:lvl w:ilvl="0">
      <w:lvlJc w:val="left"/>
      <w:lvlText w:val="●"/>
      <w:numFmt w:val="bullet"/>
      <w:start w:val="1"/>
    </w:lvl>
  </w:abstractNum>
  <w:abstractNum w:abstractNumId="23">
    <w:nsid w:val="2C7C62C2"/>
    <w:multiLevelType w:val="hybridMultilevel"/>
    <w:lvl w:ilvl="0">
      <w:lvlJc w:val="left"/>
      <w:lvlText w:val="●"/>
      <w:numFmt w:val="bullet"/>
      <w:start w:val="1"/>
    </w:lvl>
  </w:abstractNum>
  <w:abstractNum w:abstractNumId="24">
    <w:nsid w:val="1A54D7BC"/>
    <w:multiLevelType w:val="hybridMultilevel"/>
    <w:lvl w:ilvl="0">
      <w:lvlJc w:val="left"/>
      <w:lvlText w:val="●"/>
      <w:numFmt w:val="bullet"/>
      <w:start w:val="1"/>
    </w:lvl>
  </w:abstractNum>
  <w:abstractNum w:abstractNumId="25">
    <w:nsid w:val="42E57EF7"/>
    <w:multiLevelType w:val="hybridMultilevel"/>
    <w:lvl w:ilvl="0">
      <w:lvlJc w:val="left"/>
      <w:lvlText w:val="●"/>
      <w:numFmt w:val="bullet"/>
      <w:start w:val="1"/>
    </w:lvl>
  </w:abstractNum>
  <w:abstractNum w:abstractNumId="26">
    <w:nsid w:val="33537CED"/>
    <w:multiLevelType w:val="hybridMultilevel"/>
    <w:lvl w:ilvl="0">
      <w:lvlJc w:val="left"/>
      <w:lvlText w:val="%1."/>
      <w:numFmt w:val="upperLetter"/>
      <w:start w:val="2"/>
    </w:lvl>
  </w:abstractNum>
  <w:abstractNum w:abstractNumId="27">
    <w:nsid w:val="27514ADE"/>
    <w:multiLevelType w:val="hybridMultilevel"/>
    <w:lvl w:ilvl="0">
      <w:lvlJc w:val="left"/>
      <w:lvlText w:val="●"/>
      <w:numFmt w:val="bullet"/>
      <w:start w:val="1"/>
    </w:lvl>
  </w:abstractNum>
  <w:abstractNum w:abstractNumId="28">
    <w:nsid w:val="57071613"/>
    <w:multiLevelType w:val="hybridMultilevel"/>
    <w:lvl w:ilvl="0">
      <w:lvlJc w:val="left"/>
      <w:lvlText w:val="●"/>
      <w:numFmt w:val="bullet"/>
      <w:start w:val="1"/>
    </w:lvl>
  </w:abstractNum>
  <w:abstractNum w:abstractNumId="29">
    <w:nsid w:val="5293BFEF"/>
    <w:multiLevelType w:val="hybridMultilevel"/>
    <w:lvl w:ilvl="0">
      <w:lvlJc w:val="left"/>
      <w:lvlText w:val="●"/>
      <w:numFmt w:val="bullet"/>
      <w:start w:val="1"/>
    </w:lvl>
  </w:abstractNum>
  <w:abstractNum w:abstractNumId="30">
    <w:nsid w:val="38BF53E5"/>
    <w:multiLevelType w:val="hybridMultilevel"/>
    <w:lvl w:ilvl="0">
      <w:lvlJc w:val="left"/>
      <w:lvlText w:val="●"/>
      <w:numFmt w:val="bullet"/>
      <w:start w:val="1"/>
    </w:lvl>
  </w:abstractNum>
  <w:abstractNum w:abstractNumId="31">
    <w:nsid w:val="226F5320"/>
    <w:multiLevelType w:val="hybridMultilevel"/>
    <w:lvl w:ilvl="0">
      <w:lvlJc w:val="left"/>
      <w:lvlText w:val="●"/>
      <w:numFmt w:val="bullet"/>
      <w:start w:val="1"/>
    </w:lvl>
  </w:abstractNum>
  <w:abstractNum w:abstractNumId="32">
    <w:nsid w:val="5A0201C7"/>
    <w:multiLevelType w:val="hybridMultilevel"/>
    <w:lvl w:ilvl="0">
      <w:lvlJc w:val="left"/>
      <w:lvlText w:val="●"/>
      <w:numFmt w:val="bullet"/>
      <w:start w:val="1"/>
    </w:lvl>
  </w:abstractNum>
  <w:abstractNum w:abstractNumId="33">
    <w:nsid w:val="2A9C34E2"/>
    <w:multiLevelType w:val="hybridMultilevel"/>
    <w:lvl w:ilvl="0">
      <w:lvlJc w:val="left"/>
      <w:lvlText w:val="●"/>
      <w:numFmt w:val="bullet"/>
      <w:start w:val="1"/>
    </w:lvl>
  </w:abstractNum>
  <w:abstractNum w:abstractNumId="34">
    <w:nsid w:val="1B7585AB"/>
    <w:multiLevelType w:val="hybridMultilevel"/>
    <w:lvl w:ilvl="0">
      <w:lvlJc w:val="left"/>
      <w:lvlText w:val="●"/>
      <w:numFmt w:val="bullet"/>
      <w:start w:val="1"/>
    </w:lvl>
  </w:abstractNum>
  <w:abstractNum w:abstractNumId="35">
    <w:nsid w:val="612DBDDD"/>
    <w:multiLevelType w:val="hybridMultilevel"/>
    <w:lvl w:ilvl="0">
      <w:lvlJc w:val="left"/>
      <w:lvlText w:val="●"/>
      <w:numFmt w:val="bullet"/>
      <w:start w:val="1"/>
    </w:lvl>
  </w:abstractNum>
  <w:abstractNum w:abstractNumId="36">
    <w:nsid w:val="2109CDA4"/>
    <w:multiLevelType w:val="hybridMultilevel"/>
    <w:lvl w:ilvl="0">
      <w:lvlJc w:val="left"/>
      <w:lvlText w:val="●"/>
      <w:numFmt w:val="bullet"/>
      <w:start w:val="1"/>
    </w:lvl>
  </w:abstractNum>
  <w:abstractNum w:abstractNumId="37">
    <w:nsid w:val="577F5A4D"/>
    <w:multiLevelType w:val="hybridMultilevel"/>
    <w:lvl w:ilvl="0">
      <w:lvlJc w:val="left"/>
      <w:lvlText w:val="●"/>
      <w:numFmt w:val="bullet"/>
      <w:start w:val="1"/>
    </w:lvl>
  </w:abstractNum>
  <w:abstractNum w:abstractNumId="38">
    <w:nsid w:val="2121A81"/>
    <w:multiLevelType w:val="hybridMultilevel"/>
    <w:lvl w:ilvl="0">
      <w:lvlJc w:val="left"/>
      <w:lvlText w:val="(%1)"/>
      <w:numFmt w:val="decimal"/>
      <w:start w:val="1"/>
    </w:lvl>
  </w:abstractNum>
  <w:abstractNum w:abstractNumId="39">
    <w:nsid w:val="6C2CFC88"/>
    <w:multiLevelType w:val="hybridMultilevel"/>
    <w:lvl w:ilvl="0">
      <w:lvlJc w:val="left"/>
      <w:lvlText w:val="(%1)"/>
      <w:numFmt w:val="decimal"/>
      <w:start w:val="1"/>
    </w:lvl>
  </w:abstractNum>
  <w:abstractNum w:abstractNumId="40">
    <w:nsid w:val="6D1BCF1C"/>
    <w:multiLevelType w:val="hybridMultilevel"/>
    <w:lvl w:ilvl="0">
      <w:lvlJc w:val="left"/>
      <w:lvlText w:val="(%1)"/>
      <w:numFmt w:val="decimal"/>
      <w:start w:val="5"/>
    </w:lvl>
  </w:abstractNum>
  <w:abstractNum w:abstractNumId="41">
    <w:nsid w:val="4CE5CA53"/>
    <w:multiLevelType w:val="hybridMultilevel"/>
    <w:lvl w:ilvl="0">
      <w:lvlJc w:val="left"/>
      <w:lvlText w:val="%1."/>
      <w:numFmt w:val="upperLetter"/>
      <w:start w:val="3"/>
    </w:lvl>
  </w:abstractNum>
  <w:abstractNum w:abstractNumId="42">
    <w:nsid w:val="29262D1A"/>
    <w:multiLevelType w:val="hybridMultilevel"/>
    <w:lvl w:ilvl="0">
      <w:lvlJc w:val="left"/>
      <w:lvlText w:val="●"/>
      <w:numFmt w:val="bullet"/>
      <w:start w:val="1"/>
    </w:lvl>
  </w:abstractNum>
  <w:abstractNum w:abstractNumId="43">
    <w:nsid w:val="557FB7EE"/>
    <w:multiLevelType w:val="hybridMultilevel"/>
    <w:lvl w:ilvl="0">
      <w:lvlJc w:val="left"/>
      <w:lvlText w:val="●"/>
      <w:numFmt w:val="bullet"/>
      <w:start w:val="1"/>
    </w:lvl>
  </w:abstractNum>
  <w:abstractNum w:abstractNumId="44">
    <w:nsid w:val="436F2BEB"/>
    <w:multiLevelType w:val="hybridMultilevel"/>
    <w:lvl w:ilvl="0">
      <w:lvlJc w:val="left"/>
      <w:lvlText w:val="●"/>
      <w:numFmt w:val="bullet"/>
      <w:start w:val="1"/>
    </w:lvl>
  </w:abstractNum>
  <w:abstractNum w:abstractNumId="45">
    <w:nsid w:val="6C8B4466"/>
    <w:multiLevelType w:val="hybridMultilevel"/>
    <w:lvl w:ilvl="0">
      <w:lvlJc w:val="left"/>
      <w:lvlText w:val="●"/>
      <w:numFmt w:val="bullet"/>
      <w:start w:val="1"/>
    </w:lvl>
  </w:abstractNum>
  <w:abstractNum w:abstractNumId="46">
    <w:nsid w:val="2006E424"/>
    <w:multiLevelType w:val="hybridMultilevel"/>
    <w:lvl w:ilvl="0">
      <w:lvlJc w:val="left"/>
      <w:lvlText w:val="●"/>
      <w:numFmt w:val="bullet"/>
      <w:start w:val="1"/>
    </w:lvl>
  </w:abstractNum>
  <w:abstractNum w:abstractNumId="47">
    <w:nsid w:val="20CC134C"/>
    <w:multiLevelType w:val="hybridMultilevel"/>
    <w:lvl w:ilvl="0">
      <w:lvlJc w:val="left"/>
      <w:lvlText w:val="%1."/>
      <w:numFmt w:val="upperLetter"/>
      <w:start w:val="4"/>
    </w:lvl>
  </w:abstractNum>
  <w:abstractNum w:abstractNumId="48">
    <w:nsid w:val="95FC93B"/>
    <w:multiLevelType w:val="hybridMultilevel"/>
    <w:lvl w:ilvl="0">
      <w:lvlJc w:val="left"/>
      <w:lvlText w:val="%1."/>
      <w:numFmt w:val="upperLetter"/>
      <w:start w:val="1"/>
    </w:lvl>
  </w:abstractNum>
  <w:abstractNum w:abstractNumId="49">
    <w:nsid w:val="41D74679"/>
    <w:multiLevelType w:val="hybridMultilevel"/>
    <w:lvl w:ilvl="0">
      <w:lvlJc w:val="left"/>
      <w:lvlText w:val="(%1)"/>
      <w:numFmt w:val="decimal"/>
      <w:start w:val="1"/>
    </w:lvl>
  </w:abstractNum>
  <w:abstractNum w:abstractNumId="50">
    <w:nsid w:val="71E5621E"/>
    <w:multiLevelType w:val="hybridMultilevel"/>
    <w:lvl w:ilvl="0">
      <w:lvlJc w:val="left"/>
      <w:lvlText w:val="(%1)"/>
      <w:numFmt w:val="decimal"/>
      <w:start w:val="3"/>
    </w:lvl>
  </w:abstractNum>
  <w:abstractNum w:abstractNumId="51">
    <w:nsid w:val="4E42B6A8"/>
    <w:multiLevelType w:val="hybridMultilevel"/>
    <w:lvl w:ilvl="0">
      <w:lvlJc w:val="left"/>
      <w:lvlText w:val="(%1)"/>
      <w:numFmt w:val="decimal"/>
      <w:start w:val="6"/>
    </w:lvl>
  </w:abstractNum>
  <w:abstractNum w:abstractNumId="52">
    <w:nsid w:val="43F8E1AC"/>
    <w:multiLevelType w:val="hybridMultilevel"/>
    <w:lvl w:ilvl="0">
      <w:lvlJc w:val="left"/>
      <w:lvlText w:val="%1."/>
      <w:numFmt w:val="upperLetter"/>
      <w:start w:val="2"/>
    </w:lvl>
  </w:abstractNum>
  <w:abstractNum w:abstractNumId="53">
    <w:nsid w:val="69215DFB"/>
    <w:multiLevelType w:val="hybridMultilevel"/>
    <w:lvl w:ilvl="0">
      <w:lvlJc w:val="left"/>
      <w:lvlText w:val="(%1)"/>
      <w:numFmt w:val="lowerLetter"/>
      <w:start w:val="1"/>
    </w:lvl>
  </w:abstractNum>
  <w:abstractNum w:abstractNumId="54">
    <w:nsid w:val="7ABF196A"/>
    <w:multiLevelType w:val="hybridMultilevel"/>
    <w:lvl w:ilvl="0">
      <w:lvlJc w:val="left"/>
      <w:lvlText w:val="%1"/>
      <w:numFmt w:val="decimal"/>
      <w:start w:val="170"/>
    </w:lvl>
  </w:abstractNum>
  <w:abstractNum w:abstractNumId="55">
    <w:nsid w:val="5E4DB968"/>
    <w:multiLevelType w:val="hybridMultilevel"/>
    <w:lvl w:ilvl="0">
      <w:lvlJc w:val="left"/>
      <w:lvlText w:val="(%1)"/>
      <w:numFmt w:val="lowerLetter"/>
      <w:start w:val="2"/>
    </w:lvl>
  </w:abstractNum>
  <w:abstractNum w:abstractNumId="56">
    <w:nsid w:val="2C06DCF3"/>
    <w:multiLevelType w:val="hybridMultilevel"/>
    <w:lvl w:ilvl="0">
      <w:lvlJc w:val="left"/>
      <w:lvlText w:val="%1)"/>
      <w:numFmt w:val="lowerLetter"/>
      <w:start w:val="1"/>
    </w:lvl>
  </w:abstractNum>
  <w:abstractNum w:abstractNumId="57">
    <w:nsid w:val="2E129658"/>
    <w:multiLevelType w:val="hybridMultilevel"/>
    <w:lvl w:ilvl="0">
      <w:lvlJc w:val="left"/>
      <w:lvlText w:val="%1)"/>
      <w:numFmt w:val="lowerLetter"/>
      <w:start w:val="3"/>
    </w:lvl>
  </w:abstractNum>
  <w:abstractNum w:abstractNumId="58">
    <w:nsid w:val="59F0446"/>
    <w:multiLevelType w:val="hybridMultilevel"/>
    <w:lvl w:ilvl="0">
      <w:lvlJc w:val="left"/>
      <w:lvlText w:val="%1)"/>
      <w:numFmt w:val="lowerLetter"/>
      <w:start w:val="4"/>
    </w:lvl>
  </w:abstractNum>
  <w:abstractNum w:abstractNumId="59">
    <w:nsid w:val="30DF306"/>
    <w:multiLevelType w:val="hybridMultilevel"/>
    <w:lvl w:ilvl="0">
      <w:lvlJc w:val="left"/>
      <w:lvlText w:val="%1)"/>
      <w:numFmt w:val="lowerLetter"/>
      <w:start w:val="5"/>
    </w:lvl>
  </w:abstractNum>
  <w:abstractNum w:abstractNumId="60">
    <w:nsid w:val="A65647"/>
    <w:multiLevelType w:val="hybridMultilevel"/>
    <w:lvl w:ilvl="0">
      <w:lvlJc w:val="left"/>
      <w:lvlText w:val="%1)"/>
      <w:numFmt w:val="lowerLetter"/>
      <w:start w:val="6"/>
    </w:lvl>
  </w:abstractNum>
  <w:abstractNum w:abstractNumId="61">
    <w:nsid w:val="3E5E582B"/>
    <w:multiLevelType w:val="hybridMultilevel"/>
    <w:lvl w:ilvl="0">
      <w:lvlJc w:val="left"/>
      <w:lvlText w:val="%1)"/>
      <w:numFmt w:val="lowerLetter"/>
      <w:start w:val="7"/>
    </w:lvl>
  </w:abstractNum>
  <w:abstractNum w:abstractNumId="62">
    <w:nsid w:val="257D4626"/>
    <w:multiLevelType w:val="hybridMultilevel"/>
    <w:lvl w:ilvl="0">
      <w:lvlJc w:val="left"/>
      <w:lvlText w:val="%1."/>
      <w:numFmt w:val="upperLetter"/>
      <w:start w:val="3"/>
    </w:lvl>
  </w:abstractNum>
  <w:abstractNum w:abstractNumId="63">
    <w:nsid w:val="5AA8580E"/>
    <w:multiLevelType w:val="hybridMultilevel"/>
    <w:lvl w:ilvl="0">
      <w:lvlJc w:val="left"/>
      <w:lvlText w:val="%1."/>
      <w:numFmt w:val="upperLetter"/>
      <w:start w:val="1"/>
    </w:lvl>
  </w:abstractNum>
  <w:abstractNum w:abstractNumId="64">
    <w:nsid w:val="68FA8D0D"/>
    <w:multiLevelType w:val="hybridMultilevel"/>
    <w:lvl w:ilvl="0">
      <w:lvlJc w:val="left"/>
      <w:lvlText w:val="%1."/>
      <w:numFmt w:val="upperLetter"/>
      <w:start w:val="2"/>
    </w:lvl>
  </w:abstractNum>
  <w:abstractNum w:abstractNumId="65">
    <w:nsid w:val="40F2CBD2"/>
    <w:multiLevelType w:val="hybridMultilevel"/>
    <w:lvl w:ilvl="0">
      <w:lvlJc w:val="left"/>
      <w:lvlText w:val="%1."/>
      <w:numFmt w:val="upperLetter"/>
      <w:start w:val="1"/>
    </w:lvl>
  </w:abstractNum>
  <w:abstractNum w:abstractNumId="66">
    <w:nsid w:val="3BD615EB"/>
    <w:multiLevelType w:val="hybridMultilevel"/>
    <w:lvl w:ilvl="0">
      <w:lvlJc w:val="left"/>
      <w:lvlText w:val="%1."/>
      <w:numFmt w:val="upperLetter"/>
      <w:start w:val="2"/>
    </w:lvl>
  </w:abstractNum>
  <w:abstractNum w:abstractNumId="67">
    <w:nsid w:val="A045AB2"/>
    <w:multiLevelType w:val="hybridMultilevel"/>
    <w:lvl w:ilvl="0">
      <w:lvlJc w:val="left"/>
      <w:lvlText w:val="%1."/>
      <w:numFmt w:val="upperLetter"/>
      <w:start w:val="3"/>
    </w:lvl>
  </w:abstractNum>
  <w:abstractNum w:abstractNumId="68">
    <w:nsid w:val="1872261F"/>
    <w:multiLevelType w:val="hybridMultilevel"/>
    <w:lvl w:ilvl="0">
      <w:lvlJc w:val="left"/>
      <w:lvlText w:val="%1."/>
      <w:numFmt w:val="upperLetter"/>
      <w:start w:val="4"/>
    </w:lvl>
  </w:abstractNum>
  <w:abstractNum w:abstractNumId="69">
    <w:nsid w:val="3DE8306C"/>
    <w:multiLevelType w:val="hybridMultilevel"/>
    <w:lvl w:ilvl="0">
      <w:lvlJc w:val="left"/>
      <w:lvlText w:val="%1."/>
      <w:numFmt w:val="upperLetter"/>
      <w:start w:val="5"/>
    </w:lvl>
  </w:abstractNum>
  <w:abstractNum w:abstractNumId="70">
    <w:nsid w:val="7631573A"/>
    <w:multiLevelType w:val="hybridMultilevel"/>
    <w:lvl w:ilvl="0">
      <w:lvlJc w:val="left"/>
      <w:lvlText w:val="%1."/>
      <w:numFmt w:val="upperLetter"/>
      <w:start w:val="6"/>
    </w:lvl>
  </w:abstractNum>
  <w:abstractNum w:abstractNumId="71">
    <w:nsid w:val="58DF53B"/>
    <w:multiLevelType w:val="hybridMultilevel"/>
    <w:lvl w:ilvl="0">
      <w:lvlJc w:val="left"/>
      <w:lvlText w:val="%1."/>
      <w:numFmt w:val="upperLetter"/>
      <w:start w:val="1"/>
    </w:lvl>
  </w:abstractNum>
  <w:abstractNum w:abstractNumId="72">
    <w:nsid w:val="ACDFAC0"/>
    <w:multiLevelType w:val="hybridMultilevel"/>
    <w:lvl w:ilvl="0">
      <w:lvlJc w:val="left"/>
      <w:lvlText w:val="%1."/>
      <w:numFmt w:val="upperLetter"/>
      <w:start w:val="2"/>
    </w:lvl>
  </w:abstractNum>
  <w:abstractNum w:abstractNumId="73">
    <w:nsid w:val="1F578454"/>
    <w:multiLevelType w:val="hybridMultilevel"/>
    <w:lvl w:ilvl="0">
      <w:lvlJc w:val="left"/>
      <w:lvlText w:val="%1."/>
      <w:numFmt w:val="upperLetter"/>
      <w:start w:val="3"/>
    </w:lvl>
  </w:abstractNum>
  <w:abstractNum w:abstractNumId="74">
    <w:nsid w:val="5B0DAD2A"/>
    <w:multiLevelType w:val="hybridMultilevel"/>
    <w:lvl w:ilvl="0">
      <w:lvlJc w:val="left"/>
      <w:lvlText w:val="%1."/>
      <w:numFmt w:val="upperLetter"/>
      <w:start w:val="4"/>
    </w:lvl>
  </w:abstractNum>
  <w:abstractNum w:abstractNumId="75">
    <w:nsid w:val="4E3D26AB"/>
    <w:multiLevelType w:val="hybridMultilevel"/>
    <w:lvl w:ilvl="0">
      <w:lvlJc w:val="left"/>
      <w:lvlText w:val="%1."/>
      <w:numFmt w:val="upperLetter"/>
      <w:start w:val="5"/>
    </w:lvl>
  </w:abstractNum>
  <w:abstractNum w:abstractNumId="76">
    <w:nsid w:val="BE2C8BA"/>
    <w:multiLevelType w:val="hybridMultilevel"/>
    <w:lvl w:ilvl="0">
      <w:lvlJc w:val="left"/>
      <w:lvlText w:val="●"/>
      <w:numFmt w:val="bullet"/>
      <w:start w:val="1"/>
    </w:lvl>
  </w:abstractNum>
  <w:abstractNum w:abstractNumId="77">
    <w:nsid w:val="7B14914E"/>
    <w:multiLevelType w:val="hybridMultilevel"/>
    <w:lvl w:ilvl="0">
      <w:lvlJc w:val="left"/>
      <w:lvlText w:val="●"/>
      <w:numFmt w:val="bullet"/>
      <w:start w:val="1"/>
    </w:lvl>
  </w:abstractNum>
  <w:abstractNum w:abstractNumId="78">
    <w:nsid w:val="6F0939F8"/>
    <w:multiLevelType w:val="hybridMultilevel"/>
    <w:lvl w:ilvl="0">
      <w:lvlJc w:val="left"/>
      <w:lvlText w:val="●"/>
      <w:numFmt w:val="bullet"/>
      <w:start w:val="1"/>
    </w:lvl>
  </w:abstractNum>
  <w:abstractNum w:abstractNumId="79">
    <w:nsid w:val="154291F6"/>
    <w:multiLevelType w:val="hybridMultilevel"/>
    <w:lvl w:ilvl="0">
      <w:lvlJc w:val="left"/>
      <w:lvlText w:val="●"/>
      <w:numFmt w:val="bullet"/>
      <w:start w:val="1"/>
    </w:lvl>
  </w:abstractNum>
  <w:abstractNum w:abstractNumId="80">
    <w:nsid w:val="3CEBD7C7"/>
    <w:multiLevelType w:val="hybridMultilevel"/>
    <w:lvl w:ilvl="0">
      <w:lvlJc w:val="left"/>
      <w:lvlText w:val="●"/>
      <w:numFmt w:val="bullet"/>
      <w:start w:val="1"/>
    </w:lvl>
  </w:abstractNum>
  <w:abstractNum w:abstractNumId="81">
    <w:nsid w:val="60EE9C16"/>
    <w:multiLevelType w:val="hybridMultilevel"/>
    <w:lvl w:ilvl="0">
      <w:lvlJc w:val="left"/>
      <w:lvlText w:val="*"/>
      <w:numFmt w:val="bullet"/>
      <w:start w:val="1"/>
    </w:lvl>
  </w:abstractNum>
  <w:abstractNum w:abstractNumId="82">
    <w:nsid w:val="6385489E"/>
    <w:multiLevelType w:val="hybridMultilevel"/>
    <w:lvl w:ilvl="0">
      <w:lvlJc w:val="left"/>
      <w:lvlText w:val="**"/>
      <w:numFmt w:val="bullet"/>
      <w:start w:val="1"/>
    </w:lvl>
  </w:abstractNum>
  <w:abstractNum w:abstractNumId="83">
    <w:nsid w:val="E4B973"/>
    <w:multiLevelType w:val="hybridMultilevel"/>
    <w:lvl w:ilvl="0">
      <w:lvlJc w:val="left"/>
      <w:lvlText w:val="(%1)"/>
      <w:numFmt w:val="lowerLetter"/>
      <w:start w:val="1"/>
    </w:lvl>
  </w:abstractNum>
  <w:abstractNum w:abstractNumId="84">
    <w:nsid w:val="4A0FFA11"/>
    <w:multiLevelType w:val="hybridMultilevel"/>
    <w:lvl w:ilvl="0">
      <w:lvlJc w:val="left"/>
      <w:lvlText w:val="%1)"/>
      <w:numFmt w:val="lowerLetter"/>
      <w:start w:val="2"/>
    </w:lvl>
  </w:abstractNum>
  <w:abstractNum w:abstractNumId="85">
    <w:nsid w:val="5E446208"/>
    <w:multiLevelType w:val="hybridMultilevel"/>
    <w:lvl w:ilvl="0">
      <w:lvlJc w:val="left"/>
      <w:lvlText w:val="%1)"/>
      <w:numFmt w:val="lowerLetter"/>
      <w:start w:val="3"/>
    </w:lvl>
  </w:abstractNum>
  <w:abstractNum w:abstractNumId="86">
    <w:nsid w:val="5F3272DB"/>
    <w:multiLevelType w:val="hybridMultilevel"/>
    <w:lvl w:ilvl="0">
      <w:lvlJc w:val="left"/>
      <w:lvlText w:val="%1)"/>
      <w:numFmt w:val="lowerLetter"/>
      <w:start w:val="4"/>
    </w:lvl>
  </w:abstractNum>
  <w:abstractNum w:abstractNumId="87">
    <w:nsid w:val="7616D704"/>
    <w:multiLevelType w:val="hybridMultilevel"/>
    <w:lvl w:ilvl="0">
      <w:lvlJc w:val="left"/>
      <w:lvlText w:val="%1)"/>
      <w:numFmt w:val="lowerLetter"/>
      <w:start w:val="5"/>
    </w:lvl>
  </w:abstractNum>
  <w:abstractNum w:abstractNumId="88">
    <w:nsid w:val="C56F860"/>
    <w:multiLevelType w:val="hybridMultilevel"/>
    <w:lvl w:ilvl="0">
      <w:lvlJc w:val="left"/>
      <w:lvlText w:val="*"/>
      <w:numFmt w:val="bullet"/>
      <w:start w:val="1"/>
    </w:lvl>
  </w:abstractNum>
  <w:abstractNum w:abstractNumId="89">
    <w:nsid w:val="64D17722"/>
    <w:multiLevelType w:val="hybridMultilevel"/>
    <w:lvl w:ilvl="0">
      <w:lvlJc w:val="left"/>
      <w:lvlText w:val="**"/>
      <w:numFmt w:val="bullet"/>
      <w:start w:val="1"/>
    </w:lvl>
  </w:abstractNum>
  <w:abstractNum w:abstractNumId="90">
    <w:nsid w:val="7924CA0A"/>
    <w:multiLevelType w:val="hybridMultilevel"/>
    <w:lvl w:ilvl="0">
      <w:lvlJc w:val="left"/>
      <w:lvlText w:val="*"/>
      <w:numFmt w:val="bullet"/>
      <w:start w:val="1"/>
    </w:lvl>
  </w:abstractNum>
  <w:abstractNum w:abstractNumId="91">
    <w:nsid w:val="CFD4EA7"/>
    <w:multiLevelType w:val="hybridMultilevel"/>
    <w:lvl w:ilvl="0">
      <w:lvlJc w:val="left"/>
      <w:lvlText w:val="2"/>
      <w:numFmt w:val="bullet"/>
      <w:start w:val="1"/>
    </w:lvl>
  </w:abstractNum>
  <w:abstractNum w:abstractNumId="92">
    <w:nsid w:val="232FCF4D"/>
    <w:multiLevelType w:val="hybridMultilevel"/>
    <w:lvl w:ilvl="0">
      <w:lvlJc w:val="left"/>
      <w:lvlText w:val="(%1)"/>
      <w:numFmt w:val="decimal"/>
      <w:start w:val="1"/>
    </w:lvl>
  </w:abstractNum>
  <w:abstractNum w:abstractNumId="93">
    <w:nsid w:val="1EA21031"/>
    <w:multiLevelType w:val="hybridMultilevel"/>
    <w:lvl w:ilvl="0">
      <w:lvlJc w:val="left"/>
      <w:lvlText w:val="(%1)"/>
      <w:numFmt w:val="decimal"/>
      <w:start w:val="1"/>
    </w:lvl>
  </w:abstractNum>
  <w:abstractNum w:abstractNumId="94">
    <w:nsid w:val="67A5A6B5"/>
    <w:multiLevelType w:val="hybridMultilevel"/>
    <w:lvl w:ilvl="0">
      <w:lvlJc w:val="left"/>
      <w:lvlText w:val="%1"/>
      <w:numFmt w:val="decimal"/>
      <w:start w:val="1"/>
    </w:lvl>
    <w:lvl w:ilvl="1">
      <w:lvlJc w:val="left"/>
      <w:lvlText w:val="(%2)"/>
      <w:numFmt w:val="decimal"/>
      <w:start w:val="2"/>
    </w:lvl>
  </w:abstractNum>
  <w:abstractNum w:abstractNumId="95">
    <w:nsid w:val="C2A5C5B"/>
    <w:multiLevelType w:val="hybridMultilevel"/>
    <w:lvl w:ilvl="0">
      <w:lvlJc w:val="left"/>
      <w:lvlText w:val="%1."/>
      <w:numFmt w:val="decimal"/>
      <w:start w:val="13"/>
    </w:lvl>
    <w:lvl w:ilvl="1">
      <w:lvlJc w:val="left"/>
      <w:lvlText w:val="%2"/>
      <w:numFmt w:val="decimal"/>
      <w:start w:val="1"/>
    </w:lvl>
  </w:abstractNum>
  <w:abstractNum w:abstractNumId="96">
    <w:nsid w:val="5F94DC03"/>
    <w:multiLevelType w:val="hybridMultilevel"/>
    <w:lvl w:ilvl="0">
      <w:lvlJc w:val="left"/>
      <w:lvlText w:val="(%1)"/>
      <w:numFmt w:val="decimal"/>
      <w:start w:val="1"/>
    </w:lvl>
  </w:abstractNum>
  <w:abstractNum w:abstractNumId="97">
    <w:nsid w:val="237BBCA0"/>
    <w:multiLevelType w:val="hybridMultilevel"/>
    <w:lvl w:ilvl="0">
      <w:lvlJc w:val="left"/>
      <w:lvlText w:val="(%1)"/>
      <w:numFmt w:val="decimal"/>
      <w:start w:val="1"/>
    </w:lvl>
    <w:lvl w:ilvl="1">
      <w:lvlJc w:val="left"/>
      <w:lvlText w:val="(%2)"/>
      <w:numFmt w:val="decimal"/>
      <w:start w:val="1"/>
    </w:lvl>
  </w:abstractNum>
  <w:abstractNum w:abstractNumId="98">
    <w:nsid w:val="162EB70D"/>
    <w:multiLevelType w:val="hybridMultilevel"/>
    <w:lvl w:ilvl="0">
      <w:lvlJc w:val="left"/>
      <w:lvlText w:val="%1"/>
      <w:numFmt w:val="decimal"/>
      <w:start w:val="1"/>
    </w:lvl>
    <w:lvl w:ilvl="1">
      <w:lvlJc w:val="left"/>
      <w:lvlText w:val="(%2)"/>
      <w:numFmt w:val="decimal"/>
      <w:start w:val="2"/>
    </w:lvl>
  </w:abstractNum>
  <w:abstractNum w:abstractNumId="99">
    <w:nsid w:val="78070222"/>
    <w:multiLevelType w:val="hybridMultilevel"/>
    <w:lvl w:ilvl="0">
      <w:lvlJc w:val="left"/>
      <w:lvlText w:val="%1."/>
      <w:numFmt w:val="decimal"/>
      <w:start w:val="14"/>
    </w:lvl>
    <w:lvl w:ilvl="1">
      <w:lvlJc w:val="left"/>
      <w:lvlText w:val="%2"/>
      <w:numFmt w:val="decimal"/>
      <w:start w:val="1"/>
    </w:lvl>
  </w:abstractNum>
  <w:abstractNum w:abstractNumId="100">
    <w:nsid w:val="6163ED0D"/>
    <w:multiLevelType w:val="hybridMultilevel"/>
    <w:lvl w:ilvl="0">
      <w:lvlJc w:val="left"/>
      <w:lvlText w:val="(%1)"/>
      <w:numFmt w:val="decimal"/>
      <w:start w:val="1"/>
    </w:lvl>
  </w:abstractNum>
  <w:abstractNum w:abstractNumId="101">
    <w:nsid w:val="C600E47"/>
    <w:multiLevelType w:val="hybridMultilevel"/>
    <w:lvl w:ilvl="0">
      <w:lvlJc w:val="left"/>
      <w:lvlText w:val="(%1)"/>
      <w:numFmt w:val="decimal"/>
      <w:start w:val="2"/>
    </w:lvl>
  </w:abstractNum>
  <w:abstractNum w:abstractNumId="102">
    <w:nsid w:val="7D94F75D"/>
    <w:multiLevelType w:val="hybridMultilevel"/>
    <w:lvl w:ilvl="0">
      <w:lvlJc w:val="left"/>
      <w:lvlText w:val="(%1)"/>
      <w:numFmt w:val="decimal"/>
      <w:start w:val="1"/>
    </w:lvl>
  </w:abstractNum>
  <w:abstractNum w:abstractNumId="103">
    <w:nsid w:val="6C31E7CD"/>
    <w:multiLevelType w:val="hybridMultilevel"/>
    <w:lvl w:ilvl="0">
      <w:lvlJc w:val="left"/>
      <w:lvlText w:val="%1)"/>
      <w:numFmt w:val="lowerLetter"/>
      <w:start w:val="1"/>
    </w:lvl>
    <w:lvl w:ilvl="1">
      <w:lvlJc w:val="left"/>
      <w:lvlText w:val="(%2)"/>
      <w:numFmt w:val="decimal"/>
      <w:start w:val="1"/>
    </w:lvl>
  </w:abstractNum>
  <w:abstractNum w:abstractNumId="104">
    <w:nsid w:val="2BB7929B"/>
    <w:multiLevelType w:val="hybridMultilevel"/>
    <w:lvl w:ilvl="0">
      <w:lvlJc w:val="left"/>
      <w:lvlText w:val="(%1)"/>
      <w:numFmt w:val="decimal"/>
      <w:start w:val="1"/>
    </w:lvl>
  </w:abstractNum>
  <w:abstractNum w:abstractNumId="105">
    <w:nsid w:val="58A2A487"/>
    <w:multiLevelType w:val="hybridMultilevel"/>
    <w:lvl w:ilvl="0">
      <w:lvlJc w:val="left"/>
      <w:lvlText w:val="%1."/>
      <w:numFmt w:val="decimal"/>
      <w:start w:val="1"/>
    </w:lvl>
  </w:abstractNum>
  <w:abstractNum w:abstractNumId="106">
    <w:nsid w:val="3A6F0E78"/>
    <w:multiLevelType w:val="hybridMultilevel"/>
    <w:lvl w:ilvl="0">
      <w:lvlJc w:val="left"/>
      <w:lvlText w:val="%1."/>
      <w:numFmt w:val="decimal"/>
      <w:start w:val="1"/>
    </w:lvl>
    <w:lvl w:ilvl="1">
      <w:lvlJc w:val="left"/>
      <w:lvlText w:val="%2."/>
      <w:numFmt w:val="decimal"/>
      <w:start w:val="1"/>
    </w:lvl>
  </w:abstractNum>
  <w:abstractNum w:abstractNumId="107">
    <w:nsid w:val="379A5B56"/>
    <w:multiLevelType w:val="hybridMultilevel"/>
    <w:lvl w:ilvl="0">
      <w:lvlJc w:val="left"/>
      <w:lvlText w:val="%1"/>
      <w:numFmt w:val="decimal"/>
      <w:start w:val="1"/>
    </w:lvl>
    <w:lvl w:ilvl="1">
      <w:lvlJc w:val="left"/>
      <w:lvlText w:val="%2."/>
      <w:numFmt w:val="decimal"/>
      <w:start w:val="4"/>
    </w:lvl>
  </w:abstractNum>
  <w:abstractNum w:abstractNumId="108">
    <w:nsid w:val="53B735D5"/>
    <w:multiLevelType w:val="hybridMultilevel"/>
    <w:lvl w:ilvl="0">
      <w:lvlJc w:val="left"/>
      <w:lvlText w:val="%1."/>
      <w:numFmt w:val="decimal"/>
      <w:start w:val="3"/>
    </w:lvl>
    <w:lvl w:ilvl="1">
      <w:lvlJc w:val="left"/>
      <w:lvlText w:val="%2."/>
      <w:numFmt w:val="decimal"/>
      <w:start w:val="1"/>
    </w:lvl>
  </w:abstractNum>
  <w:abstractNum w:abstractNumId="109">
    <w:nsid w:val="29784870"/>
    <w:multiLevelType w:val="hybridMultilevel"/>
    <w:lvl w:ilvl="0">
      <w:lvlJc w:val="left"/>
      <w:lvlText w:val="(%1)"/>
      <w:numFmt w:val="decimal"/>
      <w:start w:val="1"/>
    </w:lvl>
  </w:abstractNum>
  <w:abstractNum w:abstractNumId="110">
    <w:nsid w:val="4CDCED4C"/>
    <w:multiLevelType w:val="hybridMultilevel"/>
    <w:lvl w:ilvl="0">
      <w:lvlJc w:val="left"/>
      <w:lvlText w:val="%1"/>
      <w:numFmt w:val="decimal"/>
      <w:start w:val="1"/>
    </w:lvl>
    <w:lvl w:ilvl="1">
      <w:lvlJc w:val="left"/>
      <w:lvlText w:val="(%2)"/>
      <w:numFmt w:val="decimal"/>
      <w:start w:val="2"/>
    </w:lvl>
  </w:abstractNum>
  <w:abstractNum w:abstractNumId="111">
    <w:nsid w:val="10A30D9C"/>
    <w:multiLevelType w:val="hybridMultilevel"/>
    <w:lvl w:ilvl="0">
      <w:lvlJc w:val="left"/>
      <w:lvlText w:val="%1."/>
      <w:numFmt w:val="decimal"/>
      <w:start w:val="13"/>
    </w:lvl>
    <w:lvl w:ilvl="1">
      <w:lvlJc w:val="left"/>
      <w:lvlText w:val="%2"/>
      <w:numFmt w:val="decimal"/>
      <w:start w:val="1"/>
    </w:lvl>
  </w:abstractNum>
  <w:abstractNum w:abstractNumId="112">
    <w:nsid w:val="A66E486"/>
    <w:multiLevelType w:val="hybridMultilevel"/>
    <w:lvl w:ilvl="0">
      <w:lvlJc w:val="left"/>
      <w:lvlText w:val="(%1)"/>
      <w:numFmt w:val="decimal"/>
      <w:start w:val="1"/>
    </w:lvl>
  </w:abstractNum>
  <w:abstractNum w:abstractNumId="113">
    <w:nsid w:val="306235EA"/>
    <w:multiLevelType w:val="hybridMultilevel"/>
    <w:lvl w:ilvl="0">
      <w:lvlJc w:val="left"/>
      <w:lvlText w:val="(%1)"/>
      <w:numFmt w:val="decimal"/>
      <w:start w:val="1"/>
    </w:lvl>
  </w:abstractNum>
  <w:abstractNum w:abstractNumId="114">
    <w:nsid w:val="1187C70F"/>
    <w:multiLevelType w:val="hybridMultilevel"/>
    <w:lvl w:ilvl="0">
      <w:lvlJc w:val="left"/>
      <w:lvlText w:val="(%1)"/>
      <w:numFmt w:val="decimal"/>
      <w:start w:val="2"/>
    </w:lvl>
    <w:lvl w:ilvl="1">
      <w:lvlJc w:val="left"/>
      <w:lvlText w:val="(%2)"/>
      <w:numFmt w:val="lowerLetter"/>
      <w:start w:val="1"/>
    </w:lvl>
  </w:abstractNum>
  <w:abstractNum w:abstractNumId="115">
    <w:nsid w:val="5476DE98"/>
    <w:multiLevelType w:val="hybridMultilevel"/>
    <w:lvl w:ilvl="0">
      <w:lvlJc w:val="left"/>
      <w:lvlText w:val="(%1)"/>
      <w:numFmt w:val="decimal"/>
      <w:start w:val="1"/>
    </w:lvl>
  </w:abstractNum>
  <w:abstractNum w:abstractNumId="116">
    <w:nsid w:val="EA697F2"/>
    <w:multiLevelType w:val="hybridMultilevel"/>
    <w:lvl w:ilvl="0">
      <w:lvlJc w:val="left"/>
      <w:lvlText w:val="(%1)"/>
      <w:numFmt w:val="decimal"/>
      <w:start w:val="5"/>
    </w:lvl>
  </w:abstractNum>
  <w:abstractNum w:abstractNumId="117">
    <w:nsid w:val="70BA39EB"/>
    <w:multiLevelType w:val="hybridMultilevel"/>
    <w:lvl w:ilvl="0">
      <w:lvlJc w:val="left"/>
      <w:lvlText w:val="%1"/>
      <w:numFmt w:val="decimal"/>
      <w:start w:val="1"/>
    </w:lvl>
    <w:lvl w:ilvl="1">
      <w:lvlJc w:val="left"/>
      <w:lvlText w:val="(%2)"/>
      <w:numFmt w:val="decimal"/>
      <w:start w:val="1"/>
    </w:lvl>
  </w:abstractNum>
  <w:abstractNum w:abstractNumId="118">
    <w:nsid w:val="4A8DB59C"/>
    <w:multiLevelType w:val="hybridMultilevel"/>
    <w:lvl w:ilvl="0">
      <w:lvlJc w:val="left"/>
      <w:lvlText w:val="%1."/>
      <w:numFmt w:val="decimal"/>
      <w:start w:val="16"/>
    </w:lvl>
    <w:lvl w:ilvl="1">
      <w:lvlJc w:val="left"/>
      <w:lvlText w:val="%2"/>
      <w:numFmt w:val="decimal"/>
      <w:start w:val="1"/>
    </w:lvl>
  </w:abstractNum>
  <w:abstractNum w:abstractNumId="119">
    <w:nsid w:val="1AFD9053"/>
    <w:multiLevelType w:val="hybridMultilevel"/>
    <w:lvl w:ilvl="0">
      <w:lvlJc w:val="left"/>
      <w:lvlText w:val="%1)"/>
      <w:numFmt w:val="lowerLetter"/>
      <w:start w:val="1"/>
    </w:lvl>
    <w:lvl w:ilvl="1">
      <w:lvlJc w:val="left"/>
      <w:lvlText w:val="(%2)"/>
      <w:numFmt w:val="decimal"/>
      <w:start w:val="1"/>
    </w:lvl>
  </w:abstractNum>
  <w:abstractNum w:abstractNumId="120">
    <w:nsid w:val="558BB10D"/>
    <w:multiLevelType w:val="hybridMultilevel"/>
    <w:lvl w:ilvl="0">
      <w:lvlJc w:val="left"/>
      <w:lvlText w:val="%1"/>
      <w:numFmt w:val="lowerLetter"/>
      <w:start w:val="1"/>
    </w:lvl>
    <w:lvl w:ilvl="1">
      <w:lvlJc w:val="left"/>
      <w:lvlText w:val="(%2)"/>
      <w:numFmt w:val="decimal"/>
      <w:start w:val="2"/>
    </w:lvl>
  </w:abstractNum>
  <w:abstractNum w:abstractNumId="121">
    <w:nsid w:val="43B27FA7"/>
    <w:multiLevelType w:val="hybridMultilevel"/>
    <w:lvl w:ilvl="0">
      <w:lvlJc w:val="left"/>
      <w:lvlText w:val="%1)"/>
      <w:numFmt w:val="lowerLetter"/>
      <w:start w:val="2"/>
    </w:lvl>
    <w:lvl w:ilvl="1">
      <w:lvlJc w:val="left"/>
      <w:lvlText w:val="(%2)"/>
      <w:numFmt w:val="decimal"/>
      <w:start w:val="1"/>
    </w:lvl>
  </w:abstractNum>
  <w:abstractNum w:abstractNumId="122">
    <w:nsid w:val="27FADEFA"/>
    <w:multiLevelType w:val="hybridMultilevel"/>
    <w:lvl w:ilvl="0">
      <w:lvlJc w:val="left"/>
      <w:lvlText w:val="(%1)"/>
      <w:numFmt w:val="decimal"/>
      <w:start w:val="1"/>
    </w:lvl>
  </w:abstractNum>
  <w:abstractNum w:abstractNumId="123">
    <w:nsid w:val="78BB805A"/>
    <w:multiLevelType w:val="hybridMultilevel"/>
    <w:lvl w:ilvl="0">
      <w:lvlJc w:val="left"/>
      <w:lvlText w:val="%1."/>
      <w:numFmt w:val="decimal"/>
      <w:start w:val="1"/>
    </w:lvl>
  </w:abstractNum>
  <w:abstractNum w:abstractNumId="124">
    <w:nsid w:val="62548FD8"/>
    <w:multiLevelType w:val="hybridMultilevel"/>
    <w:lvl w:ilvl="0">
      <w:lvlJc w:val="left"/>
      <w:lvlText w:val="%1."/>
      <w:numFmt w:val="decimal"/>
      <w:start w:val="1"/>
    </w:lvl>
    <w:lvl w:ilvl="1">
      <w:lvlJc w:val="left"/>
      <w:lvlText w:val="(%2)"/>
      <w:numFmt w:val="decimal"/>
      <w:start w:val="1"/>
    </w:lvl>
  </w:abstractNum>
  <w:abstractNum w:abstractNumId="125">
    <w:nsid w:val="FA085B0"/>
    <w:multiLevelType w:val="hybridMultilevel"/>
    <w:lvl w:ilvl="0">
      <w:lvlJc w:val="left"/>
      <w:lvlText w:val="%1."/>
      <w:numFmt w:val="decimal"/>
      <w:start w:val="2"/>
    </w:lvl>
    <w:lvl w:ilvl="1">
      <w:lvlJc w:val="left"/>
      <w:lvlText w:val="(%2)"/>
      <w:numFmt w:val="decimal"/>
      <w:start w:val="1"/>
    </w:lvl>
  </w:abstractNum>
  <w:abstractNum w:abstractNumId="126">
    <w:nsid w:val="4E5DCB5"/>
    <w:multiLevelType w:val="hybridMultilevel"/>
    <w:lvl w:ilvl="0">
      <w:lvlJc w:val="left"/>
      <w:lvlText w:val="%1."/>
      <w:numFmt w:val="decimal"/>
      <w:start w:val="4"/>
    </w:lvl>
    <w:lvl w:ilvl="1">
      <w:lvlJc w:val="left"/>
      <w:lvlText w:val="(%2)"/>
      <w:numFmt w:val="decimal"/>
      <w:start w:val="1"/>
    </w:lvl>
  </w:abstractNum>
  <w:abstractNum w:abstractNumId="127">
    <w:nsid w:val="41E96BDB"/>
    <w:multiLevelType w:val="hybridMultilevel"/>
    <w:lvl w:ilvl="0">
      <w:lvlJc w:val="left"/>
      <w:lvlText w:val="%1."/>
      <w:numFmt w:val="decimal"/>
      <w:start w:val="5"/>
    </w:lvl>
  </w:abstractNum>
  <w:abstractNum w:abstractNumId="128">
    <w:nsid w:val="331C4250"/>
    <w:multiLevelType w:val="hybridMultilevel"/>
    <w:lvl w:ilvl="0">
      <w:lvlJc w:val="left"/>
      <w:lvlText w:val="%1."/>
      <w:numFmt w:val="decimal"/>
      <w:start w:val="11"/>
    </w:lvl>
  </w:abstractNum>
  <w:abstractNum w:abstractNumId="129">
    <w:nsid w:val="1B1493C2"/>
    <w:multiLevelType w:val="hybridMultilevel"/>
    <w:lvl w:ilvl="0">
      <w:lvlJc w:val="left"/>
      <w:lvlText w:val="(%1)"/>
      <w:numFmt w:val="decimal"/>
      <w:start w:val="1"/>
    </w:lvl>
  </w:abstractNum>
  <w:abstractNum w:abstractNumId="130">
    <w:nsid w:val="39F06DFD"/>
    <w:multiLevelType w:val="hybridMultilevel"/>
    <w:lvl w:ilvl="0">
      <w:lvlJc w:val="left"/>
      <w:lvlText w:val="(%1)"/>
      <w:numFmt w:val="decimal"/>
      <w:start w:val="1"/>
    </w:lvl>
  </w:abstractNum>
  <w:abstractNum w:abstractNumId="131">
    <w:nsid w:val="14802F5D"/>
    <w:multiLevelType w:val="hybridMultilevel"/>
    <w:lvl w:ilvl="0">
      <w:lvlJc w:val="left"/>
      <w:lvlText w:val="%1."/>
      <w:numFmt w:val="decimal"/>
      <w:start w:val="19"/>
    </w:lvl>
  </w:abstractNum>
  <w:abstractNum w:abstractNumId="132">
    <w:nsid w:val="2774A209"/>
    <w:multiLevelType w:val="hybridMultilevel"/>
    <w:lvl w:ilvl="0">
      <w:lvlJc w:val="left"/>
      <w:lvlText w:val="%1."/>
      <w:numFmt w:val="decimal"/>
      <w:start w:val="1"/>
    </w:lvl>
  </w:abstractNum>
  <w:abstractNum w:abstractNumId="133">
    <w:nsid w:val="3785655A"/>
    <w:multiLevelType w:val="hybridMultilevel"/>
    <w:lvl w:ilvl="0">
      <w:lvlJc w:val="left"/>
      <w:lvlText w:val="%1"/>
      <w:numFmt w:val="decimal"/>
      <w:start w:val="10"/>
    </w:lvl>
  </w:abstractNum>
  <w:abstractNum w:abstractNumId="134">
    <w:nsid w:val="B2172A"/>
    <w:multiLevelType w:val="hybridMultilevel"/>
    <w:lvl w:ilvl="0">
      <w:lvlJc w:val="left"/>
      <w:lvlText w:val="%1."/>
      <w:numFmt w:val="decimal"/>
      <w:start w:val="2"/>
    </w:lvl>
  </w:abstractNum>
  <w:abstractNum w:abstractNumId="135">
    <w:nsid w:val="532C34A5"/>
    <w:multiLevelType w:val="hybridMultilevel"/>
    <w:lvl w:ilvl="0">
      <w:lvlJc w:val="left"/>
      <w:lvlText w:val="%1."/>
      <w:numFmt w:val="decimal"/>
      <w:start w:val="1"/>
    </w:lvl>
  </w:abstractNum>
  <w:abstractNum w:abstractNumId="136">
    <w:nsid w:val="102809E2"/>
    <w:multiLevelType w:val="hybridMultilevel"/>
    <w:lvl w:ilvl="0">
      <w:lvlJc w:val="left"/>
      <w:lvlText w:val="%1."/>
      <w:numFmt w:val="decimal"/>
      <w:start w:val="1"/>
    </w:lvl>
  </w:abstractNum>
  <w:abstractNum w:abstractNumId="137">
    <w:nsid w:val="3B2125A3"/>
    <w:multiLevelType w:val="hybridMultilevel"/>
    <w:lvl w:ilvl="0">
      <w:lvlJc w:val="left"/>
      <w:lvlText w:val="%1."/>
      <w:numFmt w:val="decimal"/>
      <w:start w:val="1"/>
    </w:lvl>
  </w:abstractNum>
  <w:abstractNum w:abstractNumId="138">
    <w:nsid w:val="AC68FFB"/>
    <w:multiLevelType w:val="hybridMultilevel"/>
    <w:lvl w:ilvl="0">
      <w:lvlJc w:val="left"/>
      <w:lvlText w:val="%1."/>
      <w:numFmt w:val="decimal"/>
      <w:start w:val="1"/>
    </w:lvl>
  </w:abstractNum>
  <w:abstractNum w:abstractNumId="139">
    <w:nsid w:val="63DF3FB7"/>
    <w:multiLevelType w:val="hybridMultilevel"/>
    <w:lvl w:ilvl="0">
      <w:lvlJc w:val="left"/>
      <w:lvlText w:val="%1."/>
      <w:numFmt w:val="decimal"/>
      <w:start w:val="1"/>
    </w:lvl>
  </w:abstractNum>
  <w:abstractNum w:abstractNumId="140">
    <w:nsid w:val="64996E13"/>
    <w:multiLevelType w:val="hybridMultilevel"/>
    <w:lvl w:ilvl="0">
      <w:lvlJc w:val="left"/>
      <w:lvlText w:val="%1."/>
      <w:numFmt w:val="decimal"/>
      <w:start w:val="2"/>
    </w:lvl>
  </w:abstractNum>
  <w:abstractNum w:abstractNumId="141">
    <w:nsid w:val="57A37D47"/>
    <w:multiLevelType w:val="hybridMultilevel"/>
    <w:lvl w:ilvl="0">
      <w:lvlJc w:val="left"/>
      <w:lvlText w:val="%1."/>
      <w:numFmt w:val="decimal"/>
      <w:start w:val="1"/>
    </w:lvl>
  </w:abstractNum>
  <w:abstractNum w:abstractNumId="142">
    <w:nsid w:val="74824D54"/>
    <w:multiLevelType w:val="hybridMultilevel"/>
    <w:lvl w:ilvl="0">
      <w:lvlJc w:val="left"/>
      <w:lvlText w:val="%1."/>
      <w:numFmt w:val="decimal"/>
      <w:start w:val="1"/>
    </w:lvl>
  </w:abstractNum>
  <w:abstractNum w:abstractNumId="143">
    <w:nsid w:val="6F00529A"/>
    <w:multiLevelType w:val="hybridMultilevel"/>
    <w:lvl w:ilvl="0">
      <w:lvlJc w:val="left"/>
      <w:lvlText w:val="%1."/>
      <w:numFmt w:val="decimal"/>
      <w:start w:val="2"/>
    </w:lvl>
  </w:abstractNum>
  <w:abstractNum w:abstractNumId="144">
    <w:nsid w:val="805B331"/>
    <w:multiLevelType w:val="hybridMultilevel"/>
    <w:lvl w:ilvl="0">
      <w:lvlJc w:val="left"/>
      <w:lvlText w:val="%1."/>
      <w:numFmt w:val="decimal"/>
      <w:start w:val="4"/>
    </w:lvl>
  </w:abstractNum>
  <w:abstractNum w:abstractNumId="145">
    <w:nsid w:val="60A1463"/>
    <w:multiLevelType w:val="hybridMultilevel"/>
    <w:lvl w:ilvl="0">
      <w:lvlJc w:val="left"/>
      <w:lvlText w:val="%1."/>
      <w:numFmt w:val="decimal"/>
      <w:start w:val="1"/>
    </w:lvl>
  </w:abstractNum>
  <w:abstractNum w:abstractNumId="146">
    <w:nsid w:val="43773132"/>
    <w:multiLevelType w:val="hybridMultilevel"/>
    <w:lvl w:ilvl="0">
      <w:lvlJc w:val="left"/>
      <w:lvlText w:val="%1."/>
      <w:numFmt w:val="decimal"/>
      <w:start w:val="2"/>
    </w:lvl>
  </w:abstractNum>
  <w:abstractNum w:abstractNumId="147">
    <w:nsid w:val="16AC4B23"/>
    <w:multiLevelType w:val="hybridMultilevel"/>
    <w:lvl w:ilvl="0">
      <w:lvlJc w:val="left"/>
      <w:lvlText w:val="%1."/>
      <w:numFmt w:val="decimal"/>
      <w:start w:val="1"/>
    </w:lvl>
  </w:abstractNum>
  <w:abstractNum w:abstractNumId="148">
    <w:nsid w:val="76C44E4E"/>
    <w:multiLevelType w:val="hybridMultilevel"/>
    <w:lvl w:ilvl="0">
      <w:lvlJc w:val="left"/>
      <w:lvlText w:val="%1."/>
      <w:numFmt w:val="decimal"/>
      <w:start w:val="4"/>
    </w:lvl>
  </w:abstractNum>
  <w:abstractNum w:abstractNumId="149">
    <w:nsid w:val="E04E6CE"/>
    <w:multiLevelType w:val="hybridMultilevel"/>
    <w:lvl w:ilvl="0">
      <w:lvlJc w:val="left"/>
      <w:lvlText w:val="%1."/>
      <w:numFmt w:val="decimal"/>
      <w:start w:val="1"/>
    </w:lvl>
  </w:abstractNum>
  <w:abstractNum w:abstractNumId="150">
    <w:nsid w:val="31A9DB76"/>
    <w:multiLevelType w:val="hybridMultilevel"/>
    <w:lvl w:ilvl="0">
      <w:lvlJc w:val="left"/>
      <w:lvlText w:val="(%1)"/>
      <w:numFmt w:val="upperLetter"/>
      <w:start w:val="1"/>
    </w:lvl>
  </w:abstractNum>
  <w:abstractNum w:abstractNumId="151">
    <w:nsid w:val="4C4FFF5B"/>
    <w:multiLevelType w:val="hybridMultilevel"/>
    <w:lvl w:ilvl="0">
      <w:lvlJc w:val="left"/>
      <w:lvlText w:val="%1."/>
      <w:numFmt w:val="decimal"/>
      <w:start w:val="3"/>
    </w:lvl>
  </w:abstractNum>
  <w:abstractNum w:abstractNumId="152">
    <w:nsid w:val="51B76675"/>
    <w:multiLevelType w:val="hybridMultilevel"/>
    <w:lvl w:ilvl="0">
      <w:lvlJc w:val="left"/>
      <w:lvlText w:val="%1."/>
      <w:numFmt w:val="decimal"/>
      <w:start w:val="9"/>
    </w:lvl>
  </w:abstractNum>
  <w:abstractNum w:abstractNumId="153">
    <w:nsid w:val="59A4BA71"/>
    <w:multiLevelType w:val="hybridMultilevel"/>
    <w:lvl w:ilvl="0">
      <w:lvlJc w:val="left"/>
      <w:lvlText w:val="%1."/>
      <w:numFmt w:val="decimal"/>
      <w:start w:val="10"/>
    </w:lvl>
  </w:abstractNum>
  <w:abstractNum w:abstractNumId="154">
    <w:nsid w:val="450B7FB6"/>
    <w:multiLevelType w:val="hybridMultilevel"/>
    <w:lvl w:ilvl="0">
      <w:lvlJc w:val="left"/>
      <w:lvlText w:val="%1."/>
      <w:numFmt w:val="decimal"/>
      <w:start w:val="14"/>
    </w:lvl>
  </w:abstractNum>
  <w:abstractNum w:abstractNumId="155">
    <w:nsid w:val="340BF64D"/>
    <w:multiLevelType w:val="hybridMultilevel"/>
    <w:lvl w:ilvl="0">
      <w:lvlJc w:val="left"/>
      <w:lvlText w:val="%1."/>
      <w:numFmt w:val="decimal"/>
      <w:start w:val="1"/>
    </w:lvl>
  </w:abstractNum>
  <w:abstractNum w:abstractNumId="156">
    <w:nsid w:val="69454021"/>
    <w:multiLevelType w:val="hybridMultilevel"/>
    <w:lvl w:ilvl="0">
      <w:lvlJc w:val="left"/>
      <w:lvlText w:val="%1."/>
      <w:numFmt w:val="decimal"/>
      <w:start w:val="4"/>
    </w:lvl>
  </w:abstractNum>
  <w:abstractNum w:abstractNumId="157">
    <w:nsid w:val="49F15C6B"/>
    <w:multiLevelType w:val="hybridMultilevel"/>
    <w:lvl w:ilvl="0">
      <w:lvlJc w:val="left"/>
      <w:lvlText w:val="%1."/>
      <w:numFmt w:val="decimal"/>
      <w:start w:val="5"/>
    </w:lvl>
  </w:abstractNum>
  <w:abstractNum w:abstractNumId="158">
    <w:nsid w:val="75F56228"/>
    <w:multiLevelType w:val="hybridMultilevel"/>
    <w:lvl w:ilvl="0">
      <w:lvlJc w:val="left"/>
      <w:lvlText w:val="%1."/>
      <w:numFmt w:val="decimal"/>
      <w:start w:val="1"/>
    </w:lvl>
  </w:abstractNum>
  <w:abstractNum w:abstractNumId="159">
    <w:nsid w:val="1C618271"/>
    <w:multiLevelType w:val="hybridMultilevel"/>
    <w:lvl w:ilvl="0">
      <w:lvlJc w:val="left"/>
      <w:lvlText w:val="%1."/>
      <w:numFmt w:val="decimal"/>
      <w:start w:val="2"/>
    </w:lvl>
  </w:abstractNum>
  <w:abstractNum w:abstractNumId="160">
    <w:nsid w:val="6505F02E"/>
    <w:multiLevelType w:val="hybridMultilevel"/>
    <w:lvl w:ilvl="0">
      <w:lvlJc w:val="left"/>
      <w:lvlText w:val="(%1)"/>
      <w:numFmt w:val="decimal"/>
      <w:start w:val="1"/>
    </w:lvl>
  </w:abstractNum>
  <w:abstractNum w:abstractNumId="161">
    <w:nsid w:val="2FE5D025"/>
    <w:multiLevelType w:val="hybridMultilevel"/>
    <w:lvl w:ilvl="0">
      <w:lvlJc w:val="left"/>
      <w:lvlText w:val="%1."/>
      <w:numFmt w:val="decimal"/>
      <w:start w:val="1"/>
    </w:lvl>
  </w:abstractNum>
  <w:abstractNum w:abstractNumId="162">
    <w:nsid w:val="30E1B1CF"/>
    <w:multiLevelType w:val="hybridMultilevel"/>
    <w:lvl w:ilvl="0">
      <w:lvlJc w:val="left"/>
      <w:lvlText w:val="%1."/>
      <w:numFmt w:val="decimal"/>
      <w:start w:val="2"/>
    </w:lvl>
  </w:abstractNum>
  <w:abstractNum w:abstractNumId="163">
    <w:nsid w:val="C7A9237"/>
    <w:multiLevelType w:val="hybridMultilevel"/>
    <w:lvl w:ilvl="0">
      <w:lvlJc w:val="left"/>
      <w:lvlText w:val="%1."/>
      <w:numFmt w:val="decimal"/>
      <w:start w:val="1"/>
    </w:lvl>
  </w:abstractNum>
  <w:abstractNum w:abstractNumId="164">
    <w:nsid w:val="676B3580"/>
    <w:multiLevelType w:val="hybridMultilevel"/>
    <w:lvl w:ilvl="0">
      <w:lvlJc w:val="left"/>
      <w:lvlText w:val="%1."/>
      <w:numFmt w:val="decimal"/>
      <w:start w:val="5"/>
    </w:lvl>
  </w:abstractNum>
  <w:abstractNum w:abstractNumId="165">
    <w:nsid w:val="3193C8F9"/>
    <w:multiLevelType w:val="hybridMultilevel"/>
    <w:lvl w:ilvl="0">
      <w:lvlJc w:val="left"/>
      <w:lvlText w:val="%1."/>
      <w:numFmt w:val="decimal"/>
      <w:start w:val="1"/>
    </w:lvl>
  </w:abstractNum>
  <w:abstractNum w:abstractNumId="166">
    <w:nsid w:val="5FA6C6DC"/>
    <w:multiLevelType w:val="hybridMultilevel"/>
    <w:lvl w:ilvl="0">
      <w:lvlJc w:val="left"/>
      <w:lvlText w:val="%1."/>
      <w:numFmt w:val="decimal"/>
      <w:start w:val="2"/>
    </w:lvl>
  </w:abstractNum>
  <w:abstractNum w:abstractNumId="167">
    <w:nsid w:val="77933F62"/>
    <w:multiLevelType w:val="hybridMultilevel"/>
    <w:lvl w:ilvl="0">
      <w:lvlJc w:val="left"/>
      <w:lvlText w:val="%1."/>
      <w:numFmt w:val="decimal"/>
      <w:start w:val="1"/>
    </w:lvl>
  </w:abstractNum>
  <w:abstractNum w:abstractNumId="168">
    <w:nsid w:val="6CB4EE9C"/>
    <w:multiLevelType w:val="hybridMultilevel"/>
    <w:lvl w:ilvl="0">
      <w:lvlJc w:val="left"/>
      <w:lvlText w:val="%1."/>
      <w:numFmt w:val="decimal"/>
      <w:start w:val="1"/>
    </w:lvl>
  </w:abstractNum>
  <w:abstractNum w:abstractNumId="169">
    <w:nsid w:val="6A6D56D7"/>
    <w:multiLevelType w:val="hybridMultilevel"/>
    <w:lvl w:ilvl="0">
      <w:lvlJc w:val="left"/>
      <w:lvlText w:val="%1."/>
      <w:numFmt w:val="decimal"/>
      <w:start w:val="2"/>
    </w:lvl>
  </w:abstractNum>
  <w:abstractNum w:abstractNumId="170">
    <w:nsid w:val="5B727F19"/>
    <w:multiLevelType w:val="hybridMultilevel"/>
    <w:lvl w:ilvl="0">
      <w:lvlJc w:val="left"/>
      <w:lvlText w:val="%1."/>
      <w:numFmt w:val="decimal"/>
      <w:start w:val="1"/>
    </w:lvl>
  </w:abstractNum>
  <w:abstractNum w:abstractNumId="171">
    <w:nsid w:val="514E5CB0"/>
    <w:multiLevelType w:val="hybridMultilevel"/>
    <w:lvl w:ilvl="0">
      <w:lvlJc w:val="left"/>
      <w:lvlText w:val="%1."/>
      <w:numFmt w:val="decimal"/>
      <w:start w:val="3"/>
    </w:lvl>
  </w:abstractNum>
  <w:abstractNum w:abstractNumId="172">
    <w:nsid w:val="4210D41E"/>
    <w:multiLevelType w:val="hybridMultilevel"/>
    <w:lvl w:ilvl="0">
      <w:lvlJc w:val="left"/>
      <w:lvlText w:val="%1."/>
      <w:numFmt w:val="decimal"/>
      <w:start w:val="1"/>
    </w:lvl>
  </w:abstractNum>
  <w:abstractNum w:abstractNumId="173">
    <w:nsid w:val="4FF4CC6D"/>
    <w:multiLevelType w:val="hybridMultilevel"/>
    <w:lvl w:ilvl="0">
      <w:lvlJc w:val="left"/>
      <w:lvlText w:val="%1."/>
      <w:numFmt w:val="decimal"/>
      <w:start w:val="4"/>
    </w:lvl>
  </w:abstractNum>
  <w:abstractNum w:abstractNumId="174">
    <w:nsid w:val="404EAF4A"/>
    <w:multiLevelType w:val="hybridMultilevel"/>
    <w:lvl w:ilvl="0">
      <w:lvlJc w:val="left"/>
      <w:lvlText w:val="%1."/>
      <w:numFmt w:val="decimal"/>
      <w:start w:val="1"/>
    </w:lvl>
  </w:abstractNum>
  <w:abstractNum w:abstractNumId="175">
    <w:nsid w:val="4A16874F"/>
    <w:multiLevelType w:val="hybridMultilevel"/>
    <w:lvl w:ilvl="0">
      <w:lvlJc w:val="left"/>
      <w:lvlText w:val="(%1)"/>
      <w:numFmt w:val="upperLetter"/>
      <w:start w:val="1"/>
    </w:lvl>
  </w:abstractNum>
  <w:abstractNum w:abstractNumId="176">
    <w:nsid w:val="55FEE0D1"/>
    <w:multiLevelType w:val="hybridMultilevel"/>
    <w:lvl w:ilvl="0">
      <w:lvlJc w:val="left"/>
      <w:lvlText w:val="%1."/>
      <w:numFmt w:val="decimal"/>
      <w:start w:val="3"/>
    </w:lvl>
  </w:abstractNum>
  <w:abstractNum w:abstractNumId="177">
    <w:nsid w:val="3C5E07C"/>
    <w:multiLevelType w:val="hybridMultilevel"/>
    <w:lvl w:ilvl="0">
      <w:lvlJc w:val="left"/>
      <w:lvlText w:val="%1."/>
      <w:numFmt w:val="decimal"/>
      <w:start w:val="4"/>
    </w:lvl>
  </w:abstractNum>
  <w:abstractNum w:abstractNumId="178">
    <w:nsid w:val="60C2D273"/>
    <w:multiLevelType w:val="hybridMultilevel"/>
    <w:lvl w:ilvl="0">
      <w:lvlJc w:val="left"/>
      <w:lvlText w:val="%1."/>
      <w:numFmt w:val="decimal"/>
      <w:start w:val="10"/>
    </w:lvl>
  </w:abstractNum>
  <w:abstractNum w:abstractNumId="179">
    <w:nsid w:val="4CC32F1F"/>
    <w:multiLevelType w:val="hybridMultilevel"/>
    <w:lvl w:ilvl="0">
      <w:lvlJc w:val="left"/>
      <w:lvlText w:val="%1."/>
      <w:numFmt w:val="decimal"/>
      <w:start w:val="1"/>
    </w:lvl>
  </w:abstractNum>
  <w:abstractNum w:abstractNumId="180">
    <w:nsid w:val="11CAC74A"/>
    <w:multiLevelType w:val="hybridMultilevel"/>
    <w:lvl w:ilvl="0">
      <w:lvlJc w:val="left"/>
      <w:lvlText w:val="%1."/>
      <w:numFmt w:val="decimal"/>
      <w:start w:val="4"/>
    </w:lvl>
  </w:abstractNum>
  <w:abstractNum w:abstractNumId="181">
    <w:nsid w:val="126CADE9"/>
    <w:multiLevelType w:val="hybridMultilevel"/>
    <w:lvl w:ilvl="0">
      <w:lvlJc w:val="left"/>
      <w:lvlText w:val="%1."/>
      <w:numFmt w:val="decimal"/>
      <w:start w:val="5"/>
    </w:lvl>
  </w:abstractNum>
  <w:abstractNum w:abstractNumId="182">
    <w:nsid w:val="19132E7B"/>
    <w:multiLevelType w:val="hybridMultilevel"/>
    <w:lvl w:ilvl="0">
      <w:lvlJc w:val="left"/>
      <w:lvlText w:val="%1."/>
      <w:numFmt w:val="decimal"/>
      <w:start w:val="1"/>
    </w:lvl>
  </w:abstractNum>
  <w:abstractNum w:abstractNumId="183">
    <w:nsid w:val="63822DC0"/>
    <w:multiLevelType w:val="hybridMultilevel"/>
    <w:lvl w:ilvl="0">
      <w:lvlJc w:val="left"/>
      <w:lvlText w:val="%1."/>
      <w:numFmt w:val="decimal"/>
      <w:start w:val="3"/>
    </w:lvl>
  </w:abstractNum>
  <w:abstractNum w:abstractNumId="184">
    <w:nsid w:val="6C11685A"/>
    <w:multiLevelType w:val="hybridMultilevel"/>
    <w:lvl w:ilvl="0">
      <w:lvlJc w:val="left"/>
      <w:lvlText w:val="(%1)"/>
      <w:numFmt w:val="decimal"/>
      <w:start w:val="1"/>
    </w:lvl>
  </w:abstractNum>
  <w:abstractNum w:abstractNumId="185">
    <w:nsid w:val="5E1EAE31"/>
    <w:multiLevelType w:val="hybridMultilevel"/>
    <w:lvl w:ilvl="0">
      <w:lvlJc w:val="left"/>
      <w:lvlText w:val="%1."/>
      <w:numFmt w:val="decimal"/>
      <w:start w:val="1"/>
    </w:lvl>
  </w:abstractNum>
  <w:abstractNum w:abstractNumId="186">
    <w:nsid w:val="178E240D"/>
    <w:multiLevelType w:val="hybridMultilevel"/>
    <w:lvl w:ilvl="0">
      <w:lvlJc w:val="left"/>
      <w:lvlText w:val="%1."/>
      <w:numFmt w:val="decimal"/>
      <w:start w:val="1"/>
    </w:lvl>
  </w:abstractNum>
  <w:abstractNum w:abstractNumId="187">
    <w:nsid w:val="5556A87B"/>
    <w:multiLevelType w:val="hybridMultilevel"/>
    <w:lvl w:ilvl="0">
      <w:lvlJc w:val="left"/>
      <w:lvlText w:val="%1."/>
      <w:numFmt w:val="decimal"/>
      <w:start w:val="5"/>
    </w:lvl>
  </w:abstractNum>
  <w:abstractNum w:abstractNumId="188">
    <w:nsid w:val="28100A9C"/>
    <w:multiLevelType w:val="hybridMultilevel"/>
    <w:lvl w:ilvl="0">
      <w:lvlJc w:val="left"/>
      <w:lvlText w:val="%1."/>
      <w:numFmt w:val="decimal"/>
      <w:start w:val="1"/>
    </w:lvl>
  </w:abstractNum>
  <w:abstractNum w:abstractNumId="189">
    <w:nsid w:val="D838636"/>
    <w:multiLevelType w:val="hybridMultilevel"/>
    <w:lvl w:ilvl="0">
      <w:lvlJc w:val="left"/>
      <w:lvlText w:val="☒"/>
      <w:numFmt w:val="bullet"/>
      <w:start w:val="1"/>
    </w:lvl>
  </w:abstractNum>
  <w:abstractNum w:abstractNumId="190">
    <w:nsid w:val="71B82AED"/>
    <w:multiLevelType w:val="hybridMultilevel"/>
    <w:lvl w:ilvl="0">
      <w:lvlJc w:val="left"/>
      <w:lvlText w:val="þ"/>
      <w:numFmt w:val="bullet"/>
      <w:start w:val="1"/>
    </w:lvl>
  </w:abstractNum>
  <w:abstractNum w:abstractNumId="191">
    <w:nsid w:val="D15FACA"/>
    <w:multiLevelType w:val="hybridMultilevel"/>
    <w:lvl w:ilvl="0">
      <w:lvlJc w:val="left"/>
      <w:lvlText w:val="%1."/>
      <w:numFmt w:val="decimal"/>
      <w:start w:val="1"/>
    </w:lvl>
  </w:abstractNum>
  <w:abstractNum w:abstractNumId="192">
    <w:nsid w:val="3D69565B"/>
    <w:multiLevelType w:val="hybridMultilevel"/>
    <w:lvl w:ilvl="0">
      <w:lvlJc w:val="left"/>
      <w:lvlText w:val="þ"/>
      <w:numFmt w:val="bullet"/>
      <w:start w:val="1"/>
    </w:lvl>
    <w:lvl w:ilvl="1">
      <w:lvlJc w:val="left"/>
      <w:lvlText w:val="%2."/>
      <w:numFmt w:val="decimal"/>
      <w:start w:val="5"/>
    </w:lvl>
  </w:abstractNum>
  <w:abstractNum w:abstractNumId="193">
    <w:nsid w:val="2299DCBC"/>
    <w:multiLevelType w:val="hybridMultilevel"/>
    <w:lvl w:ilvl="0">
      <w:lvlJc w:val="left"/>
      <w:lvlText w:val="☐"/>
      <w:numFmt w:val="bullet"/>
      <w:start w:val="1"/>
    </w:lvl>
  </w:abstractNum>
  <w:abstractNum w:abstractNumId="194">
    <w:nsid w:val="19908D02"/>
    <w:multiLevelType w:val="hybridMultilevel"/>
    <w:lvl w:ilvl="0">
      <w:lvlJc w:val="left"/>
      <w:lvlText w:val="☒"/>
      <w:numFmt w:val="bullet"/>
      <w:start w:val="1"/>
    </w:lvl>
  </w:abstractNum>
  <w:abstractNum w:abstractNumId="195">
    <w:nsid w:val="24D48BD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6">
    <w:nsid w:val="542DA5B5"/>
    <w:multiLevelType w:val="hybridMultilevel"/>
    <w:lvl w:ilvl="0">
      <w:lvlJc w:val="left"/>
      <w:lvlText w:val="☒"/>
      <w:numFmt w:val="bullet"/>
      <w:start w:val="1"/>
    </w:lvl>
    <w:lvl w:ilvl="1">
      <w:lvlJc w:val="left"/>
      <w:lvlText w:val="☒"/>
      <w:numFmt w:val="bullet"/>
      <w:start w:val="1"/>
    </w:lvl>
  </w:abstractNum>
  <w:abstractNum w:abstractNumId="197">
    <w:nsid w:val="793753DE"/>
    <w:multiLevelType w:val="hybridMultilevel"/>
    <w:lvl w:ilvl="0">
      <w:lvlJc w:val="left"/>
      <w:lvlText w:val="☐"/>
      <w:numFmt w:val="bullet"/>
      <w:start w:val="1"/>
    </w:lvl>
  </w:abstractNum>
  <w:abstractNum w:abstractNumId="198">
    <w:nsid w:val="1C67CB3D"/>
    <w:multiLevelType w:val="hybridMultilevel"/>
    <w:lvl w:ilvl="0">
      <w:lvlJc w:val="left"/>
      <w:lvlText w:val="(%1)"/>
      <w:numFmt w:val="decimal"/>
      <w:start w:val="1"/>
    </w:lvl>
  </w:abstractNum>
  <w:abstractNum w:abstractNumId="199">
    <w:nsid w:val="40E29452"/>
    <w:multiLevelType w:val="hybridMultilevel"/>
    <w:lvl w:ilvl="0">
      <w:lvlJc w:val="left"/>
      <w:lvlText w:val="%1."/>
      <w:numFmt w:val="decimal"/>
      <w:start w:val="8"/>
    </w:lvl>
  </w:abstractNum>
  <w:abstractNum w:abstractNumId="200">
    <w:nsid w:val="63A4AAB6"/>
    <w:multiLevelType w:val="hybridMultilevel"/>
    <w:lvl w:ilvl="0">
      <w:lvlJc w:val="left"/>
      <w:lvlText w:val="☐"/>
      <w:numFmt w:val="bullet"/>
      <w:start w:val="1"/>
    </w:lvl>
  </w:abstractNum>
  <w:abstractNum w:abstractNumId="201">
    <w:nsid w:val="77DA4A57"/>
    <w:multiLevelType w:val="hybridMultilevel"/>
    <w:lvl w:ilvl="0">
      <w:lvlJc w:val="left"/>
      <w:lvlText w:val="☐"/>
      <w:numFmt w:val="bullet"/>
      <w:start w:val="1"/>
    </w:lvl>
  </w:abstractNum>
  <w:abstractNum w:abstractNumId="202">
    <w:nsid w:val="1230F102"/>
    <w:multiLevelType w:val="hybridMultilevel"/>
    <w:lvl w:ilvl="0">
      <w:lvlJc w:val="left"/>
      <w:lvlText w:val="☐"/>
      <w:numFmt w:val="bullet"/>
      <w:start w:val="1"/>
    </w:lvl>
  </w:abstractNum>
  <w:abstractNum w:abstractNumId="203">
    <w:nsid w:val="25B57ED4"/>
    <w:multiLevelType w:val="hybridMultilevel"/>
    <w:lvl w:ilvl="0">
      <w:lvlJc w:val="left"/>
      <w:lvlText w:val="☐"/>
      <w:numFmt w:val="bullet"/>
      <w:start w:val="1"/>
    </w:lvl>
  </w:abstractNum>
  <w:abstractNum w:abstractNumId="204">
    <w:nsid w:val="47CF16C4"/>
    <w:multiLevelType w:val="hybridMultilevel"/>
    <w:lvl w:ilvl="0">
      <w:lvlJc w:val="left"/>
      <w:lvlText w:val="%1."/>
      <w:numFmt w:val="decimal"/>
      <w:start w:val="13"/>
    </w:lvl>
  </w:abstractNum>
  <w:abstractNum w:abstractNumId="205">
    <w:nsid w:val="527FA04C"/>
    <w:multiLevelType w:val="hybridMultilevel"/>
    <w:lvl w:ilvl="0">
      <w:lvlJc w:val="left"/>
      <w:lvlText w:val="þ"/>
      <w:numFmt w:val="bullet"/>
      <w:start w:val="1"/>
    </w:lvl>
  </w:abstractNum>
  <w:abstractNum w:abstractNumId="206">
    <w:nsid w:val="6FCC0624"/>
    <w:multiLevelType w:val="hybridMultilevel"/>
    <w:lvl w:ilvl="0">
      <w:lvlJc w:val="left"/>
      <w:lvlText w:val="(%1)"/>
      <w:numFmt w:val="decimal"/>
      <w:start w:val="1"/>
    </w:lvl>
  </w:abstractNum>
  <w:abstractNum w:abstractNumId="207">
    <w:nsid w:val="1DCDF795"/>
    <w:multiLevelType w:val="hybridMultilevel"/>
    <w:lvl w:ilvl="0">
      <w:lvlJc w:val="left"/>
      <w:lvlText w:val="(%1)"/>
      <w:numFmt w:val="decimal"/>
      <w:start w:val="2"/>
    </w:lvl>
  </w:abstractNum>
  <w:abstractNum w:abstractNumId="208">
    <w:nsid w:val="564580C8"/>
    <w:multiLevelType w:val="hybridMultilevel"/>
    <w:lvl w:ilvl="0">
      <w:lvlJc w:val="left"/>
      <w:lvlText w:val="☐"/>
      <w:numFmt w:val="bullet"/>
      <w:start w:val="1"/>
    </w:lvl>
    <w:lvl w:ilvl="1">
      <w:lvlJc w:val="left"/>
      <w:lvlText w:val="(%2)"/>
      <w:numFmt w:val="decimal"/>
      <w:start w:val="1"/>
    </w:lvl>
  </w:abstractNum>
  <w:abstractNum w:abstractNumId="209">
    <w:nsid w:val="508ED897"/>
    <w:multiLevelType w:val="hybridMultilevel"/>
    <w:lvl w:ilvl="0">
      <w:lvlJc w:val="left"/>
      <w:lvlText w:val="(%1)"/>
      <w:numFmt w:val="decimal"/>
      <w:start w:val="3"/>
    </w:lvl>
  </w:abstractNum>
  <w:abstractNum w:abstractNumId="210">
    <w:nsid w:val="6A9126B5"/>
    <w:multiLevelType w:val="hybridMultilevel"/>
    <w:lvl w:ilvl="0">
      <w:lvlJc w:val="left"/>
      <w:lvlText w:val="%1."/>
      <w:numFmt w:val="decimal"/>
      <w:start w:val="1"/>
    </w:lvl>
  </w:abstractNum>
  <w:abstractNum w:abstractNumId="211">
    <w:nsid w:val="68104812"/>
    <w:multiLevelType w:val="hybridMultilevel"/>
    <w:lvl w:ilvl="0">
      <w:lvlJc w:val="left"/>
      <w:lvlText w:val="%1."/>
      <w:numFmt w:val="decimal"/>
      <w:start w:val="1"/>
    </w:lvl>
  </w:abstractNum>
  <w:abstractNum w:abstractNumId="212">
    <w:nsid w:val="62FB8680"/>
    <w:multiLevelType w:val="hybridMultilevel"/>
    <w:lvl w:ilvl="0">
      <w:lvlJc w:val="left"/>
      <w:lvlText w:val="%1."/>
      <w:numFmt w:val="decimal"/>
      <w:start w:val="4"/>
    </w:lvl>
  </w:abstractNum>
  <w:abstractNum w:abstractNumId="213">
    <w:nsid w:val="3A45530"/>
    <w:multiLevelType w:val="hybridMultilevel"/>
    <w:lvl w:ilvl="0">
      <w:lvlJc w:val="left"/>
      <w:lvlText w:val="(%1)"/>
      <w:numFmt w:val="decimal"/>
      <w:start w:val="1"/>
    </w:lvl>
  </w:abstractNum>
  <w:abstractNum w:abstractNumId="214">
    <w:nsid w:val="4B9275D2"/>
    <w:multiLevelType w:val="hybridMultilevel"/>
    <w:lvl w:ilvl="0">
      <w:lvlJc w:val="left"/>
      <w:lvlText w:val="(%1)"/>
      <w:numFmt w:val="decimal"/>
      <w:start w:val="4"/>
    </w:lvl>
  </w:abstractNum>
  <w:abstractNum w:abstractNumId="215">
    <w:nsid w:val="4F0CEEDB"/>
    <w:multiLevelType w:val="hybridMultilevel"/>
    <w:lvl w:ilvl="0">
      <w:lvlJc w:val="left"/>
      <w:lvlText w:val="(%1)"/>
      <w:numFmt w:val="decimal"/>
      <w:start w:val="1"/>
    </w:lvl>
  </w:abstractNum>
  <w:abstractNum w:abstractNumId="216">
    <w:nsid w:val="61C30361"/>
    <w:multiLevelType w:val="hybridMultilevel"/>
    <w:lvl w:ilvl="0">
      <w:lvlJc w:val="left"/>
      <w:lvlText w:val="(%1)"/>
      <w:numFmt w:val="decimal"/>
      <w:start w:val="1"/>
    </w:lvl>
  </w:abstractNum>
  <w:abstractNum w:abstractNumId="217">
    <w:nsid w:val="632099E0"/>
    <w:multiLevelType w:val="hybridMultilevel"/>
    <w:lvl w:ilvl="0">
      <w:lvlJc w:val="left"/>
      <w:lvlText w:val="(%1)"/>
      <w:numFmt w:val="decimal"/>
      <w:start w:val="3"/>
    </w:lvl>
  </w:abstractNum>
  <w:abstractNum w:abstractNumId="218">
    <w:nsid w:val="24639756"/>
    <w:multiLevelType w:val="hybridMultilevel"/>
    <w:lvl w:ilvl="0">
      <w:lvlJc w:val="left"/>
      <w:lvlText w:val="%1."/>
      <w:numFmt w:val="decimal"/>
      <w:start w:val="1"/>
    </w:lvl>
  </w:abstractNum>
  <w:abstractNum w:abstractNumId="219">
    <w:nsid w:val="9D30DFD"/>
    <w:multiLevelType w:val="hybridMultilevel"/>
    <w:lvl w:ilvl="0">
      <w:lvlJc w:val="left"/>
      <w:lvlText w:val="%1."/>
      <w:numFmt w:val="decimal"/>
      <w:start w:val="3"/>
    </w:lvl>
  </w:abstractNum>
  <w:abstractNum w:abstractNumId="220">
    <w:nsid w:val="70A42016"/>
    <w:multiLevelType w:val="hybridMultilevel"/>
    <w:lvl w:ilvl="0">
      <w:lvlJc w:val="left"/>
      <w:lvlText w:val="%1."/>
      <w:numFmt w:val="decimal"/>
      <w:start w:val="1"/>
    </w:lvl>
  </w:abstractNum>
  <w:abstractNum w:abstractNumId="221">
    <w:nsid w:val="161BC243"/>
    <w:multiLevelType w:val="hybridMultilevel"/>
    <w:lvl w:ilvl="0">
      <w:lvlJc w:val="left"/>
      <w:lvlText w:val="%1."/>
      <w:numFmt w:val="decimal"/>
      <w:start w:val="2"/>
    </w:lvl>
  </w:abstractNum>
  <w:abstractNum w:abstractNumId="222">
    <w:nsid w:val="16E908C8"/>
    <w:multiLevelType w:val="hybridMultilevel"/>
    <w:lvl w:ilvl="0">
      <w:lvlJc w:val="left"/>
      <w:lvlText w:val="%1."/>
      <w:numFmt w:val="decimal"/>
      <w:start w:val="3"/>
    </w:lvl>
  </w:abstractNum>
  <w:abstractNum w:abstractNumId="223">
    <w:nsid w:val="2E0D7671"/>
    <w:multiLevelType w:val="hybridMultilevel"/>
    <w:lvl w:ilvl="0">
      <w:lvlJc w:val="left"/>
      <w:lvlText w:val="(%1)"/>
      <w:numFmt w:val="decimal"/>
      <w:start w:val="1"/>
    </w:lvl>
  </w:abstractNum>
  <w:abstractNum w:abstractNumId="224">
    <w:nsid w:val="38B59EFF"/>
    <w:multiLevelType w:val="hybridMultilevel"/>
    <w:lvl w:ilvl="0">
      <w:lvlJc w:val="left"/>
      <w:lvlText w:val="%1."/>
      <w:numFmt w:val="decimal"/>
      <w:start w:val="4"/>
    </w:lvl>
  </w:abstractNum>
  <w:abstractNum w:abstractNumId="225">
    <w:nsid w:val="307995CA"/>
    <w:multiLevelType w:val="hybridMultilevel"/>
    <w:lvl w:ilvl="0">
      <w:lvlJc w:val="left"/>
      <w:lvlText w:val="%1."/>
      <w:numFmt w:val="decimal"/>
      <w:start w:val="5"/>
    </w:lvl>
  </w:abstractNum>
  <w:abstractNum w:abstractNumId="226">
    <w:nsid w:val="52E2024D"/>
    <w:multiLevelType w:val="hybridMultilevel"/>
    <w:lvl w:ilvl="0">
      <w:lvlJc w:val="left"/>
      <w:lvlText w:val="(%1)"/>
      <w:numFmt w:val="decimal"/>
      <w:start w:val="1"/>
    </w:lvl>
  </w:abstractNum>
  <w:abstractNum w:abstractNumId="227">
    <w:nsid w:val="CE344B5"/>
    <w:multiLevelType w:val="hybridMultilevel"/>
    <w:lvl w:ilvl="0">
      <w:lvlJc w:val="left"/>
      <w:lvlText w:val="%1."/>
      <w:numFmt w:val="decimal"/>
      <w:start w:val="1"/>
    </w:lvl>
  </w:abstractNum>
  <w:abstractNum w:abstractNumId="228">
    <w:nsid w:val="29B0E9A8"/>
    <w:multiLevelType w:val="hybridMultilevel"/>
    <w:lvl w:ilvl="0">
      <w:lvlJc w:val="left"/>
      <w:lvlText w:val="%1."/>
      <w:numFmt w:val="decimal"/>
      <w:start w:val="3"/>
    </w:lvl>
  </w:abstractNum>
  <w:abstractNum w:abstractNumId="229">
    <w:nsid w:val="6F49CD8A"/>
    <w:multiLevelType w:val="hybridMultilevel"/>
    <w:lvl w:ilvl="0">
      <w:lvlJc w:val="left"/>
      <w:lvlText w:val="%1."/>
      <w:numFmt w:val="decimal"/>
      <w:start w:val="1"/>
    </w:lvl>
  </w:abstractNum>
  <w:abstractNum w:abstractNumId="230">
    <w:nsid w:val="4DC5D907"/>
    <w:multiLevelType w:val="hybridMultilevel"/>
    <w:lvl w:ilvl="0">
      <w:lvlJc w:val="left"/>
      <w:lvlText w:val="%1."/>
      <w:numFmt w:val="decimal"/>
      <w:start w:val="7"/>
    </w:lvl>
  </w:abstractNum>
  <w:abstractNum w:abstractNumId="231">
    <w:nsid w:val="D55945E"/>
    <w:multiLevelType w:val="hybridMultilevel"/>
    <w:lvl w:ilvl="0">
      <w:lvlJc w:val="left"/>
      <w:lvlText w:val="%1."/>
      <w:numFmt w:val="decimal"/>
      <w:start w:val="1"/>
    </w:lvl>
  </w:abstractNum>
  <w:abstractNum w:abstractNumId="232">
    <w:nsid w:val="672417E1"/>
    <w:multiLevelType w:val="hybridMultilevel"/>
    <w:lvl w:ilvl="0">
      <w:lvlJc w:val="left"/>
      <w:lvlText w:val="%1."/>
      <w:numFmt w:val="decimal"/>
      <w:start w:val="3"/>
    </w:lvl>
  </w:abstractNum>
  <w:abstractNum w:abstractNumId="233">
    <w:nsid w:val="5FF6CA09"/>
    <w:multiLevelType w:val="hybridMultilevel"/>
    <w:lvl w:ilvl="0">
      <w:lvlJc w:val="left"/>
      <w:lvlText w:val="(%1)"/>
      <w:numFmt w:val="decimal"/>
      <w:start w:val="1"/>
    </w:lvl>
  </w:abstractNum>
  <w:abstractNum w:abstractNumId="234">
    <w:nsid w:val="330B1333"/>
    <w:multiLevelType w:val="hybridMultilevel"/>
    <w:lvl w:ilvl="0">
      <w:lvlJc w:val="left"/>
      <w:lvlText w:val="%1."/>
      <w:numFmt w:val="decimal"/>
      <w:start w:val="5"/>
    </w:lvl>
  </w:abstractNum>
  <w:abstractNum w:abstractNumId="235">
    <w:nsid w:val="2EF32EA6"/>
    <w:multiLevelType w:val="hybridMultilevel"/>
    <w:lvl w:ilvl="0">
      <w:lvlJc w:val="left"/>
      <w:lvlText w:val="(%1)"/>
      <w:numFmt w:val="decimal"/>
      <w:start w:val="1"/>
    </w:lvl>
  </w:abstractNum>
  <w:abstractNum w:abstractNumId="236">
    <w:nsid w:val="32766A55"/>
    <w:multiLevelType w:val="hybridMultilevel"/>
    <w:lvl w:ilvl="0">
      <w:lvlJc w:val="left"/>
      <w:lvlText w:val="(%1)"/>
      <w:numFmt w:val="decimal"/>
      <w:start w:val="4"/>
    </w:lvl>
  </w:abstractNum>
  <w:abstractNum w:abstractNumId="237">
    <w:nsid w:val="22D71957"/>
    <w:multiLevelType w:val="hybridMultilevel"/>
    <w:lvl w:ilvl="0">
      <w:lvlJc w:val="left"/>
      <w:lvlText w:val="%1."/>
      <w:numFmt w:val="decimal"/>
      <w:start w:val="6"/>
    </w:lvl>
  </w:abstractNum>
  <w:abstractNum w:abstractNumId="238">
    <w:nsid w:val="4CC1263B"/>
    <w:multiLevelType w:val="hybridMultilevel"/>
    <w:lvl w:ilvl="0">
      <w:lvlJc w:val="left"/>
      <w:lvlText w:val="%1."/>
      <w:numFmt w:val="decimal"/>
      <w:start w:val="10"/>
    </w:lvl>
  </w:abstractNum>
  <w:abstractNum w:abstractNumId="239">
    <w:nsid w:val="8BBEB1D"/>
    <w:multiLevelType w:val="hybridMultilevel"/>
    <w:lvl w:ilvl="0">
      <w:lvlJc w:val="left"/>
      <w:lvlText w:val="(%1)"/>
      <w:numFmt w:val="decimal"/>
      <w:start w:val="1"/>
    </w:lvl>
  </w:abstractNum>
  <w:abstractNum w:abstractNumId="240">
    <w:nsid w:val="7365F1EE"/>
    <w:multiLevelType w:val="hybridMultilevel"/>
    <w:lvl w:ilvl="0">
      <w:lvlJc w:val="left"/>
      <w:lvlText w:val="%1."/>
      <w:numFmt w:val="decimal"/>
      <w:start w:val="12"/>
    </w:lvl>
  </w:abstractNum>
  <w:abstractNum w:abstractNumId="241">
    <w:nsid w:val="37524CF0"/>
    <w:multiLevelType w:val="hybridMultilevel"/>
    <w:lvl w:ilvl="0">
      <w:lvlJc w:val="left"/>
      <w:lvlText w:val="(%1)"/>
      <w:numFmt w:val="decimal"/>
      <w:start w:val="1"/>
    </w:lvl>
  </w:abstractNum>
  <w:abstractNum w:abstractNumId="242">
    <w:nsid w:val="70CC332F"/>
    <w:multiLevelType w:val="hybridMultilevel"/>
    <w:lvl w:ilvl="0">
      <w:lvlJc w:val="left"/>
      <w:lvlText w:val="(%1)"/>
      <w:numFmt w:val="decimal"/>
      <w:start w:val="2"/>
    </w:lvl>
  </w:abstractNum>
  <w:abstractNum w:abstractNumId="243">
    <w:nsid w:val="5661786E"/>
    <w:multiLevelType w:val="hybridMultilevel"/>
    <w:lvl w:ilvl="0">
      <w:lvlJc w:val="left"/>
      <w:lvlText w:val="%1."/>
      <w:numFmt w:val="decimal"/>
      <w:start w:val="13"/>
    </w:lvl>
  </w:abstractNum>
  <w:abstractNum w:abstractNumId="244">
    <w:nsid w:val="3AF6A220"/>
    <w:multiLevelType w:val="hybridMultilevel"/>
    <w:lvl w:ilvl="0">
      <w:lvlJc w:val="left"/>
      <w:lvlText w:val="%1."/>
      <w:numFmt w:val="decimal"/>
      <w:start w:val="15"/>
    </w:lvl>
  </w:abstractNum>
  <w:abstractNum w:abstractNumId="245">
    <w:nsid w:val="3C5EA902"/>
    <w:multiLevelType w:val="hybridMultilevel"/>
    <w:lvl w:ilvl="0">
      <w:lvlJc w:val="left"/>
      <w:lvlText w:val="%1."/>
      <w:numFmt w:val="decimal"/>
      <w:start w:val="1"/>
    </w:lvl>
  </w:abstractNum>
  <w:abstractNum w:abstractNumId="246">
    <w:nsid w:val="256E6749"/>
    <w:multiLevelType w:val="hybridMultilevel"/>
    <w:lvl w:ilvl="0">
      <w:lvlJc w:val="left"/>
      <w:lvlText w:val="(%1)"/>
      <w:numFmt w:val="decimal"/>
      <w:start w:val="1"/>
    </w:lvl>
  </w:abstractNum>
  <w:abstractNum w:abstractNumId="247">
    <w:nsid w:val="1CB9A581"/>
    <w:multiLevelType w:val="hybridMultilevel"/>
    <w:lvl w:ilvl="0">
      <w:lvlJc w:val="left"/>
      <w:lvlText w:val="%1."/>
      <w:numFmt w:val="decimal"/>
      <w:start w:val="1"/>
    </w:lvl>
  </w:abstractNum>
  <w:abstractNum w:abstractNumId="248">
    <w:nsid w:val="1F7F42E2"/>
    <w:multiLevelType w:val="hybridMultilevel"/>
    <w:lvl w:ilvl="0">
      <w:lvlJc w:val="left"/>
      <w:lvlText w:val="(%1)"/>
      <w:numFmt w:val="decimal"/>
      <w:start w:val="1"/>
    </w:lvl>
  </w:abstractNum>
  <w:abstractNum w:abstractNumId="249">
    <w:nsid w:val="49D1FEA0"/>
    <w:multiLevelType w:val="hybridMultilevel"/>
    <w:lvl w:ilvl="0">
      <w:lvlJc w:val="left"/>
      <w:lvlText w:val="(%1)"/>
      <w:numFmt w:val="decimal"/>
      <w:start w:val="10"/>
    </w:lvl>
  </w:abstractNum>
  <w:abstractNum w:abstractNumId="250">
    <w:nsid w:val="268CB37F"/>
    <w:multiLevelType w:val="hybridMultilevel"/>
    <w:lvl w:ilvl="0">
      <w:lvlJc w:val="left"/>
      <w:lvlText w:val="①"/>
      <w:numFmt w:val="bullet"/>
      <w:start w:val="1"/>
    </w:lvl>
  </w:abstractNum>
  <w:abstractNum w:abstractNumId="251">
    <w:nsid w:val="102362F8"/>
    <w:multiLevelType w:val="hybridMultilevel"/>
    <w:lvl w:ilvl="0">
      <w:lvlJc w:val="left"/>
      <w:lvlText w:val="②"/>
      <w:numFmt w:val="bullet"/>
      <w:start w:val="1"/>
    </w:lvl>
  </w:abstractNum>
  <w:abstractNum w:abstractNumId="252">
    <w:nsid w:val="5FEDC0E3"/>
    <w:multiLevelType w:val="hybridMultilevel"/>
    <w:lvl w:ilvl="0">
      <w:lvlJc w:val="left"/>
      <w:lvlText w:val="③"/>
      <w:numFmt w:val="bullet"/>
      <w:start w:val="1"/>
    </w:lvl>
  </w:abstractNum>
  <w:abstractNum w:abstractNumId="253">
    <w:nsid w:val="3D75BC47"/>
    <w:multiLevelType w:val="hybridMultilevel"/>
    <w:lvl w:ilvl="0">
      <w:lvlJc w:val="left"/>
      <w:lvlText w:val="④"/>
      <w:numFmt w:val="bullet"/>
      <w:start w:val="1"/>
    </w:lvl>
  </w:abstractNum>
  <w:abstractNum w:abstractNumId="254">
    <w:nsid w:val="3E30D969"/>
    <w:multiLevelType w:val="hybridMultilevel"/>
    <w:lvl w:ilvl="0">
      <w:lvlJc w:val="left"/>
      <w:lvlText w:val="⑤"/>
      <w:numFmt w:val="bullet"/>
      <w:start w:val="1"/>
    </w:lvl>
  </w:abstractNum>
  <w:abstractNum w:abstractNumId="255">
    <w:nsid w:val="18A35FE3"/>
    <w:multiLevelType w:val="hybridMultilevel"/>
    <w:lvl w:ilvl="0">
      <w:lvlJc w:val="left"/>
      <w:lvlText w:val="⑥"/>
      <w:numFmt w:val="bullet"/>
      <w:start w:val="1"/>
    </w:lvl>
  </w:abstractNum>
  <w:abstractNum w:abstractNumId="256">
    <w:nsid w:val="6DEF5211"/>
    <w:multiLevelType w:val="hybridMultilevel"/>
    <w:lvl w:ilvl="0">
      <w:lvlJc w:val="left"/>
      <w:lvlText w:val="⑦"/>
      <w:numFmt w:val="bullet"/>
      <w:start w:val="1"/>
    </w:lvl>
  </w:abstractNum>
  <w:abstractNum w:abstractNumId="257">
    <w:nsid w:val="1112DBB6"/>
    <w:multiLevelType w:val="hybridMultilevel"/>
    <w:lvl w:ilvl="0">
      <w:lvlJc w:val="left"/>
      <w:lvlText w:val="(%1)"/>
      <w:numFmt w:val="decimal"/>
      <w:start w:val="1"/>
    </w:lvl>
    <w:lvl w:ilvl="1">
      <w:lvlJc w:val="left"/>
      <w:lvlText w:val="⑧"/>
      <w:numFmt w:val="bullet"/>
      <w:start w:val="1"/>
    </w:lvl>
  </w:abstractNum>
  <w:abstractNum w:abstractNumId="258">
    <w:nsid w:val="2586A498"/>
    <w:multiLevelType w:val="hybridMultilevel"/>
    <w:lvl w:ilvl="0">
      <w:lvlJc w:val="left"/>
      <w:lvlText w:val="%1."/>
      <w:numFmt w:val="decimal"/>
      <w:start w:val="1"/>
    </w:lvl>
  </w:abstractNum>
  <w:abstractNum w:abstractNumId="259">
    <w:nsid w:val="17A03BB9"/>
    <w:multiLevelType w:val="hybridMultilevel"/>
    <w:lvl w:ilvl="0">
      <w:lvlJc w:val="left"/>
      <w:lvlText w:val="(%1)"/>
      <w:numFmt w:val="decimal"/>
      <w:start w:val="1"/>
    </w:lvl>
  </w:abstractNum>
  <w:abstractNum w:abstractNumId="260">
    <w:nsid w:val="5CA941"/>
    <w:multiLevelType w:val="hybridMultilevel"/>
    <w:lvl w:ilvl="0">
      <w:lvlJc w:val="left"/>
      <w:lvlText w:val="(%1)"/>
      <w:numFmt w:val="decimal"/>
      <w:start w:val="3"/>
    </w:lvl>
  </w:abstractNum>
  <w:abstractNum w:abstractNumId="261">
    <w:nsid w:val="734C7D9F"/>
    <w:multiLevelType w:val="hybridMultilevel"/>
    <w:lvl w:ilvl="0">
      <w:lvlJc w:val="left"/>
      <w:lvlText w:val="(%1)"/>
      <w:numFmt w:val="decimal"/>
      <w:start w:val="1"/>
    </w:lvl>
  </w:abstractNum>
  <w:abstractNum w:abstractNumId="262">
    <w:nsid w:val="24F5D018"/>
    <w:multiLevelType w:val="hybridMultilevel"/>
    <w:lvl w:ilvl="0">
      <w:lvlJc w:val="left"/>
      <w:lvlText w:val="(%1)"/>
      <w:numFmt w:val="decimal"/>
      <w:start w:val="3"/>
    </w:lvl>
  </w:abstractNum>
  <w:abstractNum w:abstractNumId="263">
    <w:nsid w:val="6780C122"/>
    <w:multiLevelType w:val="hybridMultilevel"/>
    <w:lvl w:ilvl="0">
      <w:lvlJc w:val="left"/>
      <w:lvlText w:val="%1."/>
      <w:numFmt w:val="decimal"/>
      <w:start w:val="1"/>
    </w:lvl>
  </w:abstractNum>
  <w:abstractNum w:abstractNumId="264">
    <w:nsid w:val="534347A8"/>
    <w:multiLevelType w:val="hybridMultilevel"/>
    <w:lvl w:ilvl="0">
      <w:lvlJc w:val="left"/>
      <w:lvlText w:val="☒"/>
      <w:numFmt w:val="bullet"/>
      <w:start w:val="1"/>
    </w:lvl>
  </w:abstractNum>
  <w:abstractNum w:abstractNumId="265">
    <w:nsid w:val="5800E34B"/>
    <w:multiLevelType w:val="hybridMultilevel"/>
    <w:lvl w:ilvl="0">
      <w:lvlJc w:val="left"/>
      <w:lvlText w:val="þ"/>
      <w:numFmt w:val="bullet"/>
      <w:start w:val="1"/>
    </w:lvl>
  </w:abstractNum>
  <w:abstractNum w:abstractNumId="266">
    <w:nsid w:val="1673EFC8"/>
    <w:multiLevelType w:val="hybridMultilevel"/>
    <w:lvl w:ilvl="0">
      <w:lvlJc w:val="left"/>
      <w:lvlText w:val="%1."/>
      <w:numFmt w:val="decimal"/>
      <w:start w:val="1"/>
    </w:lvl>
  </w:abstractNum>
  <w:abstractNum w:abstractNumId="267">
    <w:nsid w:val="5B9B1FD"/>
    <w:multiLevelType w:val="hybridMultilevel"/>
    <w:lvl w:ilvl="0">
      <w:lvlJc w:val="left"/>
      <w:lvlText w:val="þ"/>
      <w:numFmt w:val="bullet"/>
      <w:start w:val="1"/>
    </w:lvl>
    <w:lvl w:ilvl="1">
      <w:lvlJc w:val="left"/>
      <w:lvlText w:val="%2."/>
      <w:numFmt w:val="decimal"/>
      <w:start w:val="5"/>
    </w:lvl>
  </w:abstractNum>
  <w:abstractNum w:abstractNumId="268">
    <w:nsid w:val="7AD7FCA2"/>
    <w:multiLevelType w:val="hybridMultilevel"/>
    <w:lvl w:ilvl="0">
      <w:lvlJc w:val="left"/>
      <w:lvlText w:val="☐"/>
      <w:numFmt w:val="bullet"/>
      <w:start w:val="1"/>
    </w:lvl>
  </w:abstractNum>
  <w:abstractNum w:abstractNumId="269">
    <w:nsid w:val="63351604"/>
    <w:multiLevelType w:val="hybridMultilevel"/>
    <w:lvl w:ilvl="0">
      <w:lvlJc w:val="left"/>
      <w:lvlText w:val="☒"/>
      <w:numFmt w:val="bullet"/>
      <w:start w:val="1"/>
    </w:lvl>
  </w:abstractNum>
  <w:abstractNum w:abstractNumId="270">
    <w:nsid w:val="E759D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1">
    <w:nsid w:val="6E3DEE90"/>
    <w:multiLevelType w:val="hybridMultilevel"/>
    <w:lvl w:ilvl="0">
      <w:lvlJc w:val="left"/>
      <w:lvlText w:val="☒"/>
      <w:numFmt w:val="bullet"/>
      <w:start w:val="1"/>
    </w:lvl>
    <w:lvl w:ilvl="1">
      <w:lvlJc w:val="left"/>
      <w:lvlText w:val="☒"/>
      <w:numFmt w:val="bullet"/>
      <w:start w:val="1"/>
    </w:lvl>
  </w:abstractNum>
  <w:abstractNum w:abstractNumId="272">
    <w:nsid w:val="1A8762F4"/>
    <w:multiLevelType w:val="hybridMultilevel"/>
    <w:lvl w:ilvl="0">
      <w:lvlJc w:val="left"/>
      <w:lvlText w:val="☐"/>
      <w:numFmt w:val="bullet"/>
      <w:start w:val="1"/>
    </w:lvl>
  </w:abstractNum>
  <w:abstractNum w:abstractNumId="273">
    <w:nsid w:val="7F41D049"/>
    <w:multiLevelType w:val="hybridMultilevel"/>
    <w:lvl w:ilvl="0">
      <w:lvlJc w:val="left"/>
      <w:lvlText w:val="(%1)"/>
      <w:numFmt w:val="decimal"/>
      <w:start w:val="1"/>
    </w:lvl>
  </w:abstractNum>
  <w:abstractNum w:abstractNumId="274">
    <w:nsid w:val="449F66FE"/>
    <w:multiLevelType w:val="hybridMultilevel"/>
    <w:lvl w:ilvl="0">
      <w:lvlJc w:val="left"/>
      <w:lvlText w:val="%1."/>
      <w:numFmt w:val="decimal"/>
      <w:start w:val="8"/>
    </w:lvl>
  </w:abstractNum>
  <w:abstractNum w:abstractNumId="275">
    <w:nsid w:val="557E0515"/>
    <w:multiLevelType w:val="hybridMultilevel"/>
    <w:lvl w:ilvl="0">
      <w:lvlJc w:val="left"/>
      <w:lvlText w:val="☐"/>
      <w:numFmt w:val="bullet"/>
      <w:start w:val="1"/>
    </w:lvl>
  </w:abstractNum>
  <w:abstractNum w:abstractNumId="276">
    <w:nsid w:val="3BA0794B"/>
    <w:multiLevelType w:val="hybridMultilevel"/>
    <w:lvl w:ilvl="0">
      <w:lvlJc w:val="left"/>
      <w:lvlText w:val="☐"/>
      <w:numFmt w:val="bullet"/>
      <w:start w:val="1"/>
    </w:lvl>
  </w:abstractNum>
  <w:abstractNum w:abstractNumId="277">
    <w:nsid w:val="6A0DCE48"/>
    <w:multiLevelType w:val="hybridMultilevel"/>
    <w:lvl w:ilvl="0">
      <w:lvlJc w:val="left"/>
      <w:lvlText w:val="☐"/>
      <w:numFmt w:val="bullet"/>
      <w:start w:val="1"/>
    </w:lvl>
  </w:abstractNum>
  <w:abstractNum w:abstractNumId="278">
    <w:nsid w:val="7237AA96"/>
    <w:multiLevelType w:val="hybridMultilevel"/>
    <w:lvl w:ilvl="0">
      <w:lvlJc w:val="left"/>
      <w:lvlText w:val="☐"/>
      <w:numFmt w:val="bullet"/>
      <w:start w:val="1"/>
    </w:lvl>
  </w:abstractNum>
  <w:abstractNum w:abstractNumId="279">
    <w:nsid w:val="5B1FBC2D"/>
    <w:multiLevelType w:val="hybridMultilevel"/>
    <w:lvl w:ilvl="0">
      <w:lvlJc w:val="left"/>
      <w:lvlText w:val="%1."/>
      <w:numFmt w:val="decimal"/>
      <w:start w:val="13"/>
    </w:lvl>
  </w:abstractNum>
  <w:abstractNum w:abstractNumId="280">
    <w:nsid w:val="33DFCCE8"/>
    <w:multiLevelType w:val="hybridMultilevel"/>
    <w:lvl w:ilvl="0">
      <w:lvlJc w:val="left"/>
      <w:lvlText w:val="þ"/>
      <w:numFmt w:val="bullet"/>
      <w:start w:val="1"/>
    </w:lvl>
    <w:lvl w:ilvl="1">
      <w:lvlJc w:val="left"/>
      <w:lvlText w:val="(%2)"/>
      <w:numFmt w:val="decimal"/>
      <w:start w:val="1"/>
    </w:lvl>
  </w:abstractNum>
  <w:abstractNum w:abstractNumId="281">
    <w:nsid w:val="18C45E15"/>
    <w:multiLevelType w:val="hybridMultilevel"/>
    <w:lvl w:ilvl="0">
      <w:lvlJc w:val="left"/>
      <w:lvlText w:val="(%1)"/>
      <w:numFmt w:val="decimal"/>
      <w:start w:val="2"/>
    </w:lvl>
  </w:abstractNum>
  <w:abstractNum w:abstractNumId="282">
    <w:nsid w:val="6B431F25"/>
    <w:multiLevelType w:val="hybridMultilevel"/>
    <w:lvl w:ilvl="0">
      <w:lvlJc w:val="left"/>
      <w:lvlText w:val="☐"/>
      <w:numFmt w:val="bullet"/>
      <w:start w:val="1"/>
    </w:lvl>
    <w:lvl w:ilvl="1">
      <w:lvlJc w:val="left"/>
      <w:lvlText w:val="(%2)"/>
      <w:numFmt w:val="decimal"/>
      <w:start w:val="1"/>
    </w:lvl>
  </w:abstractNum>
  <w:abstractNum w:abstractNumId="283">
    <w:nsid w:val="13CD8DCB"/>
    <w:multiLevelType w:val="hybridMultilevel"/>
    <w:lvl w:ilvl="0">
      <w:lvlJc w:val="left"/>
      <w:lvlText w:val="(%1)"/>
      <w:numFmt w:val="decimal"/>
      <w:start w:val="3"/>
    </w:lvl>
  </w:abstractNum>
  <w:abstractNum w:abstractNumId="284">
    <w:nsid w:val="563A1A5C"/>
    <w:multiLevelType w:val="hybridMultilevel"/>
    <w:lvl w:ilvl="0">
      <w:lvlJc w:val="left"/>
      <w:lvlText w:val="%1."/>
      <w:numFmt w:val="decimal"/>
      <w:start w:val="1"/>
    </w:lvl>
  </w:abstractNum>
  <w:abstractNum w:abstractNumId="285">
    <w:nsid w:val="2973F88F"/>
    <w:multiLevelType w:val="hybridMultilevel"/>
    <w:lvl w:ilvl="0">
      <w:lvlJc w:val="left"/>
      <w:lvlText w:val="%1."/>
      <w:numFmt w:val="decimal"/>
      <w:start w:val="1"/>
    </w:lvl>
  </w:abstractNum>
  <w:abstractNum w:abstractNumId="286">
    <w:nsid w:val="2C70EDAE"/>
    <w:multiLevelType w:val="hybridMultilevel"/>
    <w:lvl w:ilvl="0">
      <w:lvlJc w:val="left"/>
      <w:lvlText w:val="%1."/>
      <w:numFmt w:val="decimal"/>
      <w:start w:val="4"/>
    </w:lvl>
  </w:abstractNum>
  <w:abstractNum w:abstractNumId="287">
    <w:nsid w:val="44296C6D"/>
    <w:multiLevelType w:val="hybridMultilevel"/>
    <w:lvl w:ilvl="0">
      <w:lvlJc w:val="left"/>
      <w:lvlText w:val="(%1)"/>
      <w:numFmt w:val="decimal"/>
      <w:start w:val="1"/>
    </w:lvl>
  </w:abstractNum>
  <w:abstractNum w:abstractNumId="288">
    <w:nsid w:val="3A86D445"/>
    <w:multiLevelType w:val="hybridMultilevel"/>
    <w:lvl w:ilvl="0">
      <w:lvlJc w:val="left"/>
      <w:lvlText w:val="(%1)"/>
      <w:numFmt w:val="decimal"/>
      <w:start w:val="4"/>
    </w:lvl>
  </w:abstractNum>
  <w:abstractNum w:abstractNumId="289">
    <w:nsid w:val="51F79246"/>
    <w:multiLevelType w:val="hybridMultilevel"/>
    <w:lvl w:ilvl="0">
      <w:lvlJc w:val="left"/>
      <w:lvlText w:val="(%1)"/>
      <w:numFmt w:val="decimal"/>
      <w:start w:val="1"/>
    </w:lvl>
  </w:abstractNum>
  <w:abstractNum w:abstractNumId="290">
    <w:nsid w:val="5BC9A827"/>
    <w:multiLevelType w:val="hybridMultilevel"/>
    <w:lvl w:ilvl="0">
      <w:lvlJc w:val="left"/>
      <w:lvlText w:val="(%1)"/>
      <w:numFmt w:val="decimal"/>
      <w:start w:val="1"/>
    </w:lvl>
  </w:abstractNum>
  <w:abstractNum w:abstractNumId="291">
    <w:nsid w:val="3AE37D86"/>
    <w:multiLevelType w:val="hybridMultilevel"/>
    <w:lvl w:ilvl="0">
      <w:lvlJc w:val="left"/>
      <w:lvlText w:val="(%1)"/>
      <w:numFmt w:val="decimal"/>
      <w:start w:val="3"/>
    </w:lvl>
  </w:abstractNum>
  <w:abstractNum w:abstractNumId="292">
    <w:nsid w:val="45440FE5"/>
    <w:multiLevelType w:val="hybridMultilevel"/>
    <w:lvl w:ilvl="0">
      <w:lvlJc w:val="left"/>
      <w:lvlText w:val="%1."/>
      <w:numFmt w:val="decimal"/>
      <w:start w:val="1"/>
    </w:lvl>
  </w:abstractNum>
  <w:abstractNum w:abstractNumId="293">
    <w:nsid w:val="BF783F"/>
    <w:multiLevelType w:val="hybridMultilevel"/>
    <w:lvl w:ilvl="0">
      <w:lvlJc w:val="left"/>
      <w:lvlText w:val="%1."/>
      <w:numFmt w:val="decimal"/>
      <w:start w:val="3"/>
    </w:lvl>
  </w:abstractNum>
  <w:abstractNum w:abstractNumId="294">
    <w:nsid w:val="22643EA9"/>
    <w:multiLevelType w:val="hybridMultilevel"/>
    <w:lvl w:ilvl="0">
      <w:lvlJc w:val="left"/>
      <w:lvlText w:val="%1."/>
      <w:numFmt w:val="decimal"/>
      <w:start w:val="1"/>
    </w:lvl>
  </w:abstractNum>
  <w:abstractNum w:abstractNumId="295">
    <w:nsid w:val="1887578D"/>
    <w:multiLevelType w:val="hybridMultilevel"/>
    <w:lvl w:ilvl="0">
      <w:lvlJc w:val="left"/>
      <w:lvlText w:val="%1."/>
      <w:numFmt w:val="decimal"/>
      <w:start w:val="2"/>
    </w:lvl>
  </w:abstractNum>
  <w:abstractNum w:abstractNumId="296">
    <w:nsid w:val="58C05B8A"/>
    <w:multiLevelType w:val="hybridMultilevel"/>
    <w:lvl w:ilvl="0">
      <w:lvlJc w:val="left"/>
      <w:lvlText w:val="%1."/>
      <w:numFmt w:val="decimal"/>
      <w:start w:val="3"/>
    </w:lvl>
  </w:abstractNum>
  <w:abstractNum w:abstractNumId="297">
    <w:nsid w:val="38D82E71"/>
    <w:multiLevelType w:val="hybridMultilevel"/>
    <w:lvl w:ilvl="0">
      <w:lvlJc w:val="left"/>
      <w:lvlText w:val="(%1)"/>
      <w:numFmt w:val="decimal"/>
      <w:start w:val="1"/>
    </w:lvl>
  </w:abstractNum>
  <w:abstractNum w:abstractNumId="298">
    <w:nsid w:val="1E41098A"/>
    <w:multiLevelType w:val="hybridMultilevel"/>
    <w:lvl w:ilvl="0">
      <w:lvlJc w:val="left"/>
      <w:lvlText w:val="%1."/>
      <w:numFmt w:val="decimal"/>
      <w:start w:val="4"/>
    </w:lvl>
  </w:abstractNum>
  <w:abstractNum w:abstractNumId="299">
    <w:nsid w:val="5398582C"/>
    <w:multiLevelType w:val="hybridMultilevel"/>
    <w:lvl w:ilvl="0">
      <w:lvlJc w:val="left"/>
      <w:lvlText w:val="%1."/>
      <w:numFmt w:val="decimal"/>
      <w:start w:val="5"/>
    </w:lvl>
  </w:abstractNum>
  <w:abstractNum w:abstractNumId="300">
    <w:nsid w:val="1C0D4475"/>
    <w:multiLevelType w:val="hybridMultilevel"/>
    <w:lvl w:ilvl="0">
      <w:lvlJc w:val="left"/>
      <w:lvlText w:val="(%1)"/>
      <w:numFmt w:val="decimal"/>
      <w:start w:val="1"/>
    </w:lvl>
  </w:abstractNum>
  <w:abstractNum w:abstractNumId="301">
    <w:nsid w:val="2CB6A6A4"/>
    <w:multiLevelType w:val="hybridMultilevel"/>
    <w:lvl w:ilvl="0">
      <w:lvlJc w:val="left"/>
      <w:lvlText w:val="%1."/>
      <w:numFmt w:val="decimal"/>
      <w:start w:val="1"/>
    </w:lvl>
  </w:abstractNum>
  <w:abstractNum w:abstractNumId="302">
    <w:nsid w:val="41D646BC"/>
    <w:multiLevelType w:val="hybridMultilevel"/>
    <w:lvl w:ilvl="0">
      <w:lvlJc w:val="left"/>
      <w:lvlText w:val="%1."/>
      <w:numFmt w:val="decimal"/>
      <w:start w:val="3"/>
    </w:lvl>
  </w:abstractNum>
  <w:abstractNum w:abstractNumId="303">
    <w:nsid w:val="3694A76A"/>
    <w:multiLevelType w:val="hybridMultilevel"/>
    <w:lvl w:ilvl="0">
      <w:lvlJc w:val="left"/>
      <w:lvlText w:val="%1."/>
      <w:numFmt w:val="decimal"/>
      <w:start w:val="1"/>
    </w:lvl>
  </w:abstractNum>
  <w:abstractNum w:abstractNumId="304">
    <w:nsid w:val="2BF876EE"/>
    <w:multiLevelType w:val="hybridMultilevel"/>
    <w:lvl w:ilvl="0">
      <w:lvlJc w:val="left"/>
      <w:lvlText w:val="%1."/>
      <w:numFmt w:val="decimal"/>
      <w:start w:val="7"/>
    </w:lvl>
  </w:abstractNum>
  <w:abstractNum w:abstractNumId="305">
    <w:nsid w:val="675ADBA"/>
    <w:multiLevelType w:val="hybridMultilevel"/>
    <w:lvl w:ilvl="0">
      <w:lvlJc w:val="left"/>
      <w:lvlText w:val="%1."/>
      <w:numFmt w:val="decimal"/>
      <w:start w:val="1"/>
    </w:lvl>
  </w:abstractNum>
  <w:abstractNum w:abstractNumId="306">
    <w:nsid w:val="C12AC7F"/>
    <w:multiLevelType w:val="hybridMultilevel"/>
    <w:lvl w:ilvl="0">
      <w:lvlJc w:val="left"/>
      <w:lvlText w:val="%1."/>
      <w:numFmt w:val="decimal"/>
      <w:start w:val="3"/>
    </w:lvl>
  </w:abstractNum>
  <w:abstractNum w:abstractNumId="307">
    <w:nsid w:val="6798F039"/>
    <w:multiLevelType w:val="hybridMultilevel"/>
    <w:lvl w:ilvl="0">
      <w:lvlJc w:val="left"/>
      <w:lvlText w:val="(%1)"/>
      <w:numFmt w:val="decimal"/>
      <w:start w:val="1"/>
    </w:lvl>
  </w:abstractNum>
  <w:abstractNum w:abstractNumId="308">
    <w:nsid w:val="70837C02"/>
    <w:multiLevelType w:val="hybridMultilevel"/>
    <w:lvl w:ilvl="0">
      <w:lvlJc w:val="left"/>
      <w:lvlText w:val="%1."/>
      <w:numFmt w:val="decimal"/>
      <w:start w:val="5"/>
    </w:lvl>
  </w:abstractNum>
  <w:abstractNum w:abstractNumId="309">
    <w:nsid w:val="7E4A5715"/>
    <w:multiLevelType w:val="hybridMultilevel"/>
    <w:lvl w:ilvl="0">
      <w:lvlJc w:val="left"/>
      <w:lvlText w:val="(%1)"/>
      <w:numFmt w:val="decimal"/>
      <w:start w:val="1"/>
    </w:lvl>
  </w:abstractNum>
  <w:abstractNum w:abstractNumId="310">
    <w:nsid w:val="42B8AC67"/>
    <w:multiLevelType w:val="hybridMultilevel"/>
    <w:lvl w:ilvl="0">
      <w:lvlJc w:val="left"/>
      <w:lvlText w:val="(%1)"/>
      <w:numFmt w:val="decimal"/>
      <w:start w:val="4"/>
    </w:lvl>
  </w:abstractNum>
  <w:abstractNum w:abstractNumId="311">
    <w:nsid w:val="246348EA"/>
    <w:multiLevelType w:val="hybridMultilevel"/>
    <w:lvl w:ilvl="0">
      <w:lvlJc w:val="left"/>
      <w:lvlText w:val="%1."/>
      <w:numFmt w:val="decimal"/>
      <w:start w:val="6"/>
    </w:lvl>
  </w:abstractNum>
  <w:abstractNum w:abstractNumId="312">
    <w:nsid w:val="170EB52B"/>
    <w:multiLevelType w:val="hybridMultilevel"/>
    <w:lvl w:ilvl="0">
      <w:lvlJc w:val="left"/>
      <w:lvlText w:val="%1."/>
      <w:numFmt w:val="decimal"/>
      <w:start w:val="10"/>
    </w:lvl>
  </w:abstractNum>
  <w:abstractNum w:abstractNumId="313">
    <w:nsid w:val="2DFBCB8C"/>
    <w:multiLevelType w:val="hybridMultilevel"/>
    <w:lvl w:ilvl="0">
      <w:lvlJc w:val="left"/>
      <w:lvlText w:val="(%1)"/>
      <w:numFmt w:val="decimal"/>
      <w:start w:val="1"/>
    </w:lvl>
  </w:abstractNum>
  <w:abstractNum w:abstractNumId="314">
    <w:nsid w:val="3830D6B6"/>
    <w:multiLevelType w:val="hybridMultilevel"/>
    <w:lvl w:ilvl="0">
      <w:lvlJc w:val="left"/>
      <w:lvlText w:val="%1."/>
      <w:numFmt w:val="decimal"/>
      <w:start w:val="12"/>
    </w:lvl>
  </w:abstractNum>
  <w:abstractNum w:abstractNumId="315">
    <w:nsid w:val="6D48CF87"/>
    <w:multiLevelType w:val="hybridMultilevel"/>
    <w:lvl w:ilvl="0">
      <w:lvlJc w:val="left"/>
      <w:lvlText w:val="(%1)"/>
      <w:numFmt w:val="decimal"/>
      <w:start w:val="1"/>
    </w:lvl>
  </w:abstractNum>
  <w:abstractNum w:abstractNumId="316">
    <w:nsid w:val="576FC41B"/>
    <w:multiLevelType w:val="hybridMultilevel"/>
    <w:lvl w:ilvl="0">
      <w:lvlJc w:val="left"/>
      <w:lvlText w:val="(%1)"/>
      <w:numFmt w:val="decimal"/>
      <w:start w:val="2"/>
    </w:lvl>
  </w:abstractNum>
  <w:abstractNum w:abstractNumId="317">
    <w:nsid w:val="64A1C464"/>
    <w:multiLevelType w:val="hybridMultilevel"/>
    <w:lvl w:ilvl="0">
      <w:lvlJc w:val="left"/>
      <w:lvlText w:val="%1."/>
      <w:numFmt w:val="decimal"/>
      <w:start w:val="13"/>
    </w:lvl>
  </w:abstractNum>
  <w:abstractNum w:abstractNumId="318">
    <w:nsid w:val="31723BF5"/>
    <w:multiLevelType w:val="hybridMultilevel"/>
    <w:lvl w:ilvl="0">
      <w:lvlJc w:val="left"/>
      <w:lvlText w:val="%1."/>
      <w:numFmt w:val="decimal"/>
      <w:start w:val="15"/>
    </w:lvl>
  </w:abstractNum>
  <w:abstractNum w:abstractNumId="319">
    <w:nsid w:val="11F69861"/>
    <w:multiLevelType w:val="hybridMultilevel"/>
    <w:lvl w:ilvl="0">
      <w:lvlJc w:val="left"/>
      <w:lvlText w:val="%1."/>
      <w:numFmt w:val="decimal"/>
      <w:start w:val="1"/>
    </w:lvl>
  </w:abstractNum>
  <w:abstractNum w:abstractNumId="320">
    <w:nsid w:val="369956AB"/>
    <w:multiLevelType w:val="hybridMultilevel"/>
    <w:lvl w:ilvl="0">
      <w:lvlJc w:val="left"/>
      <w:lvlText w:val="(%1)"/>
      <w:numFmt w:val="decimal"/>
      <w:start w:val="1"/>
    </w:lvl>
  </w:abstractNum>
  <w:abstractNum w:abstractNumId="321">
    <w:nsid w:val="D3BE41C"/>
    <w:multiLevelType w:val="hybridMultilevel"/>
    <w:lvl w:ilvl="0">
      <w:lvlJc w:val="left"/>
      <w:lvlText w:val="%1."/>
      <w:numFmt w:val="decimal"/>
      <w:start w:val="1"/>
    </w:lvl>
  </w:abstractNum>
  <w:abstractNum w:abstractNumId="322">
    <w:nsid w:val="4CDA15E7"/>
    <w:multiLevelType w:val="hybridMultilevel"/>
    <w:lvl w:ilvl="0">
      <w:lvlJc w:val="left"/>
      <w:lvlText w:val="(%1)"/>
      <w:numFmt w:val="decimal"/>
      <w:start w:val="1"/>
    </w:lvl>
  </w:abstractNum>
  <w:abstractNum w:abstractNumId="323">
    <w:nsid w:val="7BDD6690"/>
    <w:multiLevelType w:val="hybridMultilevel"/>
    <w:lvl w:ilvl="0">
      <w:lvlJc w:val="left"/>
      <w:lvlText w:val="(%1)"/>
      <w:numFmt w:val="decimal"/>
      <w:start w:val="10"/>
    </w:lvl>
  </w:abstractNum>
  <w:abstractNum w:abstractNumId="324">
    <w:nsid w:val="DFB5C5B"/>
    <w:multiLevelType w:val="hybridMultilevel"/>
    <w:lvl w:ilvl="0">
      <w:lvlJc w:val="left"/>
      <w:lvlText w:val="①"/>
      <w:numFmt w:val="bullet"/>
      <w:start w:val="1"/>
    </w:lvl>
  </w:abstractNum>
  <w:abstractNum w:abstractNumId="325">
    <w:nsid w:val="6F3E5490"/>
    <w:multiLevelType w:val="hybridMultilevel"/>
    <w:lvl w:ilvl="0">
      <w:lvlJc w:val="left"/>
      <w:lvlText w:val="②"/>
      <w:numFmt w:val="bullet"/>
      <w:start w:val="1"/>
    </w:lvl>
  </w:abstractNum>
  <w:abstractNum w:abstractNumId="326">
    <w:nsid w:val="1464BE1E"/>
    <w:multiLevelType w:val="hybridMultilevel"/>
    <w:lvl w:ilvl="0">
      <w:lvlJc w:val="left"/>
      <w:lvlText w:val="③"/>
      <w:numFmt w:val="bullet"/>
      <w:start w:val="1"/>
    </w:lvl>
  </w:abstractNum>
  <w:abstractNum w:abstractNumId="327">
    <w:nsid w:val="66BBB7E5"/>
    <w:multiLevelType w:val="hybridMultilevel"/>
    <w:lvl w:ilvl="0">
      <w:lvlJc w:val="left"/>
      <w:lvlText w:val="④"/>
      <w:numFmt w:val="bullet"/>
      <w:start w:val="1"/>
    </w:lvl>
  </w:abstractNum>
  <w:abstractNum w:abstractNumId="328">
    <w:nsid w:val="28168302"/>
    <w:multiLevelType w:val="hybridMultilevel"/>
    <w:lvl w:ilvl="0">
      <w:lvlJc w:val="left"/>
      <w:lvlText w:val="⑤"/>
      <w:numFmt w:val="bullet"/>
      <w:start w:val="1"/>
    </w:lvl>
  </w:abstractNum>
  <w:abstractNum w:abstractNumId="329">
    <w:nsid w:val="32A5C7A8"/>
    <w:multiLevelType w:val="hybridMultilevel"/>
    <w:lvl w:ilvl="0">
      <w:lvlJc w:val="left"/>
      <w:lvlText w:val="⑥"/>
      <w:numFmt w:val="bullet"/>
      <w:start w:val="1"/>
    </w:lvl>
  </w:abstractNum>
  <w:abstractNum w:abstractNumId="330">
    <w:nsid w:val="3A541011"/>
    <w:multiLevelType w:val="hybridMultilevel"/>
    <w:lvl w:ilvl="0">
      <w:lvlJc w:val="left"/>
      <w:lvlText w:val="⑦"/>
      <w:numFmt w:val="bullet"/>
      <w:start w:val="1"/>
    </w:lvl>
  </w:abstractNum>
  <w:abstractNum w:abstractNumId="331">
    <w:nsid w:val="4423C777"/>
    <w:multiLevelType w:val="hybridMultilevel"/>
    <w:lvl w:ilvl="0">
      <w:lvlJc w:val="left"/>
      <w:lvlText w:val="(%1)"/>
      <w:numFmt w:val="decimal"/>
      <w:start w:val="1"/>
    </w:lvl>
    <w:lvl w:ilvl="1">
      <w:lvlJc w:val="left"/>
      <w:lvlText w:val="⑧"/>
      <w:numFmt w:val="bullet"/>
      <w:start w:val="1"/>
    </w:lvl>
  </w:abstractNum>
  <w:abstractNum w:abstractNumId="332">
    <w:nsid w:val="5F5C6E4D"/>
    <w:multiLevelType w:val="hybridMultilevel"/>
    <w:lvl w:ilvl="0">
      <w:lvlJc w:val="left"/>
      <w:lvlText w:val="%1."/>
      <w:numFmt w:val="decimal"/>
      <w:start w:val="1"/>
    </w:lvl>
  </w:abstractNum>
  <w:abstractNum w:abstractNumId="333">
    <w:nsid w:val="7C2A56CD"/>
    <w:multiLevelType w:val="hybridMultilevel"/>
    <w:lvl w:ilvl="0">
      <w:lvlJc w:val="left"/>
      <w:lvlText w:val="(%1)"/>
      <w:numFmt w:val="decimal"/>
      <w:start w:val="1"/>
    </w:lvl>
  </w:abstractNum>
  <w:abstractNum w:abstractNumId="334">
    <w:nsid w:val="7AB86EE1"/>
    <w:multiLevelType w:val="hybridMultilevel"/>
    <w:lvl w:ilvl="0">
      <w:lvlJc w:val="left"/>
      <w:lvlText w:val="(%1)"/>
      <w:numFmt w:val="decimal"/>
      <w:start w:val="3"/>
    </w:lvl>
  </w:abstractNum>
  <w:abstractNum w:abstractNumId="335">
    <w:nsid w:val="B54E53B"/>
    <w:multiLevelType w:val="hybridMultilevel"/>
    <w:lvl w:ilvl="0">
      <w:lvlJc w:val="left"/>
      <w:lvlText w:val="(%1)"/>
      <w:numFmt w:val="decimal"/>
      <w:start w:val="1"/>
    </w:lvl>
  </w:abstractNum>
  <w:abstractNum w:abstractNumId="336">
    <w:nsid w:val="2A00487"/>
    <w:multiLevelType w:val="hybridMultilevel"/>
    <w:lvl w:ilvl="0">
      <w:lvlJc w:val="left"/>
      <w:lvlText w:val="(%1)"/>
      <w:numFmt w:val="decimal"/>
      <w:start w:val="3"/>
    </w:lvl>
  </w:abstractNum>
  <w:abstractNum w:abstractNumId="337">
    <w:nsid w:val="6CB1B60"/>
    <w:multiLevelType w:val="hybridMultilevel"/>
    <w:lvl w:ilvl="0">
      <w:lvlJc w:val="left"/>
      <w:lvlText w:val="%1."/>
      <w:numFmt w:val="decimal"/>
      <w:start w:val="9"/>
    </w:lvl>
  </w:abstractNum>
  <w:abstractNum w:abstractNumId="338">
    <w:nsid w:val="72EDD574"/>
    <w:multiLevelType w:val="hybridMultilevel"/>
    <w:lvl w:ilvl="0">
      <w:lvlJc w:val="left"/>
      <w:lvlText w:val="☐"/>
      <w:numFmt w:val="bullet"/>
      <w:start w:val="1"/>
    </w:lvl>
  </w:abstractNum>
  <w:abstractNum w:abstractNumId="339">
    <w:nsid w:val="7323808A"/>
    <w:multiLevelType w:val="hybridMultilevel"/>
    <w:lvl w:ilvl="0">
      <w:lvlJc w:val="left"/>
      <w:lvlText w:val="☐"/>
      <w:numFmt w:val="bullet"/>
      <w:start w:val="1"/>
    </w:lvl>
  </w:abstractNum>
  <w:abstractNum w:abstractNumId="340">
    <w:nsid w:val="5157276"/>
    <w:multiLevelType w:val="hybridMultilevel"/>
    <w:lvl w:ilvl="0">
      <w:lvlJc w:val="left"/>
      <w:lvlText w:val="☐"/>
      <w:numFmt w:val="bullet"/>
      <w:start w:val="1"/>
    </w:lvl>
  </w:abstractNum>
  <w:abstractNum w:abstractNumId="341">
    <w:nsid w:val="35A681DB"/>
    <w:multiLevelType w:val="hybridMultilevel"/>
    <w:lvl w:ilvl="0">
      <w:lvlJc w:val="left"/>
      <w:lvlText w:val="☐"/>
      <w:numFmt w:val="bullet"/>
      <w:start w:val="1"/>
    </w:lvl>
  </w:abstractNum>
  <w:abstractNum w:abstractNumId="342">
    <w:nsid w:val="1786C974"/>
    <w:multiLevelType w:val="hybridMultilevel"/>
    <w:lvl w:ilvl="0">
      <w:lvlJc w:val="left"/>
      <w:lvlText w:val="☑"/>
      <w:numFmt w:val="bullet"/>
      <w:start w:val="1"/>
    </w:lvl>
  </w:abstractNum>
  <w:abstractNum w:abstractNumId="343">
    <w:nsid w:val="1C2427A1"/>
    <w:multiLevelType w:val="hybridMultilevel"/>
    <w:lvl w:ilvl="0">
      <w:lvlJc w:val="left"/>
      <w:lvlText w:val="☐"/>
      <w:numFmt w:val="bullet"/>
      <w:start w:val="1"/>
    </w:lvl>
  </w:abstractNum>
  <w:abstractNum w:abstractNumId="344">
    <w:nsid w:val="63A24D68"/>
    <w:multiLevelType w:val="hybridMultilevel"/>
    <w:lvl w:ilvl="0">
      <w:lvlJc w:val="left"/>
      <w:lvlText w:val="☑"/>
      <w:numFmt w:val="bullet"/>
      <w:start w:val="1"/>
    </w:lvl>
  </w:abstractNum>
  <w:abstractNum w:abstractNumId="345">
    <w:nsid w:val="4FB7A02A"/>
    <w:multiLevelType w:val="hybridMultilevel"/>
    <w:lvl w:ilvl="0">
      <w:lvlJc w:val="left"/>
      <w:lvlText w:val="%1."/>
      <w:numFmt w:val="decimal"/>
      <w:start w:val="2"/>
    </w:lvl>
  </w:abstractNum>
  <w:abstractNum w:abstractNumId="346">
    <w:nsid w:val="96CF728"/>
    <w:multiLevelType w:val="hybridMultilevel"/>
    <w:lvl w:ilvl="0">
      <w:lvlJc w:val="left"/>
      <w:lvlText w:val="%1."/>
      <w:numFmt w:val="decimal"/>
      <w:start w:val="1"/>
    </w:lvl>
  </w:abstractNum>
  <w:abstractNum w:abstractNumId="347">
    <w:nsid w:val="3B121183"/>
    <w:multiLevelType w:val="hybridMultilevel"/>
    <w:lvl w:ilvl="0">
      <w:lvlJc w:val="left"/>
      <w:lvlText w:val="%1."/>
      <w:numFmt w:val="decimal"/>
      <w:start w:val="2"/>
    </w:lvl>
  </w:abstractNum>
  <w:abstractNum w:abstractNumId="348">
    <w:nsid w:val="3459648F"/>
    <w:multiLevelType w:val="hybridMultilevel"/>
    <w:lvl w:ilvl="0">
      <w:lvlJc w:val="left"/>
      <w:lvlText w:val="%1."/>
      <w:numFmt w:val="decimal"/>
      <w:start w:val="4"/>
    </w:lvl>
  </w:abstractNum>
  <w:abstractNum w:abstractNumId="349">
    <w:nsid w:val="3ADF331D"/>
    <w:multiLevelType w:val="hybridMultilevel"/>
    <w:lvl w:ilvl="0">
      <w:lvlJc w:val="left"/>
      <w:lvlText w:val="%1."/>
      <w:numFmt w:val="decimal"/>
      <w:start w:val="1"/>
    </w:lvl>
  </w:abstractNum>
  <w:abstractNum w:abstractNumId="350">
    <w:nsid w:val="4D08A9E4"/>
    <w:multiLevelType w:val="hybridMultilevel"/>
    <w:lvl w:ilvl="0">
      <w:lvlJc w:val="left"/>
      <w:lvlText w:val="%1."/>
      <w:numFmt w:val="decimal"/>
      <w:start w:val="1"/>
    </w:lvl>
  </w:abstractNum>
  <w:abstractNum w:abstractNumId="351">
    <w:nsid w:val="6AF2BB3A"/>
    <w:multiLevelType w:val="hybridMultilevel"/>
    <w:lvl w:ilvl="0">
      <w:lvlJc w:val="left"/>
      <w:lvlText w:val="%1."/>
      <w:numFmt w:val="decimal"/>
      <w:start w:val="2"/>
    </w:lvl>
    <w:lvl w:ilvl="1">
      <w:lvlJc w:val="left"/>
      <w:lvlText w:val="%2."/>
      <w:numFmt w:val="decimal"/>
      <w:start w:val="3"/>
    </w:lvl>
  </w:abstractNum>
  <w:abstractNum w:abstractNumId="352">
    <w:nsid w:val="481B1739"/>
    <w:multiLevelType w:val="hybridMultilevel"/>
    <w:lvl w:ilvl="0">
      <w:lvlJc w:val="left"/>
      <w:lvlText w:val="%1."/>
      <w:numFmt w:val="decimal"/>
      <w:start w:val="4"/>
    </w:lvl>
  </w:abstractNum>
  <w:abstractNum w:abstractNumId="353">
    <w:nsid w:val="19E2BFCC"/>
    <w:multiLevelType w:val="hybridMultilevel"/>
    <w:lvl w:ilvl="0">
      <w:lvlJc w:val="left"/>
      <w:lvlText w:val="%1."/>
      <w:numFmt w:val="decimal"/>
      <w:start w:val="5"/>
    </w:lvl>
  </w:abstractNum>
  <w:abstractNum w:abstractNumId="354">
    <w:nsid w:val="66D021CA"/>
    <w:multiLevelType w:val="hybridMultilevel"/>
    <w:lvl w:ilvl="0">
      <w:lvlJc w:val="left"/>
      <w:lvlText w:val="%1."/>
      <w:numFmt w:val="decimal"/>
      <w:start w:val="1"/>
    </w:lvl>
  </w:abstractNum>
  <w:abstractNum w:abstractNumId="355">
    <w:nsid w:val="56167394"/>
    <w:multiLevelType w:val="hybridMultilevel"/>
    <w:lvl w:ilvl="0">
      <w:lvlJc w:val="left"/>
      <w:lvlText w:val="%1."/>
      <w:numFmt w:val="decimal"/>
      <w:start w:val="1"/>
    </w:lvl>
  </w:abstractNum>
  <w:abstractNum w:abstractNumId="356">
    <w:nsid w:val="921145C"/>
    <w:multiLevelType w:val="hybridMultilevel"/>
    <w:lvl w:ilvl="0">
      <w:lvlJc w:val="left"/>
      <w:lvlText w:val="%1."/>
      <w:numFmt w:val="decimal"/>
      <w:start w:val="9"/>
    </w:lvl>
  </w:abstractNum>
  <w:abstractNum w:abstractNumId="357">
    <w:nsid w:val="7B34DFE8"/>
    <w:multiLevelType w:val="hybridMultilevel"/>
    <w:lvl w:ilvl="0">
      <w:lvlJc w:val="left"/>
      <w:lvlText w:val="☐"/>
      <w:numFmt w:val="bullet"/>
      <w:start w:val="1"/>
    </w:lvl>
  </w:abstractNum>
  <w:abstractNum w:abstractNumId="358">
    <w:nsid w:val="3CD22B79"/>
    <w:multiLevelType w:val="hybridMultilevel"/>
    <w:lvl w:ilvl="0">
      <w:lvlJc w:val="left"/>
      <w:lvlText w:val="☐"/>
      <w:numFmt w:val="bullet"/>
      <w:start w:val="1"/>
    </w:lvl>
  </w:abstractNum>
  <w:abstractNum w:abstractNumId="359">
    <w:nsid w:val="3137975E"/>
    <w:multiLevelType w:val="hybridMultilevel"/>
    <w:lvl w:ilvl="0">
      <w:lvlJc w:val="left"/>
      <w:lvlText w:val="☐"/>
      <w:numFmt w:val="bullet"/>
      <w:start w:val="1"/>
    </w:lvl>
  </w:abstractNum>
  <w:abstractNum w:abstractNumId="360">
    <w:nsid w:val="2DDAA791"/>
    <w:multiLevelType w:val="hybridMultilevel"/>
    <w:lvl w:ilvl="0">
      <w:lvlJc w:val="left"/>
      <w:lvlText w:val="☐"/>
      <w:numFmt w:val="bullet"/>
      <w:start w:val="1"/>
    </w:lvl>
  </w:abstractNum>
  <w:abstractNum w:abstractNumId="361">
    <w:nsid w:val="77263B8A"/>
    <w:multiLevelType w:val="hybridMultilevel"/>
    <w:lvl w:ilvl="0">
      <w:lvlJc w:val="left"/>
      <w:lvlText w:val="☑"/>
      <w:numFmt w:val="bullet"/>
      <w:start w:val="1"/>
    </w:lvl>
  </w:abstractNum>
  <w:abstractNum w:abstractNumId="362">
    <w:nsid w:val="755B5ED6"/>
    <w:multiLevelType w:val="hybridMultilevel"/>
    <w:lvl w:ilvl="0">
      <w:lvlJc w:val="left"/>
      <w:lvlText w:val="☑"/>
      <w:numFmt w:val="bullet"/>
      <w:start w:val="1"/>
    </w:lvl>
  </w:abstractNum>
  <w:abstractNum w:abstractNumId="363">
    <w:nsid w:val="D3715DE"/>
    <w:multiLevelType w:val="hybridMultilevel"/>
    <w:lvl w:ilvl="0">
      <w:lvlJc w:val="left"/>
      <w:lvlText w:val="☐"/>
      <w:numFmt w:val="bullet"/>
      <w:start w:val="1"/>
    </w:lvl>
  </w:abstractNum>
  <w:abstractNum w:abstractNumId="364">
    <w:nsid w:val="73509257"/>
    <w:multiLevelType w:val="hybridMultilevel"/>
    <w:lvl w:ilvl="0">
      <w:lvlJc w:val="left"/>
      <w:lvlText w:val="%1."/>
      <w:numFmt w:val="decimal"/>
      <w:start w:val="2"/>
    </w:lvl>
  </w:abstractNum>
  <w:abstractNum w:abstractNumId="365">
    <w:nsid w:val="7013CDB7"/>
    <w:multiLevelType w:val="hybridMultilevel"/>
    <w:lvl w:ilvl="0">
      <w:lvlJc w:val="left"/>
      <w:lvlText w:val="%1."/>
      <w:numFmt w:val="decimal"/>
      <w:start w:val="1"/>
    </w:lvl>
  </w:abstractNum>
  <w:abstractNum w:abstractNumId="366">
    <w:nsid w:val="188BFB19"/>
    <w:multiLevelType w:val="hybridMultilevel"/>
    <w:lvl w:ilvl="0">
      <w:lvlJc w:val="left"/>
      <w:lvlText w:val="%1."/>
      <w:numFmt w:val="decimal"/>
      <w:start w:val="2"/>
    </w:lvl>
  </w:abstractNum>
  <w:abstractNum w:abstractNumId="367">
    <w:nsid w:val="75F096DF"/>
    <w:multiLevelType w:val="hybridMultilevel"/>
    <w:lvl w:ilvl="0">
      <w:lvlJc w:val="left"/>
      <w:lvlText w:val="%1."/>
      <w:numFmt w:val="decimal"/>
      <w:start w:val="4"/>
    </w:lvl>
  </w:abstractNum>
  <w:abstractNum w:abstractNumId="368">
    <w:nsid w:val="76DEE918"/>
    <w:multiLevelType w:val="hybridMultilevel"/>
    <w:lvl w:ilvl="0">
      <w:lvlJc w:val="left"/>
      <w:lvlText w:val="%1."/>
      <w:numFmt w:val="decimal"/>
      <w:start w:val="1"/>
    </w:lvl>
  </w:abstractNum>
  <w:abstractNum w:abstractNumId="369">
    <w:nsid w:val="B79D08D"/>
    <w:multiLevelType w:val="hybridMultilevel"/>
    <w:lvl w:ilvl="0">
      <w:lvlJc w:val="left"/>
      <w:lvlText w:val="%1."/>
      <w:numFmt w:val="decimal"/>
      <w:start w:val="1"/>
    </w:lvl>
  </w:abstractNum>
  <w:abstractNum w:abstractNumId="370">
    <w:nsid w:val="69141769"/>
    <w:multiLevelType w:val="hybridMultilevel"/>
    <w:lvl w:ilvl="0">
      <w:lvlJc w:val="left"/>
      <w:lvlText w:val="%1."/>
      <w:numFmt w:val="decimal"/>
      <w:start w:val="2"/>
    </w:lvl>
    <w:lvl w:ilvl="1">
      <w:lvlJc w:val="left"/>
      <w:lvlText w:val="%2."/>
      <w:numFmt w:val="decimal"/>
      <w:start w:val="3"/>
    </w:lvl>
  </w:abstractNum>
  <w:abstractNum w:abstractNumId="371">
    <w:nsid w:val="7BF45B8E"/>
    <w:multiLevelType w:val="hybridMultilevel"/>
    <w:lvl w:ilvl="0">
      <w:lvlJc w:val="left"/>
      <w:lvlText w:val="%1."/>
      <w:numFmt w:val="decimal"/>
      <w:start w:val="4"/>
    </w:lvl>
  </w:abstractNum>
  <w:abstractNum w:abstractNumId="372">
    <w:nsid w:val="41205269"/>
    <w:multiLevelType w:val="hybridMultilevel"/>
    <w:lvl w:ilvl="0">
      <w:lvlJc w:val="left"/>
      <w:lvlText w:val="%1."/>
      <w:numFmt w:val="decimal"/>
      <w:start w:val="5"/>
    </w:lvl>
  </w:abstractNum>
  <w:abstractNum w:abstractNumId="373">
    <w:nsid w:val="9AE0DD"/>
    <w:multiLevelType w:val="hybridMultilevel"/>
    <w:lvl w:ilvl="0">
      <w:lvlJc w:val="left"/>
      <w:lvlText w:val="%1."/>
      <w:numFmt w:val="decimal"/>
      <w:start w:val="1"/>
    </w:lvl>
  </w:abstractNum>
  <w:abstractNum w:abstractNumId="374">
    <w:nsid w:val="1818832F"/>
    <w:multiLevelType w:val="hybridMultilevel"/>
    <w:lvl w:ilvl="0">
      <w:lvlJc w:val="left"/>
      <w:lvlText w:val="%1."/>
      <w:numFmt w:val="decimal"/>
      <w:start w:val="1"/>
    </w:lvl>
  </w:abstractNum>
  <w:abstractNum w:abstractNumId="375">
    <w:nsid w:val="24C29FD1"/>
    <w:multiLevelType w:val="hybridMultilevel"/>
    <w:lvl w:ilvl="0">
      <w:lvlJc w:val="left"/>
      <w:lvlText w:val="%1."/>
      <w:numFmt w:val="decimal"/>
      <w:start w:val="9"/>
    </w:lvl>
  </w:abstractNum>
  <w:abstractNum w:abstractNumId="376">
    <w:nsid w:val="50528108"/>
    <w:multiLevelType w:val="hybridMultilevel"/>
    <w:lvl w:ilvl="0">
      <w:lvlJc w:val="left"/>
      <w:lvlText w:val="☐"/>
      <w:numFmt w:val="bullet"/>
      <w:start w:val="1"/>
    </w:lvl>
  </w:abstractNum>
  <w:abstractNum w:abstractNumId="377">
    <w:nsid w:val="21857A57"/>
    <w:multiLevelType w:val="hybridMultilevel"/>
    <w:lvl w:ilvl="0">
      <w:lvlJc w:val="left"/>
      <w:lvlText w:val="☐"/>
      <w:numFmt w:val="bullet"/>
      <w:start w:val="1"/>
    </w:lvl>
  </w:abstractNum>
  <w:abstractNum w:abstractNumId="378">
    <w:nsid w:val="5FD4B154"/>
    <w:multiLevelType w:val="hybridMultilevel"/>
    <w:lvl w:ilvl="0">
      <w:lvlJc w:val="left"/>
      <w:lvlText w:val="☐"/>
      <w:numFmt w:val="bullet"/>
      <w:start w:val="1"/>
    </w:lvl>
  </w:abstractNum>
  <w:abstractNum w:abstractNumId="379">
    <w:nsid w:val="4ABE597"/>
    <w:multiLevelType w:val="hybridMultilevel"/>
    <w:lvl w:ilvl="0">
      <w:lvlJc w:val="left"/>
      <w:lvlText w:val="☐"/>
      <w:numFmt w:val="bullet"/>
      <w:start w:val="1"/>
    </w:lvl>
  </w:abstractNum>
  <w:abstractNum w:abstractNumId="380">
    <w:nsid w:val="5C64AD75"/>
    <w:multiLevelType w:val="hybridMultilevel"/>
    <w:lvl w:ilvl="0">
      <w:lvlJc w:val="left"/>
      <w:lvlText w:val="☑"/>
      <w:numFmt w:val="bullet"/>
      <w:start w:val="1"/>
    </w:lvl>
  </w:abstractNum>
  <w:abstractNum w:abstractNumId="381">
    <w:nsid w:val="2CDD5B39"/>
    <w:multiLevelType w:val="hybridMultilevel"/>
    <w:lvl w:ilvl="0">
      <w:lvlJc w:val="left"/>
      <w:lvlText w:val="☐"/>
      <w:numFmt w:val="bullet"/>
      <w:start w:val="1"/>
    </w:lvl>
  </w:abstractNum>
  <w:abstractNum w:abstractNumId="382">
    <w:nsid w:val="6F9EA0D1"/>
    <w:multiLevelType w:val="hybridMultilevel"/>
    <w:lvl w:ilvl="0">
      <w:lvlJc w:val="left"/>
      <w:lvlText w:val="☑"/>
      <w:numFmt w:val="bullet"/>
      <w:start w:val="1"/>
    </w:lvl>
  </w:abstractNum>
  <w:abstractNum w:abstractNumId="383">
    <w:nsid w:val="247FC4AE"/>
    <w:multiLevelType w:val="hybridMultilevel"/>
    <w:lvl w:ilvl="0">
      <w:lvlJc w:val="left"/>
      <w:lvlText w:val="☑"/>
      <w:numFmt w:val="bullet"/>
      <w:start w:val="1"/>
    </w:lvl>
  </w:abstractNum>
  <w:abstractNum w:abstractNumId="384">
    <w:nsid w:val="46C01B05"/>
    <w:multiLevelType w:val="hybridMultilevel"/>
    <w:lvl w:ilvl="0">
      <w:lvlJc w:val="left"/>
      <w:lvlText w:val="☐"/>
      <w:numFmt w:val="bullet"/>
      <w:start w:val="1"/>
    </w:lvl>
  </w:abstractNum>
  <w:abstractNum w:abstractNumId="385">
    <w:nsid w:val="566EC29B"/>
    <w:multiLevelType w:val="hybridMultilevel"/>
    <w:lvl w:ilvl="0">
      <w:lvlJc w:val="left"/>
      <w:lvlText w:val="%1."/>
      <w:numFmt w:val="decimal"/>
      <w:start w:val="2"/>
    </w:lvl>
  </w:abstractNum>
  <w:abstractNum w:abstractNumId="386">
    <w:nsid w:val="7A963843"/>
    <w:multiLevelType w:val="hybridMultilevel"/>
    <w:lvl w:ilvl="0">
      <w:lvlJc w:val="left"/>
      <w:lvlText w:val="%1."/>
      <w:numFmt w:val="decimal"/>
      <w:start w:val="1"/>
    </w:lvl>
  </w:abstractNum>
  <w:abstractNum w:abstractNumId="387">
    <w:nsid w:val="4FE12F61"/>
    <w:multiLevelType w:val="hybridMultilevel"/>
    <w:lvl w:ilvl="0">
      <w:lvlJc w:val="left"/>
      <w:lvlText w:val="%1."/>
      <w:numFmt w:val="decimal"/>
      <w:start w:val="2"/>
    </w:lvl>
  </w:abstractNum>
  <w:abstractNum w:abstractNumId="388">
    <w:nsid w:val="51A3A284"/>
    <w:multiLevelType w:val="hybridMultilevel"/>
    <w:lvl w:ilvl="0">
      <w:lvlJc w:val="left"/>
      <w:lvlText w:val="%1."/>
      <w:numFmt w:val="decimal"/>
      <w:start w:val="4"/>
    </w:lvl>
  </w:abstractNum>
  <w:abstractNum w:abstractNumId="389">
    <w:nsid w:val="376863BC"/>
    <w:multiLevelType w:val="hybridMultilevel"/>
    <w:lvl w:ilvl="0">
      <w:lvlJc w:val="left"/>
      <w:lvlText w:val="%1."/>
      <w:numFmt w:val="decimal"/>
      <w:start w:val="1"/>
    </w:lvl>
  </w:abstractNum>
  <w:abstractNum w:abstractNumId="390">
    <w:nsid w:val="118C6C0"/>
    <w:multiLevelType w:val="hybridMultilevel"/>
    <w:lvl w:ilvl="0">
      <w:lvlJc w:val="left"/>
      <w:lvlText w:val="%1."/>
      <w:numFmt w:val="decimal"/>
      <w:start w:val="1"/>
    </w:lvl>
  </w:abstractNum>
  <w:abstractNum w:abstractNumId="391">
    <w:nsid w:val="7F7E4A15"/>
    <w:multiLevelType w:val="hybridMultilevel"/>
    <w:lvl w:ilvl="0">
      <w:lvlJc w:val="left"/>
      <w:lvlText w:val="%1."/>
      <w:numFmt w:val="decimal"/>
      <w:start w:val="2"/>
    </w:lvl>
    <w:lvl w:ilvl="1">
      <w:lvlJc w:val="left"/>
      <w:lvlText w:val="%2."/>
      <w:numFmt w:val="decimal"/>
      <w:start w:val="3"/>
    </w:lvl>
  </w:abstractNum>
  <w:abstractNum w:abstractNumId="392">
    <w:nsid w:val="2E8E9F47"/>
    <w:multiLevelType w:val="hybridMultilevel"/>
    <w:lvl w:ilvl="0">
      <w:lvlJc w:val="left"/>
      <w:lvlText w:val="%1."/>
      <w:numFmt w:val="decimal"/>
      <w:start w:val="4"/>
    </w:lvl>
  </w:abstractNum>
  <w:abstractNum w:abstractNumId="393">
    <w:nsid w:val="76742596"/>
    <w:multiLevelType w:val="hybridMultilevel"/>
    <w:lvl w:ilvl="0">
      <w:lvlJc w:val="left"/>
      <w:lvlText w:val="%1."/>
      <w:numFmt w:val="decimal"/>
      <w:start w:val="5"/>
    </w:lvl>
  </w:abstractNum>
  <w:abstractNum w:abstractNumId="394">
    <w:nsid w:val="CB55FF3"/>
    <w:multiLevelType w:val="hybridMultilevel"/>
    <w:lvl w:ilvl="0">
      <w:lvlJc w:val="left"/>
      <w:lvlText w:val="%1."/>
      <w:numFmt w:val="decimal"/>
      <w:start w:val="1"/>
    </w:lvl>
  </w:abstractNum>
  <w:abstractNum w:abstractNumId="395">
    <w:nsid w:val="21DF319E"/>
    <w:multiLevelType w:val="hybridMultilevel"/>
    <w:lvl w:ilvl="0">
      <w:lvlJc w:val="left"/>
      <w:lvlText w:val="%1."/>
      <w:numFmt w:val="decimal"/>
      <w:start w:val="1"/>
    </w:lvl>
  </w:abstractNum>
  <w:abstractNum w:abstractNumId="396">
    <w:nsid w:val="6687F34D"/>
    <w:multiLevelType w:val="hybridMultilevel"/>
    <w:lvl w:ilvl="0">
      <w:lvlJc w:val="left"/>
      <w:lvlText w:val="(%1)"/>
      <w:numFmt w:val="decimal"/>
      <w:start w:val="1"/>
    </w:lvl>
  </w:abstractNum>
  <w:abstractNum w:abstractNumId="397">
    <w:nsid w:val="25415B0C"/>
    <w:multiLevelType w:val="hybridMultilevel"/>
    <w:lvl w:ilvl="0">
      <w:lvlJc w:val="left"/>
      <w:lvlText w:val="▲▲"/>
      <w:numFmt w:val="bullet"/>
      <w:start w:val="1"/>
    </w:lvl>
  </w:abstractNum>
  <w:abstractNum w:abstractNumId="398">
    <w:nsid w:val="17CFC87D"/>
    <w:multiLevelType w:val="hybridMultilevel"/>
    <w:lvl w:ilvl="0">
      <w:lvlJc w:val="left"/>
      <w:lvlText w:val="(%1)"/>
      <w:numFmt w:val="decimal"/>
      <w:start w:val="1"/>
    </w:lvl>
  </w:abstractNum>
  <w:abstractNum w:abstractNumId="399">
    <w:nsid w:val="5D66DC65"/>
    <w:multiLevelType w:val="hybridMultilevel"/>
    <w:lvl w:ilvl="0">
      <w:lvlJc w:val="left"/>
      <w:lvlText w:val="▲▲"/>
      <w:numFmt w:val="bullet"/>
      <w:start w:val="1"/>
    </w:lvl>
  </w:abstractNum>
  <w:abstractNum w:abstractNumId="400">
    <w:nsid w:val="30BB2B99"/>
    <w:multiLevelType w:val="hybridMultilevel"/>
    <w:lvl w:ilvl="0">
      <w:lvlJc w:val="left"/>
      <w:lvlText w:val="(%1)"/>
      <w:numFmt w:val="decimal"/>
      <w:start w:val="1"/>
    </w:lvl>
  </w:abstractNum>
  <w:abstractNum w:abstractNumId="401">
    <w:nsid w:val="E3DFE6"/>
    <w:multiLevelType w:val="hybridMultilevel"/>
    <w:lvl w:ilvl="0">
      <w:lvlJc w:val="left"/>
      <w:lvlText w:val="▲"/>
      <w:numFmt w:val="bullet"/>
      <w:start w:val="1"/>
    </w:lvl>
  </w:abstractNum>
  <w:abstractNum w:abstractNumId="402">
    <w:nsid w:val="595B37F3"/>
    <w:multiLevelType w:val="hybridMultilevel"/>
    <w:lvl w:ilvl="0">
      <w:lvlJc w:val="left"/>
      <w:lvlText w:val="▲▲"/>
      <w:numFmt w:val="bullet"/>
      <w:start w:val="1"/>
    </w:lvl>
  </w:abstractNum>
  <w:abstractNum w:abstractNumId="403">
    <w:nsid w:val="71DB7E02"/>
    <w:multiLevelType w:val="hybridMultilevel"/>
    <w:lvl w:ilvl="0">
      <w:lvlJc w:val="left"/>
      <w:lvlText w:val="▲"/>
      <w:numFmt w:val="bullet"/>
      <w:start w:val="1"/>
    </w:lvl>
  </w:abstractNum>
  <w:abstractNum w:abstractNumId="404">
    <w:nsid w:val="17EC0C4"/>
    <w:multiLevelType w:val="hybridMultilevel"/>
    <w:lvl w:ilvl="0">
      <w:lvlJc w:val="left"/>
      <w:lvlText w:val="(%1)"/>
      <w:numFmt w:val="decimal"/>
      <w:start w:val="1"/>
    </w:lvl>
  </w:abstractNum>
  <w:abstractNum w:abstractNumId="405">
    <w:nsid w:val="7173BB22"/>
    <w:multiLevelType w:val="hybridMultilevel"/>
    <w:lvl w:ilvl="0">
      <w:lvlJc w:val="left"/>
      <w:lvlText w:val="(%1)"/>
      <w:numFmt w:val="decimal"/>
      <w:start w:val="1"/>
    </w:lvl>
  </w:abstractNum>
  <w:abstractNum w:abstractNumId="406">
    <w:nsid w:val="169E1DD3"/>
    <w:multiLevelType w:val="hybridMultilevel"/>
    <w:lvl w:ilvl="0">
      <w:lvlJc w:val="left"/>
      <w:lvlText w:val="(%1)"/>
      <w:numFmt w:val="decimal"/>
      <w:start w:val="2"/>
    </w:lvl>
    <w:lvl w:ilvl="1">
      <w:lvlJc w:val="left"/>
      <w:lvlText w:val="(%2)"/>
      <w:numFmt w:val="decimal"/>
      <w:start w:val="18"/>
    </w:lvl>
  </w:abstractNum>
  <w:abstractNum w:abstractNumId="407">
    <w:nsid w:val="51D141CC"/>
    <w:multiLevelType w:val="hybridMultilevel"/>
    <w:lvl w:ilvl="0">
      <w:lvlJc w:val="left"/>
      <w:lvlText w:val="(%1)"/>
      <w:numFmt w:val="decimal"/>
      <w:start w:val="19"/>
    </w:lvl>
  </w:abstractNum>
  <w:abstractNum w:abstractNumId="408">
    <w:nsid w:val="12F9357A"/>
    <w:multiLevelType w:val="hybridMultilevel"/>
    <w:lvl w:ilvl="0">
      <w:lvlJc w:val="left"/>
      <w:lvlText w:val="①"/>
      <w:numFmt w:val="bullet"/>
      <w:start w:val="1"/>
    </w:lvl>
  </w:abstractNum>
  <w:abstractNum w:abstractNumId="409">
    <w:nsid w:val="7672CF28"/>
    <w:multiLevelType w:val="hybridMultilevel"/>
    <w:lvl w:ilvl="0">
      <w:lvlJc w:val="left"/>
      <w:lvlText w:val="②"/>
      <w:numFmt w:val="bullet"/>
      <w:start w:val="1"/>
    </w:lvl>
  </w:abstractNum>
  <w:abstractNum w:abstractNumId="410">
    <w:nsid w:val="567D2763"/>
    <w:multiLevelType w:val="hybridMultilevel"/>
    <w:lvl w:ilvl="0">
      <w:lvlJc w:val="left"/>
      <w:lvlText w:val="③"/>
      <w:numFmt w:val="bullet"/>
      <w:start w:val="1"/>
    </w:lvl>
  </w:abstractNum>
  <w:abstractNum w:abstractNumId="411">
    <w:nsid w:val="6F5DE2EF"/>
    <w:multiLevelType w:val="hybridMultilevel"/>
    <w:lvl w:ilvl="0">
      <w:lvlJc w:val="left"/>
      <w:lvlText w:val="④"/>
      <w:numFmt w:val="bullet"/>
      <w:start w:val="1"/>
    </w:lvl>
  </w:abstractNum>
  <w:abstractNum w:abstractNumId="412">
    <w:nsid w:val="23502A61"/>
    <w:multiLevelType w:val="hybridMultilevel"/>
    <w:lvl w:ilvl="0">
      <w:lvlJc w:val="left"/>
      <w:lvlText w:val="⑤"/>
      <w:numFmt w:val="bullet"/>
      <w:start w:val="1"/>
    </w:lvl>
  </w:abstractNum>
  <w:abstractNum w:abstractNumId="413">
    <w:nsid w:val="461BC834"/>
    <w:multiLevelType w:val="hybridMultilevel"/>
    <w:lvl w:ilvl="0">
      <w:lvlJc w:val="left"/>
      <w:lvlText w:val="⑥"/>
      <w:numFmt w:val="bullet"/>
      <w:start w:val="1"/>
    </w:lvl>
  </w:abstractNum>
  <w:abstractNum w:abstractNumId="414">
    <w:nsid w:val="13DDA79D"/>
    <w:multiLevelType w:val="hybridMultilevel"/>
    <w:lvl w:ilvl="0">
      <w:lvlJc w:val="left"/>
      <w:lvlText w:val="⑦"/>
      <w:numFmt w:val="bullet"/>
      <w:start w:val="1"/>
    </w:lvl>
  </w:abstractNum>
  <w:abstractNum w:abstractNumId="415">
    <w:nsid w:val="6A104566"/>
    <w:multiLevelType w:val="hybridMultilevel"/>
    <w:lvl w:ilvl="0">
      <w:lvlJc w:val="left"/>
      <w:lvlText w:val="⑧"/>
      <w:numFmt w:val="bullet"/>
      <w:start w:val="1"/>
    </w:lvl>
  </w:abstractNum>
  <w:abstractNum w:abstractNumId="416">
    <w:nsid w:val="1C8A8ACF"/>
    <w:multiLevelType w:val="hybridMultilevel"/>
    <w:lvl w:ilvl="0">
      <w:lvlJc w:val="left"/>
      <w:lvlText w:val="(%1)"/>
      <w:numFmt w:val="decimal"/>
      <w:start w:val="1"/>
    </w:lvl>
  </w:abstractNum>
  <w:abstractNum w:abstractNumId="417">
    <w:nsid w:val="E73DFE0"/>
    <w:multiLevelType w:val="hybridMultilevel"/>
    <w:lvl w:ilvl="0">
      <w:lvlJc w:val="left"/>
      <w:lvlText w:val="(%1)"/>
      <w:numFmt w:val="decimal"/>
      <w:start w:val="1"/>
    </w:lvl>
  </w:abstractNum>
  <w:abstractNum w:abstractNumId="418">
    <w:nsid w:val="39F174C7"/>
    <w:multiLevelType w:val="hybridMultilevel"/>
    <w:lvl w:ilvl="0">
      <w:lvlJc w:val="left"/>
      <w:lvlText w:val="①"/>
      <w:numFmt w:val="bullet"/>
      <w:start w:val="1"/>
    </w:lvl>
  </w:abstractNum>
  <w:abstractNum w:abstractNumId="419">
    <w:nsid w:val="6E2E2D53"/>
    <w:multiLevelType w:val="hybridMultilevel"/>
    <w:lvl w:ilvl="0">
      <w:lvlJc w:val="left"/>
      <w:lvlText w:val="②"/>
      <w:numFmt w:val="bullet"/>
      <w:start w:val="1"/>
    </w:lvl>
  </w:abstractNum>
  <w:abstractNum w:abstractNumId="420">
    <w:nsid w:val="45DC439D"/>
    <w:multiLevelType w:val="hybridMultilevel"/>
    <w:lvl w:ilvl="0">
      <w:lvlJc w:val="left"/>
      <w:lvlText w:val="③"/>
      <w:numFmt w:val="bullet"/>
      <w:start w:val="1"/>
    </w:lvl>
  </w:abstractNum>
  <w:abstractNum w:abstractNumId="421">
    <w:nsid w:val="3B0A3B87"/>
    <w:multiLevelType w:val="hybridMultilevel"/>
    <w:lvl w:ilvl="0">
      <w:lvlJc w:val="left"/>
      <w:lvlText w:val="(%1)"/>
      <w:numFmt w:val="decimal"/>
      <w:start w:val="2"/>
    </w:lvl>
  </w:abstractNum>
  <w:abstractNum w:abstractNumId="422">
    <w:nsid w:val="6DAC7768"/>
    <w:multiLevelType w:val="hybridMultilevel"/>
    <w:lvl w:ilvl="0">
      <w:lvlJc w:val="left"/>
      <w:lvlText w:val="(%1)"/>
      <w:numFmt w:val="decimal"/>
      <w:start w:val="1"/>
    </w:lvl>
  </w:abstractNum>
  <w:abstractNum w:abstractNumId="423">
    <w:nsid w:val="746AE2E4"/>
    <w:multiLevelType w:val="hybridMultilevel"/>
    <w:lvl w:ilvl="0">
      <w:lvlJc w:val="left"/>
      <w:lvlText w:val="(%1)"/>
      <w:numFmt w:val="decimal"/>
      <w:start w:val="4"/>
    </w:lvl>
  </w:abstractNum>
  <w:abstractNum w:abstractNumId="424">
    <w:nsid w:val="317E611D"/>
    <w:multiLevelType w:val="hybridMultilevel"/>
    <w:lvl w:ilvl="0">
      <w:lvlJc w:val="left"/>
      <w:lvlText w:val="(%1)"/>
      <w:numFmt w:val="decimal"/>
      <w:start w:val="1"/>
    </w:lvl>
  </w:abstractNum>
  <w:abstractNum w:abstractNumId="425">
    <w:nsid w:val="7A61D75B"/>
    <w:multiLevelType w:val="hybridMultilevel"/>
    <w:lvl w:ilvl="0">
      <w:lvlJc w:val="left"/>
      <w:lvlText w:val="(%1)"/>
      <w:numFmt w:val="decimal"/>
      <w:start w:val="2"/>
    </w:lvl>
  </w:abstractNum>
  <w:abstractNum w:abstractNumId="426">
    <w:nsid w:val="164A1482"/>
    <w:multiLevelType w:val="hybridMultilevel"/>
    <w:lvl w:ilvl="0">
      <w:lvlJc w:val="left"/>
      <w:lvlText w:val="(%1)"/>
      <w:numFmt w:val="decimal"/>
      <w:start w:val="1"/>
    </w:lvl>
  </w:abstractNum>
  <w:abstractNum w:abstractNumId="427">
    <w:nsid w:val="1806546B"/>
    <w:multiLevelType w:val="hybridMultilevel"/>
    <w:lvl w:ilvl="0">
      <w:lvlJc w:val="left"/>
      <w:lvlText w:val="▲▲"/>
      <w:numFmt w:val="bullet"/>
      <w:start w:val="1"/>
    </w:lvl>
  </w:abstractNum>
  <w:abstractNum w:abstractNumId="428">
    <w:nsid w:val="1FA33267"/>
    <w:multiLevelType w:val="hybridMultilevel"/>
    <w:lvl w:ilvl="0">
      <w:lvlJc w:val="left"/>
      <w:lvlText w:val="(%1)"/>
      <w:numFmt w:val="decimal"/>
      <w:start w:val="1"/>
    </w:lvl>
  </w:abstractNum>
  <w:abstractNum w:abstractNumId="429">
    <w:nsid w:val="2E19DD00"/>
    <w:multiLevelType w:val="hybridMultilevel"/>
    <w:lvl w:ilvl="0">
      <w:lvlJc w:val="left"/>
      <w:lvlText w:val="▲▲"/>
      <w:numFmt w:val="bullet"/>
      <w:start w:val="1"/>
    </w:lvl>
  </w:abstractNum>
  <w:abstractNum w:abstractNumId="430">
    <w:nsid w:val="756D30D0"/>
    <w:multiLevelType w:val="hybridMultilevel"/>
    <w:lvl w:ilvl="0">
      <w:lvlJc w:val="left"/>
      <w:lvlText w:val="(%1)"/>
      <w:numFmt w:val="decimal"/>
      <w:start w:val="1"/>
    </w:lvl>
  </w:abstractNum>
  <w:abstractNum w:abstractNumId="431">
    <w:nsid w:val="505E5E01"/>
    <w:multiLevelType w:val="hybridMultilevel"/>
    <w:lvl w:ilvl="0">
      <w:lvlJc w:val="left"/>
      <w:lvlText w:val="▲"/>
      <w:numFmt w:val="bullet"/>
      <w:start w:val="1"/>
    </w:lvl>
  </w:abstractNum>
  <w:abstractNum w:abstractNumId="432">
    <w:nsid w:val="2EFDBCE6"/>
    <w:multiLevelType w:val="hybridMultilevel"/>
    <w:lvl w:ilvl="0">
      <w:lvlJc w:val="left"/>
      <w:lvlText w:val="▲▲"/>
      <w:numFmt w:val="bullet"/>
      <w:start w:val="1"/>
    </w:lvl>
  </w:abstractNum>
  <w:abstractNum w:abstractNumId="433">
    <w:nsid w:val="4EC868C4"/>
    <w:multiLevelType w:val="hybridMultilevel"/>
    <w:lvl w:ilvl="0">
      <w:lvlJc w:val="left"/>
      <w:lvlText w:val="▲"/>
      <w:numFmt w:val="bullet"/>
      <w:start w:val="1"/>
    </w:lvl>
  </w:abstractNum>
  <w:abstractNum w:abstractNumId="434">
    <w:nsid w:val="4239DC03"/>
    <w:multiLevelType w:val="hybridMultilevel"/>
    <w:lvl w:ilvl="0">
      <w:lvlJc w:val="left"/>
      <w:lvlText w:val="(%1)"/>
      <w:numFmt w:val="decimal"/>
      <w:start w:val="1"/>
    </w:lvl>
  </w:abstractNum>
  <w:abstractNum w:abstractNumId="435">
    <w:nsid w:val="307C7DAA"/>
    <w:multiLevelType w:val="hybridMultilevel"/>
    <w:lvl w:ilvl="0">
      <w:lvlJc w:val="left"/>
      <w:lvlText w:val="(%1)"/>
      <w:numFmt w:val="decimal"/>
      <w:start w:val="1"/>
    </w:lvl>
    <w:lvl w:ilvl="1">
      <w:lvlJc w:val="left"/>
      <w:lvlText w:val="(%2)"/>
      <w:numFmt w:val="decimal"/>
      <w:start w:val="18"/>
    </w:lvl>
  </w:abstractNum>
  <w:abstractNum w:abstractNumId="436">
    <w:nsid w:val="403C23E6"/>
    <w:multiLevelType w:val="hybridMultilevel"/>
    <w:lvl w:ilvl="0">
      <w:lvlJc w:val="left"/>
      <w:lvlText w:val="(%1)"/>
      <w:numFmt w:val="decimal"/>
      <w:start w:val="19"/>
    </w:lvl>
  </w:abstractNum>
  <w:abstractNum w:abstractNumId="437">
    <w:nsid w:val="58D7F9D7"/>
    <w:multiLevelType w:val="hybridMultilevel"/>
    <w:lvl w:ilvl="0">
      <w:lvlJc w:val="left"/>
      <w:lvlText w:val="①"/>
      <w:numFmt w:val="bullet"/>
      <w:start w:val="1"/>
    </w:lvl>
  </w:abstractNum>
  <w:abstractNum w:abstractNumId="438">
    <w:nsid w:val="24DBF76"/>
    <w:multiLevelType w:val="hybridMultilevel"/>
    <w:lvl w:ilvl="0">
      <w:lvlJc w:val="left"/>
      <w:lvlText w:val="②"/>
      <w:numFmt w:val="bullet"/>
      <w:start w:val="1"/>
    </w:lvl>
  </w:abstractNum>
  <w:abstractNum w:abstractNumId="439">
    <w:nsid w:val="53355960"/>
    <w:multiLevelType w:val="hybridMultilevel"/>
    <w:lvl w:ilvl="0">
      <w:lvlJc w:val="left"/>
      <w:lvlText w:val="③"/>
      <w:numFmt w:val="bullet"/>
      <w:start w:val="1"/>
    </w:lvl>
  </w:abstractNum>
  <w:abstractNum w:abstractNumId="440">
    <w:nsid w:val="4F4AC8FF"/>
    <w:multiLevelType w:val="hybridMultilevel"/>
    <w:lvl w:ilvl="0">
      <w:lvlJc w:val="left"/>
      <w:lvlText w:val="④"/>
      <w:numFmt w:val="bullet"/>
      <w:start w:val="1"/>
    </w:lvl>
  </w:abstractNum>
  <w:abstractNum w:abstractNumId="441">
    <w:nsid w:val="58CAE6D9"/>
    <w:multiLevelType w:val="hybridMultilevel"/>
    <w:lvl w:ilvl="0">
      <w:lvlJc w:val="left"/>
      <w:lvlText w:val="⑤"/>
      <w:numFmt w:val="bullet"/>
      <w:start w:val="1"/>
    </w:lvl>
  </w:abstractNum>
  <w:abstractNum w:abstractNumId="442">
    <w:nsid w:val="42933C4F"/>
    <w:multiLevelType w:val="hybridMultilevel"/>
    <w:lvl w:ilvl="0">
      <w:lvlJc w:val="left"/>
      <w:lvlText w:val="⑥"/>
      <w:numFmt w:val="bullet"/>
      <w:start w:val="1"/>
    </w:lvl>
  </w:abstractNum>
  <w:abstractNum w:abstractNumId="443">
    <w:nsid w:val="729AF360"/>
    <w:multiLevelType w:val="hybridMultilevel"/>
    <w:lvl w:ilvl="0">
      <w:lvlJc w:val="left"/>
      <w:lvlText w:val="⑦"/>
      <w:numFmt w:val="bullet"/>
      <w:start w:val="1"/>
    </w:lvl>
  </w:abstractNum>
  <w:abstractNum w:abstractNumId="444">
    <w:nsid w:val="1EE6AF0D"/>
    <w:multiLevelType w:val="hybridMultilevel"/>
    <w:lvl w:ilvl="0">
      <w:lvlJc w:val="left"/>
      <w:lvlText w:val="⑧"/>
      <w:numFmt w:val="bullet"/>
      <w:start w:val="1"/>
    </w:lvl>
  </w:abstractNum>
  <w:abstractNum w:abstractNumId="445">
    <w:nsid w:val="5670E3ED"/>
    <w:multiLevelType w:val="hybridMultilevel"/>
    <w:lvl w:ilvl="0">
      <w:lvlJc w:val="left"/>
      <w:lvlText w:val="(%1)"/>
      <w:numFmt w:val="decimal"/>
      <w:start w:val="1"/>
    </w:lvl>
  </w:abstractNum>
  <w:abstractNum w:abstractNumId="446">
    <w:nsid w:val="5CAB38C6"/>
    <w:multiLevelType w:val="hybridMultilevel"/>
    <w:lvl w:ilvl="0">
      <w:lvlJc w:val="left"/>
      <w:lvlText w:val="(%1)"/>
      <w:numFmt w:val="decimal"/>
      <w:start w:val="1"/>
    </w:lvl>
  </w:abstractNum>
  <w:abstractNum w:abstractNumId="447">
    <w:nsid w:val="3B7139DD"/>
    <w:multiLevelType w:val="hybridMultilevel"/>
    <w:lvl w:ilvl="0">
      <w:lvlJc w:val="left"/>
      <w:lvlText w:val="①"/>
      <w:numFmt w:val="bullet"/>
      <w:start w:val="1"/>
    </w:lvl>
  </w:abstractNum>
  <w:abstractNum w:abstractNumId="448">
    <w:nsid w:val="64E4C3CD"/>
    <w:multiLevelType w:val="hybridMultilevel"/>
    <w:lvl w:ilvl="0">
      <w:lvlJc w:val="left"/>
      <w:lvlText w:val="②"/>
      <w:numFmt w:val="bullet"/>
      <w:start w:val="1"/>
    </w:lvl>
  </w:abstractNum>
  <w:abstractNum w:abstractNumId="449">
    <w:nsid w:val="169CAD8D"/>
    <w:multiLevelType w:val="hybridMultilevel"/>
    <w:lvl w:ilvl="0">
      <w:lvlJc w:val="left"/>
      <w:lvlText w:val="③"/>
      <w:numFmt w:val="bullet"/>
      <w:start w:val="1"/>
    </w:lvl>
  </w:abstractNum>
  <w:abstractNum w:abstractNumId="450">
    <w:nsid w:val="299F6730"/>
    <w:multiLevelType w:val="hybridMultilevel"/>
    <w:lvl w:ilvl="0">
      <w:lvlJc w:val="left"/>
      <w:lvlText w:val="(%1)"/>
      <w:numFmt w:val="decimal"/>
      <w:start w:val="1"/>
    </w:lvl>
  </w:abstractNum>
  <w:abstractNum w:abstractNumId="451">
    <w:nsid w:val="2AC1076A"/>
    <w:multiLevelType w:val="hybridMultilevel"/>
    <w:lvl w:ilvl="0">
      <w:lvlJc w:val="left"/>
      <w:lvlText w:val="(%1)"/>
      <w:numFmt w:val="decimal"/>
      <w:start w:val="1"/>
    </w:lvl>
  </w:abstractNum>
  <w:abstractNum w:abstractNumId="452">
    <w:nsid w:val="51A6E915"/>
    <w:multiLevelType w:val="hybridMultilevel"/>
    <w:lvl w:ilvl="0">
      <w:lvlJc w:val="left"/>
      <w:lvlText w:val="(%1)"/>
      <w:numFmt w:val="decimal"/>
      <w:start w:val="1"/>
    </w:lvl>
  </w:abstractNum>
  <w:abstractNum w:abstractNumId="453">
    <w:nsid w:val="174BDE99"/>
    <w:multiLevelType w:val="hybridMultilevel"/>
    <w:lvl w:ilvl="0">
      <w:lvlJc w:val="left"/>
      <w:lvlText w:val="(%1)"/>
      <w:numFmt w:val="decimal"/>
      <w:start w:val="1"/>
    </w:lvl>
  </w:abstractNum>
  <w:abstractNum w:abstractNumId="454">
    <w:nsid w:val="1F2BEA4E"/>
    <w:multiLevelType w:val="hybridMultilevel"/>
    <w:lvl w:ilvl="0">
      <w:lvlJc w:val="left"/>
      <w:lvlText w:val="▲▲"/>
      <w:numFmt w:val="bullet"/>
      <w:start w:val="1"/>
    </w:lvl>
  </w:abstractNum>
  <w:abstractNum w:abstractNumId="455">
    <w:nsid w:val="3254A32"/>
    <w:multiLevelType w:val="hybridMultilevel"/>
    <w:lvl w:ilvl="0">
      <w:lvlJc w:val="left"/>
      <w:lvlText w:val="(%1)"/>
      <w:numFmt w:val="decimal"/>
      <w:start w:val="1"/>
    </w:lvl>
  </w:abstractNum>
  <w:abstractNum w:abstractNumId="456">
    <w:nsid w:val="11ADB5F4"/>
    <w:multiLevelType w:val="hybridMultilevel"/>
    <w:lvl w:ilvl="0">
      <w:lvlJc w:val="left"/>
      <w:lvlText w:val="▲▲"/>
      <w:numFmt w:val="bullet"/>
      <w:start w:val="1"/>
    </w:lvl>
  </w:abstractNum>
  <w:abstractNum w:abstractNumId="457">
    <w:nsid w:val="3575FED1"/>
    <w:multiLevelType w:val="hybridMultilevel"/>
    <w:lvl w:ilvl="0">
      <w:lvlJc w:val="left"/>
      <w:lvlText w:val="(%1)"/>
      <w:numFmt w:val="decimal"/>
      <w:start w:val="1"/>
    </w:lvl>
  </w:abstractNum>
  <w:abstractNum w:abstractNumId="458">
    <w:nsid w:val="1B2B9E9D"/>
    <w:multiLevelType w:val="hybridMultilevel"/>
    <w:lvl w:ilvl="0">
      <w:lvlJc w:val="left"/>
      <w:lvlText w:val="▲"/>
      <w:numFmt w:val="bullet"/>
      <w:start w:val="1"/>
    </w:lvl>
  </w:abstractNum>
  <w:abstractNum w:abstractNumId="459">
    <w:nsid w:val="3150E85C"/>
    <w:multiLevelType w:val="hybridMultilevel"/>
    <w:lvl w:ilvl="0">
      <w:lvlJc w:val="left"/>
      <w:lvlText w:val="▲▲"/>
      <w:numFmt w:val="bullet"/>
      <w:start w:val="1"/>
    </w:lvl>
  </w:abstractNum>
  <w:abstractNum w:abstractNumId="460">
    <w:nsid w:val="638FDBD1"/>
    <w:multiLevelType w:val="hybridMultilevel"/>
    <w:lvl w:ilvl="0">
      <w:lvlJc w:val="left"/>
      <w:lvlText w:val="▲"/>
      <w:numFmt w:val="bullet"/>
      <w:start w:val="1"/>
    </w:lvl>
  </w:abstractNum>
  <w:abstractNum w:abstractNumId="461">
    <w:nsid w:val="1098CF6E"/>
    <w:multiLevelType w:val="hybridMultilevel"/>
    <w:lvl w:ilvl="0">
      <w:lvlJc w:val="left"/>
      <w:lvlText w:val="(%1)"/>
      <w:numFmt w:val="decimal"/>
      <w:start w:val="1"/>
    </w:lvl>
  </w:abstractNum>
  <w:abstractNum w:abstractNumId="462">
    <w:nsid w:val="1AF465D"/>
    <w:multiLevelType w:val="hybridMultilevel"/>
    <w:lvl w:ilvl="0">
      <w:lvlJc w:val="left"/>
      <w:lvlText w:val="(%1)"/>
      <w:numFmt w:val="decimal"/>
      <w:start w:val="1"/>
    </w:lvl>
    <w:lvl w:ilvl="1">
      <w:lvlJc w:val="left"/>
      <w:lvlText w:val="(%2)"/>
      <w:numFmt w:val="decimal"/>
      <w:start w:val="18"/>
    </w:lvl>
  </w:abstractNum>
  <w:abstractNum w:abstractNumId="463">
    <w:nsid w:val="128D98B7"/>
    <w:multiLevelType w:val="hybridMultilevel"/>
    <w:lvl w:ilvl="0">
      <w:lvlJc w:val="left"/>
      <w:lvlText w:val="(%1)"/>
      <w:numFmt w:val="decimal"/>
      <w:start w:val="19"/>
    </w:lvl>
  </w:abstractNum>
  <w:abstractNum w:abstractNumId="464">
    <w:nsid w:val="5F613832"/>
    <w:multiLevelType w:val="hybridMultilevel"/>
    <w:lvl w:ilvl="0">
      <w:lvlJc w:val="left"/>
      <w:lvlText w:val="①"/>
      <w:numFmt w:val="bullet"/>
      <w:start w:val="1"/>
    </w:lvl>
  </w:abstractNum>
  <w:abstractNum w:abstractNumId="465">
    <w:nsid w:val="43E92260"/>
    <w:multiLevelType w:val="hybridMultilevel"/>
    <w:lvl w:ilvl="0">
      <w:lvlJc w:val="left"/>
      <w:lvlText w:val="②"/>
      <w:numFmt w:val="bullet"/>
      <w:start w:val="1"/>
    </w:lvl>
  </w:abstractNum>
  <w:abstractNum w:abstractNumId="466">
    <w:nsid w:val="430A1662"/>
    <w:multiLevelType w:val="hybridMultilevel"/>
    <w:lvl w:ilvl="0">
      <w:lvlJc w:val="left"/>
      <w:lvlText w:val="③"/>
      <w:numFmt w:val="bullet"/>
      <w:start w:val="1"/>
    </w:lvl>
  </w:abstractNum>
  <w:abstractNum w:abstractNumId="467">
    <w:nsid w:val="1F9D5C18"/>
    <w:multiLevelType w:val="hybridMultilevel"/>
    <w:lvl w:ilvl="0">
      <w:lvlJc w:val="left"/>
      <w:lvlText w:val="④"/>
      <w:numFmt w:val="bullet"/>
      <w:start w:val="1"/>
    </w:lvl>
  </w:abstractNum>
  <w:abstractNum w:abstractNumId="468">
    <w:nsid w:val="1CC11C37"/>
    <w:multiLevelType w:val="hybridMultilevel"/>
    <w:lvl w:ilvl="0">
      <w:lvlJc w:val="left"/>
      <w:lvlText w:val="⑤"/>
      <w:numFmt w:val="bullet"/>
      <w:start w:val="1"/>
    </w:lvl>
  </w:abstractNum>
  <w:abstractNum w:abstractNumId="469">
    <w:nsid w:val="4557D5D8"/>
    <w:multiLevelType w:val="hybridMultilevel"/>
    <w:lvl w:ilvl="0">
      <w:lvlJc w:val="left"/>
      <w:lvlText w:val="⑥"/>
      <w:numFmt w:val="bullet"/>
      <w:start w:val="1"/>
    </w:lvl>
  </w:abstractNum>
  <w:abstractNum w:abstractNumId="470">
    <w:nsid w:val="72D2B579"/>
    <w:multiLevelType w:val="hybridMultilevel"/>
    <w:lvl w:ilvl="0">
      <w:lvlJc w:val="left"/>
      <w:lvlText w:val="⑦"/>
      <w:numFmt w:val="bullet"/>
      <w:start w:val="1"/>
    </w:lvl>
  </w:abstractNum>
  <w:abstractNum w:abstractNumId="471">
    <w:nsid w:val="6C0BE536"/>
    <w:multiLevelType w:val="hybridMultilevel"/>
    <w:lvl w:ilvl="0">
      <w:lvlJc w:val="left"/>
      <w:lvlText w:val="⑧"/>
      <w:numFmt w:val="bullet"/>
      <w:start w:val="1"/>
    </w:lvl>
  </w:abstractNum>
  <w:abstractNum w:abstractNumId="472">
    <w:nsid w:val="1E22BCB2"/>
    <w:multiLevelType w:val="hybridMultilevel"/>
    <w:lvl w:ilvl="0">
      <w:lvlJc w:val="left"/>
      <w:lvlText w:val="(%1)"/>
      <w:numFmt w:val="decimal"/>
      <w:start w:val="1"/>
    </w:lvl>
  </w:abstractNum>
  <w:abstractNum w:abstractNumId="473">
    <w:nsid w:val="3565F1C8"/>
    <w:multiLevelType w:val="hybridMultilevel"/>
    <w:lvl w:ilvl="0">
      <w:lvlJc w:val="left"/>
      <w:lvlText w:val="(%1)"/>
      <w:numFmt w:val="decimal"/>
      <w:start w:val="1"/>
    </w:lvl>
  </w:abstractNum>
  <w:abstractNum w:abstractNumId="474">
    <w:nsid w:val="5EA6D896"/>
    <w:multiLevelType w:val="hybridMultilevel"/>
    <w:lvl w:ilvl="0">
      <w:lvlJc w:val="left"/>
      <w:lvlText w:val="①"/>
      <w:numFmt w:val="bullet"/>
      <w:start w:val="1"/>
    </w:lvl>
  </w:abstractNum>
  <w:abstractNum w:abstractNumId="475">
    <w:nsid w:val="3D096BBF"/>
    <w:multiLevelType w:val="hybridMultilevel"/>
    <w:lvl w:ilvl="0">
      <w:lvlJc w:val="left"/>
      <w:lvlText w:val="②"/>
      <w:numFmt w:val="bullet"/>
      <w:start w:val="1"/>
    </w:lvl>
  </w:abstractNum>
  <w:abstractNum w:abstractNumId="476">
    <w:nsid w:val="BD6D5B5"/>
    <w:multiLevelType w:val="hybridMultilevel"/>
    <w:lvl w:ilvl="0">
      <w:lvlJc w:val="left"/>
      <w:lvlText w:val="③"/>
      <w:numFmt w:val="bullet"/>
      <w:start w:val="1"/>
    </w:lvl>
  </w:abstractNum>
  <w:abstractNum w:abstractNumId="477">
    <w:nsid w:val="3B52115C"/>
    <w:multiLevelType w:val="hybridMultilevel"/>
    <w:lvl w:ilvl="0">
      <w:lvlJc w:val="left"/>
      <w:lvlText w:val="(%1)"/>
      <w:numFmt w:val="decimal"/>
      <w:start w:val="1"/>
    </w:lvl>
  </w:abstractNum>
  <w:abstractNum w:abstractNumId="478">
    <w:nsid w:val="787AA59C"/>
    <w:multiLevelType w:val="hybridMultilevel"/>
    <w:lvl w:ilvl="0">
      <w:lvlJc w:val="left"/>
      <w:lvlText w:val="(%1)"/>
      <w:numFmt w:val="decimal"/>
      <w:start w:val="1"/>
    </w:lvl>
  </w:abstractNum>
  <w:abstractNum w:abstractNumId="479">
    <w:nsid w:val="70BB9983"/>
    <w:multiLevelType w:val="hybridMultilevel"/>
    <w:lvl w:ilvl="0">
      <w:lvlJc w:val="left"/>
      <w:lvlText w:val="(%1)"/>
      <w:numFmt w:val="decimal"/>
      <w:start w:val="4"/>
    </w:lvl>
  </w:abstractNum>
  <w:abstractNum w:abstractNumId="480">
    <w:nsid w:val="51EEBEEA"/>
    <w:multiLevelType w:val="hybridMultilevel"/>
    <w:lvl w:ilvl="0">
      <w:lvlJc w:val="left"/>
      <w:lvlText w:val="(%1)"/>
      <w:numFmt w:val="decimal"/>
      <w:start w:val="1"/>
    </w:lvl>
  </w:abstractNum>
  <w:abstractNum w:abstractNumId="481">
    <w:nsid w:val="221A0CCD"/>
    <w:multiLevelType w:val="hybridMultilevel"/>
    <w:lvl w:ilvl="0">
      <w:lvlJc w:val="left"/>
      <w:lvlText w:val="(%1)"/>
      <w:numFmt w:val="decimal"/>
      <w:start w:val="2"/>
    </w:lvl>
  </w:abstractNum>
  <w:abstractNum w:abstractNumId="482">
    <w:nsid w:val="1B7CA0ED"/>
    <w:multiLevelType w:val="hybridMultilevel"/>
    <w:lvl w:ilvl="0">
      <w:lvlJc w:val="left"/>
      <w:lvlText w:val="(%1)"/>
      <w:numFmt w:val="decimal"/>
      <w:start w:val="1"/>
    </w:lvl>
  </w:abstractNum>
  <w:abstractNum w:abstractNumId="483">
    <w:nsid w:val="2395A7FF"/>
    <w:multiLevelType w:val="hybridMultilevel"/>
    <w:lvl w:ilvl="0">
      <w:lvlJc w:val="left"/>
      <w:lvlText w:val="(%1)"/>
      <w:numFmt w:val="decimal"/>
      <w:start w:val="1"/>
    </w:lvl>
  </w:abstractNum>
  <w:abstractNum w:abstractNumId="484">
    <w:nsid w:val="3965EB66"/>
    <w:multiLevelType w:val="hybridMultilevel"/>
    <w:lvl w:ilvl="0">
      <w:lvlJc w:val="left"/>
      <w:lvlText w:val="(%1)"/>
      <w:numFmt w:val="decimal"/>
      <w:start w:val="2"/>
    </w:lvl>
  </w:abstractNum>
  <w:abstractNum w:abstractNumId="485">
    <w:nsid w:val="3AA88B3C"/>
    <w:multiLevelType w:val="hybridMultilevel"/>
    <w:lvl w:ilvl="0">
      <w:lvlJc w:val="left"/>
      <w:lvlText w:val="(%1)"/>
      <w:numFmt w:val="lowerLetter"/>
      <w:start w:val="2"/>
    </w:lvl>
  </w:abstractNum>
  <w:abstractNum w:abstractNumId="486">
    <w:nsid w:val="26BAF231"/>
    <w:multiLevelType w:val="hybridMultilevel"/>
    <w:lvl w:ilvl="0">
      <w:lvlJc w:val="left"/>
      <w:lvlText w:val="%1."/>
      <w:numFmt w:val="upperLetter"/>
      <w:start w:val="2"/>
    </w:lvl>
  </w:abstractNum>
  <w:abstractNum w:abstractNumId="487">
    <w:nsid w:val="4B13A15A"/>
    <w:multiLevelType w:val="hybridMultilevel"/>
    <w:lvl w:ilvl="0">
      <w:lvlJc w:val="left"/>
      <w:lvlText w:val="(%1)"/>
      <w:numFmt w:val="decimal"/>
      <w:start w:val="4"/>
    </w:lvl>
  </w:abstractNum>
  <w:abstractNum w:abstractNumId="488">
    <w:nsid w:val="701E8A0D"/>
    <w:multiLevelType w:val="hybridMultilevel"/>
    <w:lvl w:ilvl="0">
      <w:lvlJc w:val="left"/>
      <w:lvlText w:val="(%1)"/>
      <w:numFmt w:val="decimal"/>
      <w:start w:val="5"/>
    </w:lvl>
  </w:abstractNum>
  <w:abstractNum w:abstractNumId="489">
    <w:nsid w:val="41E690CF"/>
    <w:multiLevelType w:val="hybridMultilevel"/>
    <w:lvl w:ilvl="0">
      <w:lvlJc w:val="left"/>
      <w:lvlText w:val="(%1)"/>
      <w:numFmt w:val="decimal"/>
      <w:start w:val="1"/>
    </w:lvl>
  </w:abstractNum>
  <w:abstractNum w:abstractNumId="490">
    <w:nsid w:val="7C6489B6"/>
    <w:multiLevelType w:val="hybridMultilevel"/>
    <w:lvl w:ilvl="0">
      <w:lvlJc w:val="left"/>
      <w:lvlText w:val="(%1)"/>
      <w:numFmt w:val="lowerLetter"/>
      <w:start w:val="1"/>
    </w:lvl>
  </w:abstractNum>
  <w:abstractNum w:abstractNumId="491">
    <w:nsid w:val="53AE65DE"/>
    <w:multiLevelType w:val="hybridMultilevel"/>
    <w:lvl w:ilvl="0">
      <w:lvlJc w:val="left"/>
      <w:lvlText w:val="(%1)"/>
      <w:numFmt w:val="decimal"/>
      <w:start w:val="1"/>
    </w:lvl>
  </w:abstractNum>
  <w:abstractNum w:abstractNumId="492">
    <w:nsid w:val="527F603D"/>
    <w:multiLevelType w:val="hybridMultilevel"/>
    <w:lvl w:ilvl="0">
      <w:lvlJc w:val="left"/>
      <w:lvlText w:val="(%1)"/>
      <w:numFmt w:val="decimal"/>
      <w:start w:val="2"/>
    </w:lvl>
  </w:abstractNum>
  <w:abstractNum w:abstractNumId="493">
    <w:nsid w:val="7E13D013"/>
    <w:multiLevelType w:val="hybridMultilevel"/>
    <w:lvl w:ilvl="0">
      <w:lvlJc w:val="left"/>
      <w:lvlText w:val="(%1)"/>
      <w:numFmt w:val="decimal"/>
      <w:start w:val="1"/>
    </w:lvl>
  </w:abstractNum>
  <w:abstractNum w:abstractNumId="494">
    <w:nsid w:val="663BFE95"/>
    <w:multiLevelType w:val="hybridMultilevel"/>
    <w:lvl w:ilvl="0">
      <w:lvlJc w:val="left"/>
      <w:lvlText w:val="①"/>
      <w:numFmt w:val="bullet"/>
      <w:start w:val="1"/>
    </w:lvl>
  </w:abstractNum>
  <w:abstractNum w:abstractNumId="495">
    <w:nsid w:val="31E0986F"/>
    <w:multiLevelType w:val="hybridMultilevel"/>
    <w:lvl w:ilvl="0">
      <w:lvlJc w:val="left"/>
      <w:lvlText w:val="②"/>
      <w:numFmt w:val="bullet"/>
      <w:start w:val="1"/>
    </w:lvl>
  </w:abstractNum>
  <w:abstractNum w:abstractNumId="496">
    <w:nsid w:val="41FCF274"/>
    <w:multiLevelType w:val="hybridMultilevel"/>
    <w:lvl w:ilvl="0">
      <w:lvlJc w:val="left"/>
      <w:lvlText w:val="③"/>
      <w:numFmt w:val="bullet"/>
      <w:start w:val="1"/>
    </w:lvl>
  </w:abstractNum>
  <w:abstractNum w:abstractNumId="497">
    <w:nsid w:val="294614F7"/>
    <w:multiLevelType w:val="hybridMultilevel"/>
    <w:lvl w:ilvl="0">
      <w:lvlJc w:val="left"/>
      <w:lvlText w:val="④"/>
      <w:numFmt w:val="bullet"/>
      <w:start w:val="1"/>
    </w:lvl>
  </w:abstractNum>
  <w:abstractNum w:abstractNumId="498">
    <w:nsid w:val="517DF487"/>
    <w:multiLevelType w:val="hybridMultilevel"/>
    <w:lvl w:ilvl="0">
      <w:lvlJc w:val="left"/>
      <w:lvlText w:val="⑤"/>
      <w:numFmt w:val="bullet"/>
      <w:start w:val="1"/>
    </w:lvl>
  </w:abstractNum>
  <w:abstractNum w:abstractNumId="499">
    <w:nsid w:val="5EBE0EAB"/>
    <w:multiLevelType w:val="hybridMultilevel"/>
    <w:lvl w:ilvl="0">
      <w:lvlJc w:val="left"/>
      <w:lvlText w:val="⑥"/>
      <w:numFmt w:val="bullet"/>
      <w:start w:val="1"/>
    </w:lvl>
  </w:abstractNum>
  <w:abstractNum w:abstractNumId="500">
    <w:nsid w:val="6E9DEAD0"/>
    <w:multiLevelType w:val="hybridMultilevel"/>
    <w:lvl w:ilvl="0">
      <w:lvlJc w:val="left"/>
      <w:lvlText w:val="⑦"/>
      <w:numFmt w:val="bullet"/>
      <w:start w:val="1"/>
    </w:lvl>
  </w:abstractNum>
  <w:abstractNum w:abstractNumId="501">
    <w:nsid w:val="4450AA00"/>
    <w:multiLevelType w:val="hybridMultilevel"/>
    <w:lvl w:ilvl="0">
      <w:lvlJc w:val="left"/>
      <w:lvlText w:val="⑧"/>
      <w:numFmt w:val="bullet"/>
      <w:start w:val="1"/>
    </w:lvl>
  </w:abstractNum>
  <w:abstractNum w:abstractNumId="502">
    <w:nsid w:val="4AC9F3E2"/>
    <w:multiLevelType w:val="hybridMultilevel"/>
    <w:lvl w:ilvl="0">
      <w:lvlJc w:val="left"/>
      <w:lvlText w:val="⑨"/>
      <w:numFmt w:val="bullet"/>
      <w:start w:val="1"/>
    </w:lvl>
  </w:abstractNum>
  <w:abstractNum w:abstractNumId="503">
    <w:nsid w:val="CC0A782"/>
    <w:multiLevelType w:val="hybridMultilevel"/>
    <w:lvl w:ilvl="0">
      <w:lvlJc w:val="left"/>
      <w:lvlText w:val="⑩"/>
      <w:numFmt w:val="bullet"/>
      <w:start w:val="1"/>
    </w:lvl>
  </w:abstractNum>
  <w:abstractNum w:abstractNumId="504">
    <w:nsid w:val="79B69BC9"/>
    <w:multiLevelType w:val="hybridMultilevel"/>
    <w:lvl w:ilvl="0">
      <w:lvlJc w:val="left"/>
      <w:lvlText w:val="⑪"/>
      <w:numFmt w:val="bullet"/>
      <w:start w:val="1"/>
    </w:lvl>
  </w:abstractNum>
  <w:abstractNum w:abstractNumId="505">
    <w:nsid w:val="2970CC78"/>
    <w:multiLevelType w:val="hybridMultilevel"/>
    <w:lvl w:ilvl="0">
      <w:lvlJc w:val="left"/>
      <w:lvlText w:val="⑫"/>
      <w:numFmt w:val="bullet"/>
      <w:start w:val="1"/>
    </w:lvl>
  </w:abstractNum>
  <w:abstractNum w:abstractNumId="506">
    <w:nsid w:val="49CA1341"/>
    <w:multiLevelType w:val="hybridMultilevel"/>
    <w:lvl w:ilvl="0">
      <w:lvlJc w:val="left"/>
      <w:lvlText w:val="⑬"/>
      <w:numFmt w:val="bullet"/>
      <w:start w:val="1"/>
    </w:lvl>
  </w:abstractNum>
  <w:abstractNum w:abstractNumId="507">
    <w:nsid w:val="58D717E"/>
    <w:multiLevelType w:val="hybridMultilevel"/>
    <w:lvl w:ilvl="0">
      <w:lvlJc w:val="left"/>
      <w:lvlText w:val="⑭"/>
      <w:numFmt w:val="bullet"/>
      <w:start w:val="1"/>
    </w:lvl>
  </w:abstractNum>
  <w:abstractNum w:abstractNumId="508">
    <w:nsid w:val="64C2DDD5"/>
    <w:multiLevelType w:val="hybridMultilevel"/>
    <w:lvl w:ilvl="0">
      <w:lvlJc w:val="left"/>
      <w:lvlText w:val="⑮"/>
      <w:numFmt w:val="bullet"/>
      <w:start w:val="1"/>
    </w:lvl>
  </w:abstractNum>
  <w:abstractNum w:abstractNumId="509">
    <w:nsid w:val="4244B8DE"/>
    <w:multiLevelType w:val="hybridMultilevel"/>
    <w:lvl w:ilvl="0">
      <w:lvlJc w:val="left"/>
      <w:lvlText w:val="(%1)"/>
      <w:numFmt w:val="decimal"/>
      <w:start w:val="2"/>
    </w:lvl>
  </w:abstractNum>
  <w:abstractNum w:abstractNumId="510">
    <w:nsid w:val="76490B01"/>
    <w:multiLevelType w:val="hybridMultilevel"/>
    <w:lvl w:ilvl="0">
      <w:lvlJc w:val="left"/>
      <w:lvlText w:val="①"/>
      <w:numFmt w:val="bullet"/>
      <w:start w:val="1"/>
    </w:lvl>
  </w:abstractNum>
  <w:abstractNum w:abstractNumId="511">
    <w:nsid w:val="36B19CBF"/>
    <w:multiLevelType w:val="hybridMultilevel"/>
    <w:lvl w:ilvl="0">
      <w:lvlJc w:val="left"/>
      <w:lvlText w:val="②"/>
      <w:numFmt w:val="bullet"/>
      <w:start w:val="1"/>
    </w:lvl>
  </w:abstractNum>
  <w:abstractNum w:abstractNumId="512">
    <w:nsid w:val="645EC5AB"/>
    <w:multiLevelType w:val="hybridMultilevel"/>
    <w:lvl w:ilvl="0">
      <w:lvlJc w:val="left"/>
      <w:lvlText w:val="(%1)"/>
      <w:numFmt w:val="decimal"/>
      <w:start w:val="3"/>
    </w:lvl>
  </w:abstractNum>
  <w:abstractNum w:abstractNumId="513">
    <w:nsid w:val="11C5ABEF"/>
    <w:multiLevelType w:val="hybridMultilevel"/>
    <w:lvl w:ilvl="0">
      <w:lvlJc w:val="left"/>
      <w:lvlText w:val="①"/>
      <w:numFmt w:val="bullet"/>
      <w:start w:val="1"/>
    </w:lvl>
  </w:abstractNum>
  <w:abstractNum w:abstractNumId="514">
    <w:nsid w:val="5A4744BE"/>
    <w:multiLevelType w:val="hybridMultilevel"/>
    <w:lvl w:ilvl="0">
      <w:lvlJc w:val="left"/>
      <w:lvlText w:val="②"/>
      <w:numFmt w:val="bullet"/>
      <w:start w:val="1"/>
    </w:lvl>
  </w:abstractNum>
  <w:abstractNum w:abstractNumId="515">
    <w:nsid w:val="1DC4B111"/>
    <w:multiLevelType w:val="hybridMultilevel"/>
    <w:lvl w:ilvl="0">
      <w:lvlJc w:val="left"/>
      <w:lvlText w:val="③"/>
      <w:numFmt w:val="bullet"/>
      <w:start w:val="1"/>
    </w:lvl>
  </w:abstractNum>
  <w:abstractNum w:abstractNumId="516">
    <w:nsid w:val="4C6E372B"/>
    <w:multiLevelType w:val="hybridMultilevel"/>
    <w:lvl w:ilvl="0">
      <w:lvlJc w:val="left"/>
      <w:lvlText w:val="④"/>
      <w:numFmt w:val="bullet"/>
      <w:start w:val="1"/>
    </w:lvl>
  </w:abstractNum>
  <w:abstractNum w:abstractNumId="517">
    <w:nsid w:val="10236EF"/>
    <w:multiLevelType w:val="hybridMultilevel"/>
    <w:lvl w:ilvl="0">
      <w:lvlJc w:val="left"/>
      <w:lvlText w:val="(%1)"/>
      <w:numFmt w:val="lowerLetter"/>
      <w:start w:val="1"/>
    </w:lvl>
  </w:abstractNum>
  <w:abstractNum w:abstractNumId="518">
    <w:nsid w:val="68D8526B"/>
    <w:multiLevelType w:val="hybridMultilevel"/>
    <w:lvl w:ilvl="0">
      <w:lvlJc w:val="left"/>
      <w:lvlText w:val="(%1)"/>
      <w:numFmt w:val="lowerLetter"/>
      <w:start w:val="2"/>
    </w:lvl>
  </w:abstractNum>
  <w:abstractNum w:abstractNumId="519">
    <w:nsid w:val="3C8CC138"/>
    <w:multiLevelType w:val="hybridMultilevel"/>
    <w:lvl w:ilvl="0">
      <w:lvlJc w:val="left"/>
      <w:lvlText w:val="①"/>
      <w:numFmt w:val="bullet"/>
      <w:start w:val="1"/>
    </w:lvl>
  </w:abstractNum>
  <w:abstractNum w:abstractNumId="520">
    <w:nsid w:val="42E8C7BE"/>
    <w:multiLevelType w:val="hybridMultilevel"/>
    <w:lvl w:ilvl="0">
      <w:lvlJc w:val="left"/>
      <w:lvlText w:val="②"/>
      <w:numFmt w:val="bullet"/>
      <w:start w:val="1"/>
    </w:lvl>
  </w:abstractNum>
  <w:abstractNum w:abstractNumId="521">
    <w:nsid w:val="653CDC22"/>
    <w:multiLevelType w:val="hybridMultilevel"/>
    <w:lvl w:ilvl="0">
      <w:lvlJc w:val="left"/>
      <w:lvlText w:val="③"/>
      <w:numFmt w:val="bullet"/>
      <w:start w:val="1"/>
    </w:lvl>
  </w:abstractNum>
  <w:abstractNum w:abstractNumId="522">
    <w:nsid w:val="103B2716"/>
    <w:multiLevelType w:val="hybridMultilevel"/>
    <w:lvl w:ilvl="0">
      <w:lvlJc w:val="left"/>
      <w:lvlText w:val="④"/>
      <w:numFmt w:val="bullet"/>
      <w:start w:val="1"/>
    </w:lvl>
  </w:abstractNum>
  <w:abstractNum w:abstractNumId="523">
    <w:nsid w:val="156827FB"/>
    <w:multiLevelType w:val="hybridMultilevel"/>
    <w:lvl w:ilvl="0">
      <w:lvlJc w:val="left"/>
      <w:lvlText w:val="⑤"/>
      <w:numFmt w:val="bullet"/>
      <w:start w:val="1"/>
    </w:lvl>
  </w:abstractNum>
  <w:abstractNum w:abstractNumId="524">
    <w:nsid w:val="6350AC35"/>
    <w:multiLevelType w:val="hybridMultilevel"/>
    <w:lvl w:ilvl="0">
      <w:lvlJc w:val="left"/>
      <w:lvlText w:val="⑥"/>
      <w:numFmt w:val="bullet"/>
      <w:start w:val="1"/>
    </w:lvl>
  </w:abstractNum>
  <w:abstractNum w:abstractNumId="525">
    <w:nsid w:val="767725AB"/>
    <w:multiLevelType w:val="hybridMultilevel"/>
    <w:lvl w:ilvl="0">
      <w:lvlJc w:val="left"/>
      <w:lvlText w:val="⑦"/>
      <w:numFmt w:val="bullet"/>
      <w:start w:val="1"/>
    </w:lvl>
  </w:abstractNum>
  <w:abstractNum w:abstractNumId="526">
    <w:nsid w:val="4748C06A"/>
    <w:multiLevelType w:val="hybridMultilevel"/>
    <w:lvl w:ilvl="0">
      <w:lvlJc w:val="left"/>
      <w:lvlText w:val="⑧"/>
      <w:numFmt w:val="bullet"/>
      <w:start w:val="1"/>
    </w:lvl>
  </w:abstractNum>
  <w:abstractNum w:abstractNumId="527">
    <w:nsid w:val="254D9EA9"/>
    <w:multiLevelType w:val="hybridMultilevel"/>
    <w:lvl w:ilvl="0">
      <w:lvlJc w:val="left"/>
      <w:lvlText w:val="⑨"/>
      <w:numFmt w:val="bullet"/>
      <w:start w:val="1"/>
    </w:lvl>
  </w:abstractNum>
  <w:abstractNum w:abstractNumId="528">
    <w:nsid w:val="1FBD3AA3"/>
    <w:multiLevelType w:val="hybridMultilevel"/>
    <w:lvl w:ilvl="0">
      <w:lvlJc w:val="left"/>
      <w:lvlText w:val="⑩"/>
      <w:numFmt w:val="bullet"/>
      <w:start w:val="1"/>
    </w:lvl>
  </w:abstractNum>
  <w:abstractNum w:abstractNumId="529">
    <w:nsid w:val="18C6B4F2"/>
    <w:multiLevelType w:val="hybridMultilevel"/>
    <w:lvl w:ilvl="0">
      <w:lvlJc w:val="left"/>
      <w:lvlText w:val="⑫"/>
      <w:numFmt w:val="bullet"/>
      <w:start w:val="1"/>
    </w:lvl>
  </w:abstractNum>
  <w:abstractNum w:abstractNumId="530">
    <w:nsid w:val="40BAD55"/>
    <w:multiLevelType w:val="hybridMultilevel"/>
    <w:lvl w:ilvl="0">
      <w:lvlJc w:val="left"/>
      <w:lvlText w:val="①"/>
      <w:numFmt w:val="bullet"/>
      <w:start w:val="1"/>
    </w:lvl>
  </w:abstractNum>
  <w:abstractNum w:abstractNumId="531">
    <w:nsid w:val="E5B2573"/>
    <w:multiLevelType w:val="hybridMultilevel"/>
    <w:lvl w:ilvl="0">
      <w:lvlJc w:val="left"/>
      <w:lvlText w:val="②"/>
      <w:numFmt w:val="bullet"/>
      <w:start w:val="1"/>
    </w:lvl>
  </w:abstractNum>
  <w:abstractNum w:abstractNumId="532">
    <w:nsid w:val="5D175EF2"/>
    <w:multiLevelType w:val="hybridMultilevel"/>
    <w:lvl w:ilvl="0">
      <w:lvlJc w:val="left"/>
      <w:lvlText w:val="①"/>
      <w:numFmt w:val="bullet"/>
      <w:start w:val="1"/>
    </w:lvl>
  </w:abstractNum>
  <w:abstractNum w:abstractNumId="533">
    <w:nsid w:val="4ED5A137"/>
    <w:multiLevelType w:val="hybridMultilevel"/>
    <w:lvl w:ilvl="0">
      <w:lvlJc w:val="left"/>
      <w:lvlText w:val="②"/>
      <w:numFmt w:val="bullet"/>
      <w:start w:val="1"/>
    </w:lvl>
  </w:abstractNum>
  <w:abstractNum w:abstractNumId="534">
    <w:nsid w:val="1B1BCCF5"/>
    <w:multiLevelType w:val="hybridMultilevel"/>
    <w:lvl w:ilvl="0">
      <w:lvlJc w:val="left"/>
      <w:lvlText w:val="①"/>
      <w:numFmt w:val="bullet"/>
      <w:start w:val="1"/>
    </w:lvl>
  </w:abstractNum>
  <w:abstractNum w:abstractNumId="535">
    <w:nsid w:val="56CDFABB"/>
    <w:multiLevelType w:val="hybridMultilevel"/>
    <w:lvl w:ilvl="0">
      <w:lvlJc w:val="left"/>
      <w:lvlText w:val="②"/>
      <w:numFmt w:val="bullet"/>
      <w:start w:val="1"/>
    </w:lvl>
  </w:abstractNum>
  <w:abstractNum w:abstractNumId="536">
    <w:nsid w:val="78466DAF"/>
    <w:multiLevelType w:val="hybridMultilevel"/>
    <w:lvl w:ilvl="0">
      <w:lvlJc w:val="left"/>
      <w:lvlText w:val="③"/>
      <w:numFmt w:val="bullet"/>
      <w:start w:val="1"/>
    </w:lvl>
  </w:abstractNum>
  <w:abstractNum w:abstractNumId="537">
    <w:nsid w:val="64E5E036"/>
    <w:multiLevelType w:val="hybridMultilevel"/>
    <w:lvl w:ilvl="0">
      <w:lvlJc w:val="left"/>
      <w:lvlText w:val="④"/>
      <w:numFmt w:val="bullet"/>
      <w:start w:val="1"/>
    </w:lvl>
  </w:abstractNum>
  <w:abstractNum w:abstractNumId="538">
    <w:nsid w:val="5C5B6C3A"/>
    <w:multiLevelType w:val="hybridMultilevel"/>
    <w:lvl w:ilvl="0">
      <w:lvlJc w:val="left"/>
      <w:lvlText w:val="⑤"/>
      <w:numFmt w:val="bullet"/>
      <w:start w:val="1"/>
    </w:lvl>
  </w:abstractNum>
  <w:abstractNum w:abstractNumId="539">
    <w:nsid w:val="5D094B84"/>
    <w:multiLevelType w:val="hybridMultilevel"/>
    <w:lvl w:ilvl="0">
      <w:lvlJc w:val="left"/>
      <w:lvlText w:val="⑥"/>
      <w:numFmt w:val="bullet"/>
      <w:start w:val="1"/>
    </w:lvl>
  </w:abstractNum>
  <w:abstractNum w:abstractNumId="540">
    <w:nsid w:val="272A9914"/>
    <w:multiLevelType w:val="hybridMultilevel"/>
    <w:lvl w:ilvl="0">
      <w:lvlJc w:val="left"/>
      <w:lvlText w:val="⑦"/>
      <w:numFmt w:val="bullet"/>
      <w:start w:val="1"/>
    </w:lvl>
  </w:abstractNum>
  <w:abstractNum w:abstractNumId="541">
    <w:nsid w:val="52A4773B"/>
    <w:multiLevelType w:val="hybridMultilevel"/>
    <w:lvl w:ilvl="0">
      <w:lvlJc w:val="left"/>
      <w:lvlText w:val="⑧"/>
      <w:numFmt w:val="bullet"/>
      <w:start w:val="1"/>
    </w:lvl>
  </w:abstractNum>
  <w:abstractNum w:abstractNumId="542">
    <w:nsid w:val="13BAE843"/>
    <w:multiLevelType w:val="hybridMultilevel"/>
    <w:lvl w:ilvl="0">
      <w:lvlJc w:val="left"/>
      <w:lvlText w:val="⑨"/>
      <w:numFmt w:val="bullet"/>
      <w:start w:val="1"/>
    </w:lvl>
  </w:abstractNum>
  <w:abstractNum w:abstractNumId="543">
    <w:nsid w:val="B895EBF"/>
    <w:multiLevelType w:val="hybridMultilevel"/>
    <w:lvl w:ilvl="0">
      <w:lvlJc w:val="left"/>
      <w:lvlText w:val="⑩"/>
      <w:numFmt w:val="bullet"/>
      <w:start w:val="1"/>
    </w:lvl>
  </w:abstractNum>
  <w:abstractNum w:abstractNumId="544">
    <w:nsid w:val="646A232A"/>
    <w:multiLevelType w:val="hybridMultilevel"/>
    <w:lvl w:ilvl="0">
      <w:lvlJc w:val="left"/>
      <w:lvlText w:val="⑪"/>
      <w:numFmt w:val="bullet"/>
      <w:start w:val="1"/>
    </w:lvl>
  </w:abstractNum>
  <w:abstractNum w:abstractNumId="545">
    <w:nsid w:val="6E022D01"/>
    <w:multiLevelType w:val="hybridMultilevel"/>
    <w:lvl w:ilvl="0">
      <w:lvlJc w:val="left"/>
      <w:lvlText w:val="(%1)"/>
      <w:numFmt w:val="decimal"/>
      <w:start w:val="1"/>
    </w:lvl>
  </w:abstractNum>
  <w:abstractNum w:abstractNumId="546">
    <w:nsid w:val="294E0FD0"/>
    <w:multiLevelType w:val="hybridMultilevel"/>
    <w:lvl w:ilvl="0">
      <w:lvlJc w:val="left"/>
      <w:lvlText w:val="(%1)"/>
      <w:numFmt w:val="decimal"/>
      <w:start w:val="1"/>
    </w:lvl>
  </w:abstractNum>
  <w:abstractNum w:abstractNumId="547">
    <w:nsid w:val="30D85A55"/>
    <w:multiLevelType w:val="hybridMultilevel"/>
    <w:lvl w:ilvl="0">
      <w:lvlJc w:val="left"/>
      <w:lvlText w:val="(%1)"/>
      <w:numFmt w:val="decimal"/>
      <w:start w:val="1"/>
    </w:lvl>
  </w:abstractNum>
  <w:abstractNum w:abstractNumId="548">
    <w:nsid w:val="6F0463F1"/>
    <w:multiLevelType w:val="hybridMultilevel"/>
    <w:lvl w:ilvl="0">
      <w:lvlJc w:val="left"/>
      <w:lvlText w:val="(%1)"/>
      <w:numFmt w:val="decimal"/>
      <w:start w:val="1"/>
    </w:lvl>
  </w:abstractNum>
  <w:abstractNum w:abstractNumId="549">
    <w:nsid w:val="1226623C"/>
    <w:multiLevelType w:val="hybridMultilevel"/>
    <w:lvl w:ilvl="0">
      <w:lvlJc w:val="left"/>
      <w:lvlText w:val="(%1)"/>
      <w:numFmt w:val="decimal"/>
      <w:start w:val="9"/>
    </w:lvl>
  </w:abstractNum>
  <w:abstractNum w:abstractNumId="550">
    <w:nsid w:val="6D651B8D"/>
    <w:multiLevelType w:val="hybridMultilevel"/>
    <w:lvl w:ilvl="0">
      <w:lvlJc w:val="left"/>
      <w:lvlText w:val="(%1)"/>
      <w:numFmt w:val="decimal"/>
      <w:start w:val="1"/>
    </w:lvl>
  </w:abstractNum>
  <w:abstractNum w:abstractNumId="551">
    <w:nsid w:val="31ED2BAF"/>
    <w:multiLevelType w:val="hybridMultilevel"/>
    <w:lvl w:ilvl="0">
      <w:lvlJc w:val="left"/>
      <w:lvlText w:val="(%1)"/>
      <w:numFmt w:val="decimal"/>
      <w:start w:val="1"/>
    </w:lvl>
  </w:abstractNum>
  <w:abstractNum w:abstractNumId="552">
    <w:nsid w:val="77633E5E"/>
    <w:multiLevelType w:val="hybridMultilevel"/>
    <w:lvl w:ilvl="0">
      <w:lvlJc w:val="left"/>
      <w:lvlText w:val="(%1)"/>
      <w:numFmt w:val="decimal"/>
      <w:start w:val="1"/>
    </w:lvl>
  </w:abstractNum>
  <w:abstractNum w:abstractNumId="553">
    <w:nsid w:val="7DA042A3"/>
    <w:multiLevelType w:val="hybridMultilevel"/>
    <w:lvl w:ilvl="0">
      <w:lvlJc w:val="left"/>
      <w:lvlText w:val="(%1)"/>
      <w:numFmt w:val="decimal"/>
      <w:start w:val="1"/>
    </w:lvl>
  </w:abstractNum>
  <w:abstractNum w:abstractNumId="554">
    <w:nsid w:val="475553AB"/>
    <w:multiLevelType w:val="hybridMultilevel"/>
    <w:lvl w:ilvl="0">
      <w:lvlJc w:val="left"/>
      <w:lvlText w:val="(%1)"/>
      <w:numFmt w:val="decimal"/>
      <w:start w:val="1"/>
    </w:lvl>
  </w:abstractNum>
  <w:abstractNum w:abstractNumId="555">
    <w:nsid w:val="5AB3EA93"/>
    <w:multiLevelType w:val="hybridMultilevel"/>
    <w:lvl w:ilvl="0">
      <w:lvlJc w:val="left"/>
      <w:lvlText w:val="(%1)"/>
      <w:numFmt w:val="decimal"/>
      <w:start w:val="1"/>
    </w:lvl>
  </w:abstractNum>
  <w:abstractNum w:abstractNumId="556">
    <w:nsid w:val="7417684F"/>
    <w:multiLevelType w:val="hybridMultilevel"/>
    <w:lvl w:ilvl="0">
      <w:lvlJc w:val="left"/>
      <w:lvlText w:val="(%1)"/>
      <w:numFmt w:val="decimal"/>
      <w:start w:val="2"/>
    </w:lvl>
  </w:abstractNum>
  <w:abstractNum w:abstractNumId="557">
    <w:nsid w:val="E9E1415"/>
    <w:multiLevelType w:val="hybridMultilevel"/>
    <w:lvl w:ilvl="0">
      <w:lvlJc w:val="left"/>
      <w:lvlText w:val="(%1)"/>
      <w:numFmt w:val="lowerLetter"/>
      <w:start w:val="2"/>
    </w:lvl>
  </w:abstractNum>
  <w:abstractNum w:abstractNumId="558">
    <w:nsid w:val="1893D"/>
    <w:multiLevelType w:val="hybridMultilevel"/>
    <w:lvl w:ilvl="0">
      <w:lvlJc w:val="left"/>
      <w:lvlText w:val="%1."/>
      <w:numFmt w:val="upperLetter"/>
      <w:start w:val="2"/>
    </w:lvl>
  </w:abstractNum>
  <w:abstractNum w:abstractNumId="559">
    <w:nsid w:val="13D4A2F2"/>
    <w:multiLevelType w:val="hybridMultilevel"/>
    <w:lvl w:ilvl="0">
      <w:lvlJc w:val="left"/>
      <w:lvlText w:val="(%1)"/>
      <w:numFmt w:val="decimal"/>
      <w:start w:val="4"/>
    </w:lvl>
  </w:abstractNum>
  <w:abstractNum w:abstractNumId="560">
    <w:nsid w:val="2764C907"/>
    <w:multiLevelType w:val="hybridMultilevel"/>
    <w:lvl w:ilvl="0">
      <w:lvlJc w:val="left"/>
      <w:lvlText w:val="(%1)"/>
      <w:numFmt w:val="decimal"/>
      <w:start w:val="5"/>
    </w:lvl>
  </w:abstractNum>
  <w:abstractNum w:abstractNumId="561">
    <w:nsid w:val="40D3692"/>
    <w:multiLevelType w:val="hybridMultilevel"/>
    <w:lvl w:ilvl="0">
      <w:lvlJc w:val="left"/>
      <w:lvlText w:val="(%1)"/>
      <w:numFmt w:val="decimal"/>
      <w:start w:val="1"/>
    </w:lvl>
  </w:abstractNum>
  <w:abstractNum w:abstractNumId="562">
    <w:nsid w:val="222FC865"/>
    <w:multiLevelType w:val="hybridMultilevel"/>
    <w:lvl w:ilvl="0">
      <w:lvlJc w:val="left"/>
      <w:lvlText w:val="(%1)"/>
      <w:numFmt w:val="lowerLetter"/>
      <w:start w:val="1"/>
    </w:lvl>
  </w:abstractNum>
  <w:abstractNum w:abstractNumId="563">
    <w:nsid w:val="47C27FA"/>
    <w:multiLevelType w:val="hybridMultilevel"/>
    <w:lvl w:ilvl="0">
      <w:lvlJc w:val="left"/>
      <w:lvlText w:val="(%1)"/>
      <w:numFmt w:val="decimal"/>
      <w:start w:val="1"/>
    </w:lvl>
  </w:abstractNum>
  <w:abstractNum w:abstractNumId="564">
    <w:nsid w:val="52E2D7C9"/>
    <w:multiLevelType w:val="hybridMultilevel"/>
    <w:lvl w:ilvl="0">
      <w:lvlJc w:val="left"/>
      <w:lvlText w:val="(%1)"/>
      <w:numFmt w:val="decimal"/>
      <w:start w:val="2"/>
    </w:lvl>
  </w:abstractNum>
  <w:abstractNum w:abstractNumId="565">
    <w:nsid w:val="3D4B955A"/>
    <w:multiLevelType w:val="hybridMultilevel"/>
    <w:lvl w:ilvl="0">
      <w:lvlJc w:val="left"/>
      <w:lvlText w:val="(%1)"/>
      <w:numFmt w:val="decimal"/>
      <w:start w:val="1"/>
    </w:lvl>
  </w:abstractNum>
  <w:abstractNum w:abstractNumId="566">
    <w:nsid w:val="5B4A22B5"/>
    <w:multiLevelType w:val="hybridMultilevel"/>
    <w:lvl w:ilvl="0">
      <w:lvlJc w:val="left"/>
      <w:lvlText w:val="①"/>
      <w:numFmt w:val="bullet"/>
      <w:start w:val="1"/>
    </w:lvl>
  </w:abstractNum>
  <w:abstractNum w:abstractNumId="567">
    <w:nsid w:val="4B294578"/>
    <w:multiLevelType w:val="hybridMultilevel"/>
    <w:lvl w:ilvl="0">
      <w:lvlJc w:val="left"/>
      <w:lvlText w:val="②"/>
      <w:numFmt w:val="bullet"/>
      <w:start w:val="1"/>
    </w:lvl>
  </w:abstractNum>
  <w:abstractNum w:abstractNumId="568">
    <w:nsid w:val="22317590"/>
    <w:multiLevelType w:val="hybridMultilevel"/>
    <w:lvl w:ilvl="0">
      <w:lvlJc w:val="left"/>
      <w:lvlText w:val="③"/>
      <w:numFmt w:val="bullet"/>
      <w:start w:val="1"/>
    </w:lvl>
  </w:abstractNum>
  <w:abstractNum w:abstractNumId="569">
    <w:nsid w:val="37A58EEF"/>
    <w:multiLevelType w:val="hybridMultilevel"/>
    <w:lvl w:ilvl="0">
      <w:lvlJc w:val="left"/>
      <w:lvlText w:val="④"/>
      <w:numFmt w:val="bullet"/>
      <w:start w:val="1"/>
    </w:lvl>
  </w:abstractNum>
  <w:abstractNum w:abstractNumId="570">
    <w:nsid w:val="283290FD"/>
    <w:multiLevelType w:val="hybridMultilevel"/>
    <w:lvl w:ilvl="0">
      <w:lvlJc w:val="left"/>
      <w:lvlText w:val="⑤"/>
      <w:numFmt w:val="bullet"/>
      <w:start w:val="1"/>
    </w:lvl>
  </w:abstractNum>
  <w:abstractNum w:abstractNumId="571">
    <w:nsid w:val="495C0EA5"/>
    <w:multiLevelType w:val="hybridMultilevel"/>
    <w:lvl w:ilvl="0">
      <w:lvlJc w:val="left"/>
      <w:lvlText w:val="⑥"/>
      <w:numFmt w:val="bullet"/>
      <w:start w:val="1"/>
    </w:lvl>
  </w:abstractNum>
  <w:abstractNum w:abstractNumId="572">
    <w:nsid w:val="A4A062B"/>
    <w:multiLevelType w:val="hybridMultilevel"/>
    <w:lvl w:ilvl="0">
      <w:lvlJc w:val="left"/>
      <w:lvlText w:val="⑦"/>
      <w:numFmt w:val="bullet"/>
      <w:start w:val="1"/>
    </w:lvl>
  </w:abstractNum>
  <w:abstractNum w:abstractNumId="573">
    <w:nsid w:val="3BED7940"/>
    <w:multiLevelType w:val="hybridMultilevel"/>
    <w:lvl w:ilvl="0">
      <w:lvlJc w:val="left"/>
      <w:lvlText w:val="⑧"/>
      <w:numFmt w:val="bullet"/>
      <w:start w:val="1"/>
    </w:lvl>
  </w:abstractNum>
  <w:abstractNum w:abstractNumId="574">
    <w:nsid w:val="54E56D64"/>
    <w:multiLevelType w:val="hybridMultilevel"/>
    <w:lvl w:ilvl="0">
      <w:lvlJc w:val="left"/>
      <w:lvlText w:val="⑨"/>
      <w:numFmt w:val="bullet"/>
      <w:start w:val="1"/>
    </w:lvl>
  </w:abstractNum>
  <w:abstractNum w:abstractNumId="575">
    <w:nsid w:val="6EB42955"/>
    <w:multiLevelType w:val="hybridMultilevel"/>
    <w:lvl w:ilvl="0">
      <w:lvlJc w:val="left"/>
      <w:lvlText w:val="⑩"/>
      <w:numFmt w:val="bullet"/>
      <w:start w:val="1"/>
    </w:lvl>
  </w:abstractNum>
  <w:abstractNum w:abstractNumId="576">
    <w:nsid w:val="29EFA642"/>
    <w:multiLevelType w:val="hybridMultilevel"/>
    <w:lvl w:ilvl="0">
      <w:lvlJc w:val="left"/>
      <w:lvlText w:val="⑪"/>
      <w:numFmt w:val="bullet"/>
      <w:start w:val="1"/>
    </w:lvl>
  </w:abstractNum>
  <w:abstractNum w:abstractNumId="577">
    <w:nsid w:val="7E337D35"/>
    <w:multiLevelType w:val="hybridMultilevel"/>
    <w:lvl w:ilvl="0">
      <w:lvlJc w:val="left"/>
      <w:lvlText w:val="⑫"/>
      <w:numFmt w:val="bullet"/>
      <w:start w:val="1"/>
    </w:lvl>
  </w:abstractNum>
  <w:abstractNum w:abstractNumId="578">
    <w:nsid w:val="1F8C83AB"/>
    <w:multiLevelType w:val="hybridMultilevel"/>
    <w:lvl w:ilvl="0">
      <w:lvlJc w:val="left"/>
      <w:lvlText w:val="⑬"/>
      <w:numFmt w:val="bullet"/>
      <w:start w:val="1"/>
    </w:lvl>
  </w:abstractNum>
  <w:abstractNum w:abstractNumId="579">
    <w:nsid w:val="18F40A33"/>
    <w:multiLevelType w:val="hybridMultilevel"/>
    <w:lvl w:ilvl="0">
      <w:lvlJc w:val="left"/>
      <w:lvlText w:val="⑭"/>
      <w:numFmt w:val="bullet"/>
      <w:start w:val="1"/>
    </w:lvl>
  </w:abstractNum>
  <w:abstractNum w:abstractNumId="580">
    <w:nsid w:val="1059DF71"/>
    <w:multiLevelType w:val="hybridMultilevel"/>
    <w:lvl w:ilvl="0">
      <w:lvlJc w:val="left"/>
      <w:lvlText w:val="⑮"/>
      <w:numFmt w:val="bullet"/>
      <w:start w:val="1"/>
    </w:lvl>
  </w:abstractNum>
  <w:abstractNum w:abstractNumId="581">
    <w:nsid w:val="CF19F38"/>
    <w:multiLevelType w:val="hybridMultilevel"/>
    <w:lvl w:ilvl="0">
      <w:lvlJc w:val="left"/>
      <w:lvlText w:val="(%1)"/>
      <w:numFmt w:val="decimal"/>
      <w:start w:val="2"/>
    </w:lvl>
  </w:abstractNum>
  <w:abstractNum w:abstractNumId="582">
    <w:nsid w:val="4AE135E2"/>
    <w:multiLevelType w:val="hybridMultilevel"/>
    <w:lvl w:ilvl="0">
      <w:lvlJc w:val="left"/>
      <w:lvlText w:val="①"/>
      <w:numFmt w:val="bullet"/>
      <w:start w:val="1"/>
    </w:lvl>
  </w:abstractNum>
  <w:abstractNum w:abstractNumId="583">
    <w:nsid w:val="7BD1DCF"/>
    <w:multiLevelType w:val="hybridMultilevel"/>
    <w:lvl w:ilvl="0">
      <w:lvlJc w:val="left"/>
      <w:lvlText w:val="②"/>
      <w:numFmt w:val="bullet"/>
      <w:start w:val="1"/>
    </w:lvl>
  </w:abstractNum>
  <w:abstractNum w:abstractNumId="584">
    <w:nsid w:val="A91E1DC"/>
    <w:multiLevelType w:val="hybridMultilevel"/>
    <w:lvl w:ilvl="0">
      <w:lvlJc w:val="left"/>
      <w:lvlText w:val="(%1)"/>
      <w:numFmt w:val="decimal"/>
      <w:start w:val="3"/>
    </w:lvl>
  </w:abstractNum>
  <w:abstractNum w:abstractNumId="585">
    <w:nsid w:val="1236898D"/>
    <w:multiLevelType w:val="hybridMultilevel"/>
    <w:lvl w:ilvl="0">
      <w:lvlJc w:val="left"/>
      <w:lvlText w:val="①"/>
      <w:numFmt w:val="bullet"/>
      <w:start w:val="1"/>
    </w:lvl>
  </w:abstractNum>
  <w:abstractNum w:abstractNumId="586">
    <w:nsid w:val="62710862"/>
    <w:multiLevelType w:val="hybridMultilevel"/>
    <w:lvl w:ilvl="0">
      <w:lvlJc w:val="left"/>
      <w:lvlText w:val="②"/>
      <w:numFmt w:val="bullet"/>
      <w:start w:val="1"/>
    </w:lvl>
  </w:abstractNum>
  <w:abstractNum w:abstractNumId="587">
    <w:nsid w:val="7EA94A2B"/>
    <w:multiLevelType w:val="hybridMultilevel"/>
    <w:lvl w:ilvl="0">
      <w:lvlJc w:val="left"/>
      <w:lvlText w:val="③"/>
      <w:numFmt w:val="bullet"/>
      <w:start w:val="1"/>
    </w:lvl>
  </w:abstractNum>
  <w:abstractNum w:abstractNumId="588">
    <w:nsid w:val="20D49DA3"/>
    <w:multiLevelType w:val="hybridMultilevel"/>
    <w:lvl w:ilvl="0">
      <w:lvlJc w:val="left"/>
      <w:lvlText w:val="④"/>
      <w:numFmt w:val="bullet"/>
      <w:start w:val="1"/>
    </w:lvl>
  </w:abstractNum>
  <w:abstractNum w:abstractNumId="589">
    <w:nsid w:val="6272919F"/>
    <w:multiLevelType w:val="hybridMultilevel"/>
    <w:lvl w:ilvl="0">
      <w:lvlJc w:val="left"/>
      <w:lvlText w:val="(%1)"/>
      <w:numFmt w:val="lowerLetter"/>
      <w:start w:val="1"/>
    </w:lvl>
  </w:abstractNum>
  <w:abstractNum w:abstractNumId="590">
    <w:nsid w:val="127DED1D"/>
    <w:multiLevelType w:val="hybridMultilevel"/>
    <w:lvl w:ilvl="0">
      <w:lvlJc w:val="left"/>
      <w:lvlText w:val="(%1)"/>
      <w:numFmt w:val="lowerLetter"/>
      <w:start w:val="2"/>
    </w:lvl>
  </w:abstractNum>
  <w:abstractNum w:abstractNumId="591">
    <w:nsid w:val="483966AA"/>
    <w:multiLevelType w:val="hybridMultilevel"/>
    <w:lvl w:ilvl="0">
      <w:lvlJc w:val="left"/>
      <w:lvlText w:val="①"/>
      <w:numFmt w:val="bullet"/>
      <w:start w:val="1"/>
    </w:lvl>
  </w:abstractNum>
  <w:abstractNum w:abstractNumId="592">
    <w:nsid w:val="667FC831"/>
    <w:multiLevelType w:val="hybridMultilevel"/>
    <w:lvl w:ilvl="0">
      <w:lvlJc w:val="left"/>
      <w:lvlText w:val="②"/>
      <w:numFmt w:val="bullet"/>
      <w:start w:val="1"/>
    </w:lvl>
  </w:abstractNum>
  <w:abstractNum w:abstractNumId="593">
    <w:nsid w:val="34ADB582"/>
    <w:multiLevelType w:val="hybridMultilevel"/>
    <w:lvl w:ilvl="0">
      <w:lvlJc w:val="left"/>
      <w:lvlText w:val="③"/>
      <w:numFmt w:val="bullet"/>
      <w:start w:val="1"/>
    </w:lvl>
  </w:abstractNum>
  <w:abstractNum w:abstractNumId="594">
    <w:nsid w:val="4CB58EA4"/>
    <w:multiLevelType w:val="hybridMultilevel"/>
    <w:lvl w:ilvl="0">
      <w:lvlJc w:val="left"/>
      <w:lvlText w:val="④"/>
      <w:numFmt w:val="bullet"/>
      <w:start w:val="1"/>
    </w:lvl>
  </w:abstractNum>
  <w:abstractNum w:abstractNumId="595">
    <w:nsid w:val="39629FFA"/>
    <w:multiLevelType w:val="hybridMultilevel"/>
    <w:lvl w:ilvl="0">
      <w:lvlJc w:val="left"/>
      <w:lvlText w:val="⑤"/>
      <w:numFmt w:val="bullet"/>
      <w:start w:val="1"/>
    </w:lvl>
  </w:abstractNum>
  <w:abstractNum w:abstractNumId="596">
    <w:nsid w:val="71F94ADC"/>
    <w:multiLevelType w:val="hybridMultilevel"/>
    <w:lvl w:ilvl="0">
      <w:lvlJc w:val="left"/>
      <w:lvlText w:val="⑥"/>
      <w:numFmt w:val="bullet"/>
      <w:start w:val="1"/>
    </w:lvl>
  </w:abstractNum>
  <w:abstractNum w:abstractNumId="597">
    <w:nsid w:val="27FFB15A"/>
    <w:multiLevelType w:val="hybridMultilevel"/>
    <w:lvl w:ilvl="0">
      <w:lvlJc w:val="left"/>
      <w:lvlText w:val="⑦"/>
      <w:numFmt w:val="bullet"/>
      <w:start w:val="1"/>
    </w:lvl>
  </w:abstractNum>
  <w:abstractNum w:abstractNumId="598">
    <w:nsid w:val="48BE573"/>
    <w:multiLevelType w:val="hybridMultilevel"/>
    <w:lvl w:ilvl="0">
      <w:lvlJc w:val="left"/>
      <w:lvlText w:val="⑧"/>
      <w:numFmt w:val="bullet"/>
      <w:start w:val="1"/>
    </w:lvl>
  </w:abstractNum>
  <w:abstractNum w:abstractNumId="599">
    <w:nsid w:val="142AC06C"/>
    <w:multiLevelType w:val="hybridMultilevel"/>
    <w:lvl w:ilvl="0">
      <w:lvlJc w:val="left"/>
      <w:lvlText w:val="⑨"/>
      <w:numFmt w:val="bullet"/>
      <w:start w:val="1"/>
    </w:lvl>
  </w:abstractNum>
  <w:abstractNum w:abstractNumId="600">
    <w:nsid w:val="5FA54049"/>
    <w:multiLevelType w:val="hybridMultilevel"/>
    <w:lvl w:ilvl="0">
      <w:lvlJc w:val="left"/>
      <w:lvlText w:val="⑩"/>
      <w:numFmt w:val="bullet"/>
      <w:start w:val="1"/>
    </w:lvl>
  </w:abstractNum>
  <w:abstractNum w:abstractNumId="601">
    <w:nsid w:val="2CBE7670"/>
    <w:multiLevelType w:val="hybridMultilevel"/>
    <w:lvl w:ilvl="0">
      <w:lvlJc w:val="left"/>
      <w:lvlText w:val="⑫"/>
      <w:numFmt w:val="bullet"/>
      <w:start w:val="1"/>
    </w:lvl>
  </w:abstractNum>
  <w:abstractNum w:abstractNumId="602">
    <w:nsid w:val="5D86CF11"/>
    <w:multiLevelType w:val="hybridMultilevel"/>
    <w:lvl w:ilvl="0">
      <w:lvlJc w:val="left"/>
      <w:lvlText w:val="①"/>
      <w:numFmt w:val="bullet"/>
      <w:start w:val="1"/>
    </w:lvl>
  </w:abstractNum>
  <w:abstractNum w:abstractNumId="603">
    <w:nsid w:val="69EF4674"/>
    <w:multiLevelType w:val="hybridMultilevel"/>
    <w:lvl w:ilvl="0">
      <w:lvlJc w:val="left"/>
      <w:lvlText w:val="②"/>
      <w:numFmt w:val="bullet"/>
      <w:start w:val="1"/>
    </w:lvl>
  </w:abstractNum>
  <w:abstractNum w:abstractNumId="604">
    <w:nsid w:val="68ABEFB0"/>
    <w:multiLevelType w:val="hybridMultilevel"/>
    <w:lvl w:ilvl="0">
      <w:lvlJc w:val="left"/>
      <w:lvlText w:val="①"/>
      <w:numFmt w:val="bullet"/>
      <w:start w:val="1"/>
    </w:lvl>
  </w:abstractNum>
  <w:abstractNum w:abstractNumId="605">
    <w:nsid w:val="326C3C76"/>
    <w:multiLevelType w:val="hybridMultilevel"/>
    <w:lvl w:ilvl="0">
      <w:lvlJc w:val="left"/>
      <w:lvlText w:val="②"/>
      <w:numFmt w:val="bullet"/>
      <w:start w:val="1"/>
    </w:lvl>
  </w:abstractNum>
  <w:abstractNum w:abstractNumId="606">
    <w:nsid w:val="58A36FCA"/>
    <w:multiLevelType w:val="hybridMultilevel"/>
    <w:lvl w:ilvl="0">
      <w:lvlJc w:val="left"/>
      <w:lvlText w:val="①"/>
      <w:numFmt w:val="bullet"/>
      <w:start w:val="1"/>
    </w:lvl>
  </w:abstractNum>
  <w:abstractNum w:abstractNumId="607">
    <w:nsid w:val="129B95F2"/>
    <w:multiLevelType w:val="hybridMultilevel"/>
    <w:lvl w:ilvl="0">
      <w:lvlJc w:val="left"/>
      <w:lvlText w:val="②"/>
      <w:numFmt w:val="bullet"/>
      <w:start w:val="1"/>
    </w:lvl>
  </w:abstractNum>
  <w:abstractNum w:abstractNumId="608">
    <w:nsid w:val="309FB9AB"/>
    <w:multiLevelType w:val="hybridMultilevel"/>
    <w:lvl w:ilvl="0">
      <w:lvlJc w:val="left"/>
      <w:lvlText w:val="③"/>
      <w:numFmt w:val="bullet"/>
      <w:start w:val="1"/>
    </w:lvl>
  </w:abstractNum>
  <w:abstractNum w:abstractNumId="609">
    <w:nsid w:val="782FF375"/>
    <w:multiLevelType w:val="hybridMultilevel"/>
    <w:lvl w:ilvl="0">
      <w:lvlJc w:val="left"/>
      <w:lvlText w:val="④"/>
      <w:numFmt w:val="bullet"/>
      <w:start w:val="1"/>
    </w:lvl>
  </w:abstractNum>
  <w:abstractNum w:abstractNumId="610">
    <w:nsid w:val="2B8FA025"/>
    <w:multiLevelType w:val="hybridMultilevel"/>
    <w:lvl w:ilvl="0">
      <w:lvlJc w:val="left"/>
      <w:lvlText w:val="⑤"/>
      <w:numFmt w:val="bullet"/>
      <w:start w:val="1"/>
    </w:lvl>
  </w:abstractNum>
  <w:abstractNum w:abstractNumId="611">
    <w:nsid w:val="40F9991C"/>
    <w:multiLevelType w:val="hybridMultilevel"/>
    <w:lvl w:ilvl="0">
      <w:lvlJc w:val="left"/>
      <w:lvlText w:val="⑥"/>
      <w:numFmt w:val="bullet"/>
      <w:start w:val="1"/>
    </w:lvl>
  </w:abstractNum>
  <w:abstractNum w:abstractNumId="612">
    <w:nsid w:val="52192AD"/>
    <w:multiLevelType w:val="hybridMultilevel"/>
    <w:lvl w:ilvl="0">
      <w:lvlJc w:val="left"/>
      <w:lvlText w:val="⑦"/>
      <w:numFmt w:val="bullet"/>
      <w:start w:val="1"/>
    </w:lvl>
  </w:abstractNum>
  <w:abstractNum w:abstractNumId="613">
    <w:nsid w:val="7670D608"/>
    <w:multiLevelType w:val="hybridMultilevel"/>
    <w:lvl w:ilvl="0">
      <w:lvlJc w:val="left"/>
      <w:lvlText w:val="⑧"/>
      <w:numFmt w:val="bullet"/>
      <w:start w:val="1"/>
    </w:lvl>
  </w:abstractNum>
  <w:abstractNum w:abstractNumId="614">
    <w:nsid w:val="48B6B6EB"/>
    <w:multiLevelType w:val="hybridMultilevel"/>
    <w:lvl w:ilvl="0">
      <w:lvlJc w:val="left"/>
      <w:lvlText w:val="⑨"/>
      <w:numFmt w:val="bullet"/>
      <w:start w:val="1"/>
    </w:lvl>
  </w:abstractNum>
  <w:abstractNum w:abstractNumId="615">
    <w:nsid w:val="FB37489"/>
    <w:multiLevelType w:val="hybridMultilevel"/>
    <w:lvl w:ilvl="0">
      <w:lvlJc w:val="left"/>
      <w:lvlText w:val="⑩"/>
      <w:numFmt w:val="bullet"/>
      <w:start w:val="1"/>
    </w:lvl>
  </w:abstractNum>
  <w:abstractNum w:abstractNumId="616">
    <w:nsid w:val="8A75F95"/>
    <w:multiLevelType w:val="hybridMultilevel"/>
    <w:lvl w:ilvl="0">
      <w:lvlJc w:val="left"/>
      <w:lvlText w:val="⑪"/>
      <w:numFmt w:val="bullet"/>
      <w:start w:val="1"/>
    </w:lvl>
  </w:abstractNum>
  <w:abstractNum w:abstractNumId="617">
    <w:nsid w:val="2B27BF4D"/>
    <w:multiLevelType w:val="hybridMultilevel"/>
    <w:lvl w:ilvl="0">
      <w:lvlJc w:val="left"/>
      <w:lvlText w:val="(%1)"/>
      <w:numFmt w:val="decimal"/>
      <w:start w:val="1"/>
    </w:lvl>
  </w:abstractNum>
  <w:abstractNum w:abstractNumId="618">
    <w:nsid w:val="E5CBEB4"/>
    <w:multiLevelType w:val="hybridMultilevel"/>
    <w:lvl w:ilvl="0">
      <w:lvlJc w:val="left"/>
      <w:lvlText w:val="(%1)"/>
      <w:numFmt w:val="decimal"/>
      <w:start w:val="1"/>
    </w:lvl>
  </w:abstractNum>
  <w:abstractNum w:abstractNumId="619">
    <w:nsid w:val="297BFD38"/>
    <w:multiLevelType w:val="hybridMultilevel"/>
    <w:lvl w:ilvl="0">
      <w:lvlJc w:val="left"/>
      <w:lvlText w:val="(%1)"/>
      <w:numFmt w:val="decimal"/>
      <w:start w:val="1"/>
    </w:lvl>
  </w:abstractNum>
  <w:abstractNum w:abstractNumId="620">
    <w:nsid w:val="D9A50ED"/>
    <w:multiLevelType w:val="hybridMultilevel"/>
    <w:lvl w:ilvl="0">
      <w:lvlJc w:val="left"/>
      <w:lvlText w:val="(%1)"/>
      <w:numFmt w:val="decimal"/>
      <w:start w:val="1"/>
    </w:lvl>
  </w:abstractNum>
  <w:abstractNum w:abstractNumId="621">
    <w:nsid w:val="20DAABD1"/>
    <w:multiLevelType w:val="hybridMultilevel"/>
    <w:lvl w:ilvl="0">
      <w:lvlJc w:val="left"/>
      <w:lvlText w:val="(%1)"/>
      <w:numFmt w:val="decimal"/>
      <w:start w:val="9"/>
    </w:lvl>
  </w:abstractNum>
  <w:abstractNum w:abstractNumId="622">
    <w:nsid w:val="71B563E3"/>
    <w:multiLevelType w:val="hybridMultilevel"/>
    <w:lvl w:ilvl="0">
      <w:lvlJc w:val="left"/>
      <w:lvlText w:val="(%1)"/>
      <w:numFmt w:val="decimal"/>
      <w:start w:val="1"/>
    </w:lvl>
  </w:abstractNum>
  <w:abstractNum w:abstractNumId="623">
    <w:nsid w:val="741A191E"/>
    <w:multiLevelType w:val="hybridMultilevel"/>
    <w:lvl w:ilvl="0">
      <w:lvlJc w:val="left"/>
      <w:lvlText w:val="(%1)"/>
      <w:numFmt w:val="decimal"/>
      <w:start w:val="1"/>
    </w:lvl>
  </w:abstractNum>
  <w:abstractNum w:abstractNumId="624">
    <w:nsid w:val="55886153"/>
    <w:multiLevelType w:val="hybridMultilevel"/>
    <w:lvl w:ilvl="0">
      <w:lvlJc w:val="left"/>
      <w:lvlText w:val="(%1)"/>
      <w:numFmt w:val="decimal"/>
      <w:start w:val="1"/>
    </w:lvl>
  </w:abstractNum>
  <w:abstractNum w:abstractNumId="625">
    <w:nsid w:val="3E6AF287"/>
    <w:multiLevelType w:val="hybridMultilevel"/>
    <w:lvl w:ilvl="0">
      <w:lvlJc w:val="left"/>
      <w:lvlText w:val="(%1)"/>
      <w:numFmt w:val="decimal"/>
      <w:start w:val="1"/>
    </w:lvl>
  </w:abstractNum>
  <w:abstractNum w:abstractNumId="626">
    <w:nsid w:val="2D7CB919"/>
    <w:multiLevelType w:val="hybridMultilevel"/>
    <w:lvl w:ilvl="0">
      <w:lvlJc w:val="left"/>
      <w:lvlText w:val="%1."/>
      <w:numFmt w:val="decimal"/>
      <w:start w:val="1"/>
    </w:lvl>
  </w:abstractNum>
  <w:abstractNum w:abstractNumId="627">
    <w:nsid w:val="4781AC2F"/>
    <w:multiLevelType w:val="hybridMultilevel"/>
    <w:lvl w:ilvl="0">
      <w:lvlJc w:val="left"/>
      <w:lvlText w:val="%1."/>
      <w:numFmt w:val="decimal"/>
      <w:start w:val="1"/>
    </w:lvl>
  </w:abstractNum>
  <w:abstractNum w:abstractNumId="628">
    <w:nsid w:val="666AA3E1"/>
    <w:multiLevelType w:val="hybridMultilevel"/>
    <w:lvl w:ilvl="0">
      <w:lvlJc w:val="left"/>
      <w:lvlText w:val="(%1)"/>
      <w:numFmt w:val="decimal"/>
      <w:start w:val="1"/>
    </w:lvl>
  </w:abstractNum>
  <w:abstractNum w:abstractNumId="629">
    <w:nsid w:val="32089E8C"/>
    <w:multiLevelType w:val="hybridMultilevel"/>
    <w:lvl w:ilvl="0">
      <w:lvlJc w:val="left"/>
      <w:lvlText w:val="①"/>
      <w:numFmt w:val="bullet"/>
      <w:start w:val="1"/>
    </w:lvl>
  </w:abstractNum>
  <w:abstractNum w:abstractNumId="630">
    <w:nsid w:val="5BAC6C9C"/>
    <w:multiLevelType w:val="hybridMultilevel"/>
    <w:lvl w:ilvl="0">
      <w:lvlJc w:val="left"/>
      <w:lvlText w:val="②"/>
      <w:numFmt w:val="bullet"/>
      <w:start w:val="1"/>
    </w:lvl>
  </w:abstractNum>
  <w:abstractNum w:abstractNumId="631">
    <w:nsid w:val="460FE42B"/>
    <w:multiLevelType w:val="hybridMultilevel"/>
    <w:lvl w:ilvl="0">
      <w:lvlJc w:val="left"/>
      <w:lvlText w:val="(%1)"/>
      <w:numFmt w:val="decimal"/>
      <w:start w:val="2"/>
    </w:lvl>
  </w:abstractNum>
  <w:abstractNum w:abstractNumId="632">
    <w:nsid w:val="5EC714FC"/>
    <w:multiLevelType w:val="hybridMultilevel"/>
    <w:lvl w:ilvl="0">
      <w:lvlJc w:val="left"/>
      <w:lvlText w:val="(%1)"/>
      <w:numFmt w:val="decimal"/>
      <w:start w:val="3"/>
    </w:lvl>
  </w:abstractNum>
  <w:abstractNum w:abstractNumId="633">
    <w:nsid w:val="39333BAD"/>
    <w:multiLevelType w:val="hybridMultilevel"/>
    <w:lvl w:ilvl="0">
      <w:lvlJc w:val="left"/>
      <w:lvlText w:val="(%1)"/>
      <w:numFmt w:val="decimal"/>
      <w:start w:val="1"/>
    </w:lvl>
  </w:abstractNum>
  <w:abstractNum w:abstractNumId="634">
    <w:nsid w:val="2FFF2A9F"/>
    <w:multiLevelType w:val="hybridMultilevel"/>
    <w:lvl w:ilvl="0">
      <w:lvlJc w:val="left"/>
      <w:lvlText w:val="①"/>
      <w:numFmt w:val="bullet"/>
      <w:start w:val="1"/>
    </w:lvl>
  </w:abstractNum>
  <w:abstractNum w:abstractNumId="635">
    <w:nsid w:val="477304AC"/>
    <w:multiLevelType w:val="hybridMultilevel"/>
    <w:lvl w:ilvl="0">
      <w:lvlJc w:val="left"/>
      <w:lvlText w:val="②"/>
      <w:numFmt w:val="bullet"/>
      <w:start w:val="1"/>
    </w:lvl>
  </w:abstractNum>
  <w:abstractNum w:abstractNumId="636">
    <w:nsid w:val="6B9F7823"/>
    <w:multiLevelType w:val="hybridMultilevel"/>
    <w:lvl w:ilvl="0">
      <w:lvlJc w:val="left"/>
      <w:lvlText w:val="(%1)"/>
      <w:numFmt w:val="decimal"/>
      <w:start w:val="2"/>
    </w:lvl>
  </w:abstractNum>
  <w:abstractNum w:abstractNumId="637">
    <w:nsid w:val="8A29A69"/>
    <w:multiLevelType w:val="hybridMultilevel"/>
    <w:lvl w:ilvl="0">
      <w:lvlJc w:val="left"/>
      <w:lvlText w:val="①"/>
      <w:numFmt w:val="bullet"/>
      <w:start w:val="1"/>
    </w:lvl>
  </w:abstractNum>
  <w:abstractNum w:abstractNumId="638">
    <w:nsid w:val="5A0E9A9F"/>
    <w:multiLevelType w:val="hybridMultilevel"/>
    <w:lvl w:ilvl="0">
      <w:lvlJc w:val="left"/>
      <w:lvlText w:val="②"/>
      <w:numFmt w:val="bullet"/>
      <w:start w:val="1"/>
    </w:lvl>
  </w:abstractNum>
  <w:abstractNum w:abstractNumId="639">
    <w:nsid w:val="1C3F31CE"/>
    <w:multiLevelType w:val="hybridMultilevel"/>
    <w:lvl w:ilvl="0">
      <w:lvlJc w:val="left"/>
      <w:lvlText w:val="③"/>
      <w:numFmt w:val="bullet"/>
      <w:start w:val="1"/>
    </w:lvl>
  </w:abstractNum>
  <w:abstractNum w:abstractNumId="640">
    <w:nsid w:val="D28DDE"/>
    <w:multiLevelType w:val="hybridMultilevel"/>
    <w:lvl w:ilvl="0">
      <w:lvlJc w:val="left"/>
      <w:lvlText w:val="(%1)"/>
      <w:numFmt w:val="decimal"/>
      <w:start w:val="3"/>
    </w:lvl>
  </w:abstractNum>
  <w:abstractNum w:abstractNumId="641">
    <w:nsid w:val="59E3AC4"/>
    <w:multiLevelType w:val="hybridMultilevel"/>
    <w:lvl w:ilvl="0">
      <w:lvlJc w:val="left"/>
      <w:lvlText w:val="①"/>
      <w:numFmt w:val="bullet"/>
      <w:start w:val="1"/>
    </w:lvl>
  </w:abstractNum>
  <w:abstractNum w:abstractNumId="642">
    <w:nsid w:val="5D38CAEA"/>
    <w:multiLevelType w:val="hybridMultilevel"/>
    <w:lvl w:ilvl="0">
      <w:lvlJc w:val="left"/>
      <w:lvlText w:val="②"/>
      <w:numFmt w:val="bullet"/>
      <w:start w:val="1"/>
    </w:lvl>
  </w:abstractNum>
  <w:abstractNum w:abstractNumId="643">
    <w:nsid w:val="5F4208C"/>
    <w:multiLevelType w:val="hybridMultilevel"/>
    <w:lvl w:ilvl="0">
      <w:lvlJc w:val="left"/>
      <w:lvlText w:val="(%1)"/>
      <w:numFmt w:val="decimal"/>
      <w:start w:val="2"/>
    </w:lvl>
  </w:abstractNum>
  <w:abstractNum w:abstractNumId="644">
    <w:nsid w:val="7C0F10CC"/>
    <w:multiLevelType w:val="hybridMultilevel"/>
    <w:lvl w:ilvl="0">
      <w:lvlJc w:val="left"/>
      <w:lvlText w:val="%1."/>
      <w:numFmt w:val="decimal"/>
      <w:start w:val="4"/>
    </w:lvl>
  </w:abstractNum>
  <w:abstractNum w:abstractNumId="645">
    <w:nsid w:val="25EF81D5"/>
    <w:multiLevelType w:val="hybridMultilevel"/>
    <w:lvl w:ilvl="0">
      <w:lvlJc w:val="left"/>
      <w:lvlText w:val="%1."/>
      <w:numFmt w:val="decimal"/>
      <w:start w:val="4"/>
    </w:lvl>
  </w:abstractNum>
  <w:abstractNum w:abstractNumId="646">
    <w:nsid w:val="15A79515"/>
    <w:multiLevelType w:val="hybridMultilevel"/>
    <w:lvl w:ilvl="0">
      <w:lvlJc w:val="left"/>
      <w:lvlText w:val="(%1)"/>
      <w:numFmt w:val="decimal"/>
      <w:start w:val="1"/>
    </w:lvl>
  </w:abstractNum>
  <w:abstractNum w:abstractNumId="647">
    <w:nsid w:val="4B67062"/>
    <w:multiLevelType w:val="hybridMultilevel"/>
    <w:lvl w:ilvl="0">
      <w:lvlJc w:val="left"/>
      <w:lvlText w:val="(%1)"/>
      <w:numFmt w:val="decimal"/>
      <w:start w:val="4"/>
    </w:lvl>
  </w:abstractNum>
  <w:abstractNum w:abstractNumId="648">
    <w:nsid w:val="51174123"/>
    <w:multiLevelType w:val="hybridMultilevel"/>
    <w:lvl w:ilvl="0">
      <w:lvlJc w:val="left"/>
      <w:lvlText w:val="(%1)"/>
      <w:numFmt w:val="decimal"/>
      <w:start w:val="3"/>
    </w:lvl>
  </w:abstractNum>
  <w:abstractNum w:abstractNumId="649">
    <w:nsid w:val="240453CA"/>
    <w:multiLevelType w:val="hybridMultilevel"/>
    <w:lvl w:ilvl="0">
      <w:lvlJc w:val="left"/>
      <w:lvlText w:val="%1."/>
      <w:numFmt w:val="decimal"/>
      <w:start w:val="4"/>
    </w:lvl>
  </w:abstractNum>
  <w:abstractNum w:abstractNumId="650">
    <w:nsid w:val="2E326D9A"/>
    <w:multiLevelType w:val="hybridMultilevel"/>
    <w:lvl w:ilvl="0">
      <w:lvlJc w:val="left"/>
      <w:lvlText w:val="%1."/>
      <w:numFmt w:val="decimal"/>
      <w:start w:val="6"/>
    </w:lvl>
  </w:abstractNum>
  <w:abstractNum w:abstractNumId="651">
    <w:nsid w:val="5EB19210"/>
    <w:multiLevelType w:val="hybridMultilevel"/>
    <w:lvl w:ilvl="0">
      <w:lvlJc w:val="left"/>
      <w:lvlText w:val="①"/>
      <w:numFmt w:val="bullet"/>
      <w:start w:val="1"/>
    </w:lvl>
  </w:abstractNum>
  <w:abstractNum w:abstractNumId="652">
    <w:nsid w:val="44DEFF9B"/>
    <w:multiLevelType w:val="hybridMultilevel"/>
    <w:lvl w:ilvl="0">
      <w:lvlJc w:val="left"/>
      <w:lvlText w:val="②"/>
      <w:numFmt w:val="bullet"/>
      <w:start w:val="1"/>
    </w:lvl>
  </w:abstractNum>
  <w:abstractNum w:abstractNumId="653">
    <w:nsid w:val="1FE7D17D"/>
    <w:multiLevelType w:val="hybridMultilevel"/>
    <w:lvl w:ilvl="0">
      <w:lvlJc w:val="left"/>
      <w:lvlText w:val="①"/>
      <w:numFmt w:val="bullet"/>
      <w:start w:val="1"/>
    </w:lvl>
  </w:abstractNum>
  <w:abstractNum w:abstractNumId="654">
    <w:nsid w:val="52CBAB2E"/>
    <w:multiLevelType w:val="hybridMultilevel"/>
    <w:lvl w:ilvl="0">
      <w:lvlJc w:val="left"/>
      <w:lvlText w:val="③"/>
      <w:numFmt w:val="bullet"/>
      <w:start w:val="1"/>
    </w:lvl>
  </w:abstractNum>
  <w:abstractNum w:abstractNumId="655">
    <w:nsid w:val="1A6760EF"/>
    <w:multiLevelType w:val="hybridMultilevel"/>
    <w:lvl w:ilvl="0">
      <w:lvlJc w:val="left"/>
      <w:lvlText w:val="④"/>
      <w:numFmt w:val="bullet"/>
      <w:start w:val="1"/>
    </w:lvl>
  </w:abstractNum>
  <w:abstractNum w:abstractNumId="656">
    <w:nsid w:val="5E52C405"/>
    <w:multiLevelType w:val="hybridMultilevel"/>
    <w:lvl w:ilvl="0">
      <w:lvlJc w:val="left"/>
      <w:lvlText w:val="①"/>
      <w:numFmt w:val="bullet"/>
      <w:start w:val="1"/>
    </w:lvl>
  </w:abstractNum>
  <w:abstractNum w:abstractNumId="657">
    <w:nsid w:val="486447"/>
    <w:multiLevelType w:val="hybridMultilevel"/>
    <w:lvl w:ilvl="0">
      <w:lvlJc w:val="left"/>
      <w:lvlText w:val="②"/>
      <w:numFmt w:val="bullet"/>
      <w:start w:val="1"/>
    </w:lvl>
  </w:abstractNum>
  <w:abstractNum w:abstractNumId="658">
    <w:nsid w:val="61E90D1E"/>
    <w:multiLevelType w:val="hybridMultilevel"/>
    <w:lvl w:ilvl="0">
      <w:lvlJc w:val="left"/>
      <w:lvlText w:val="③"/>
      <w:numFmt w:val="bullet"/>
      <w:start w:val="1"/>
    </w:lvl>
  </w:abstractNum>
  <w:abstractNum w:abstractNumId="659">
    <w:nsid w:val="44BD67E6"/>
    <w:multiLevelType w:val="hybridMultilevel"/>
    <w:lvl w:ilvl="0">
      <w:lvlJc w:val="left"/>
      <w:lvlText w:val="%1."/>
      <w:numFmt w:val="decimal"/>
      <w:start w:val="1"/>
    </w:lvl>
  </w:abstractNum>
  <w:abstractNum w:abstractNumId="660">
    <w:nsid w:val="325102D3"/>
    <w:multiLevelType w:val="hybridMultilevel"/>
    <w:lvl w:ilvl="0">
      <w:lvlJc w:val="left"/>
      <w:lvlText w:val="%1."/>
      <w:numFmt w:val="decimal"/>
      <w:start w:val="4"/>
    </w:lvl>
  </w:abstractNum>
  <w:abstractNum w:abstractNumId="661">
    <w:nsid w:val="3D9579BA"/>
    <w:multiLevelType w:val="hybridMultilevel"/>
    <w:lvl w:ilvl="0">
      <w:lvlJc w:val="left"/>
      <w:lvlText w:val="(%1)"/>
      <w:numFmt w:val="decimal"/>
      <w:start w:val="1"/>
    </w:lvl>
  </w:abstractNum>
  <w:abstractNum w:abstractNumId="662">
    <w:nsid w:val="ACD4C11"/>
    <w:multiLevelType w:val="hybridMultilevel"/>
    <w:lvl w:ilvl="0">
      <w:lvlJc w:val="left"/>
      <w:lvlText w:val="①"/>
      <w:numFmt w:val="bullet"/>
      <w:start w:val="1"/>
    </w:lvl>
  </w:abstractNum>
  <w:abstractNum w:abstractNumId="663">
    <w:nsid w:val="111817CF"/>
    <w:multiLevelType w:val="hybridMultilevel"/>
    <w:lvl w:ilvl="0">
      <w:lvlJc w:val="left"/>
      <w:lvlText w:val="②"/>
      <w:numFmt w:val="bullet"/>
      <w:start w:val="1"/>
    </w:lvl>
  </w:abstractNum>
  <w:abstractNum w:abstractNumId="664">
    <w:nsid w:val="76C8B568"/>
    <w:multiLevelType w:val="hybridMultilevel"/>
    <w:lvl w:ilvl="0">
      <w:lvlJc w:val="left"/>
      <w:lvlText w:val="(%1)"/>
      <w:numFmt w:val="decimal"/>
      <w:start w:val="2"/>
    </w:lvl>
  </w:abstractNum>
  <w:abstractNum w:abstractNumId="665">
    <w:nsid w:val="3ACC76B1"/>
    <w:multiLevelType w:val="hybridMultilevel"/>
    <w:lvl w:ilvl="0">
      <w:lvlJc w:val="left"/>
      <w:lvlText w:val="%1."/>
      <w:numFmt w:val="decimal"/>
      <w:start w:val="1"/>
    </w:lvl>
  </w:abstractNum>
  <w:abstractNum w:abstractNumId="666">
    <w:nsid w:val="588B1C7C"/>
    <w:multiLevelType w:val="hybridMultilevel"/>
    <w:lvl w:ilvl="0">
      <w:lvlJc w:val="left"/>
      <w:lvlText w:val="%1."/>
      <w:numFmt w:val="decimal"/>
      <w:start w:val="2"/>
    </w:lvl>
  </w:abstractNum>
  <w:abstractNum w:abstractNumId="667">
    <w:nsid w:val="62682D8B"/>
    <w:multiLevelType w:val="hybridMultilevel"/>
    <w:lvl w:ilvl="0">
      <w:lvlJc w:val="left"/>
      <w:lvlText w:val="%1."/>
      <w:numFmt w:val="decimal"/>
      <w:start w:val="7"/>
    </w:lvl>
  </w:abstractNum>
  <w:abstractNum w:abstractNumId="668">
    <w:nsid w:val="436F111A"/>
    <w:multiLevelType w:val="hybridMultilevel"/>
    <w:lvl w:ilvl="0">
      <w:lvlJc w:val="left"/>
      <w:lvlText w:val="%1."/>
      <w:numFmt w:val="decimal"/>
      <w:start w:val="1"/>
    </w:lvl>
  </w:abstractNum>
  <w:abstractNum w:abstractNumId="669">
    <w:nsid w:val="3299B71B"/>
    <w:multiLevelType w:val="hybridMultilevel"/>
    <w:lvl w:ilvl="0">
      <w:lvlJc w:val="left"/>
      <w:lvlText w:val="%1."/>
      <w:numFmt w:val="decimal"/>
      <w:start w:val="3"/>
    </w:lvl>
  </w:abstractNum>
  <w:abstractNum w:abstractNumId="670">
    <w:nsid w:val="7EA75F5A"/>
    <w:multiLevelType w:val="hybridMultilevel"/>
    <w:lvl w:ilvl="0">
      <w:lvlJc w:val="left"/>
      <w:lvlText w:val="(%1)"/>
      <w:numFmt w:val="decimal"/>
      <w:start w:val="1"/>
    </w:lvl>
  </w:abstractNum>
  <w:abstractNum w:abstractNumId="671">
    <w:nsid w:val="44419EF9"/>
    <w:multiLevelType w:val="hybridMultilevel"/>
    <w:lvl w:ilvl="0">
      <w:lvlJc w:val="left"/>
      <w:lvlText w:val="%1."/>
      <w:numFmt w:val="decimal"/>
      <w:start w:val="8"/>
    </w:lvl>
  </w:abstractNum>
  <w:abstractNum w:abstractNumId="672">
    <w:nsid w:val="3837F1DF"/>
    <w:multiLevelType w:val="hybridMultilevel"/>
    <w:lvl w:ilvl="0">
      <w:lvlJc w:val="left"/>
      <w:lvlText w:val="%1."/>
      <w:numFmt w:val="decimal"/>
      <w:start w:val="9"/>
    </w:lvl>
  </w:abstractNum>
  <w:abstractNum w:abstractNumId="673">
    <w:nsid w:val="5BE02A44"/>
    <w:multiLevelType w:val="hybridMultilevel"/>
    <w:lvl w:ilvl="0">
      <w:lvlJc w:val="left"/>
      <w:lvlText w:val="%1."/>
      <w:numFmt w:val="decimal"/>
      <w:start w:val="10"/>
    </w:lvl>
  </w:abstractNum>
  <w:abstractNum w:abstractNumId="674">
    <w:nsid w:val="4A35BF85"/>
    <w:multiLevelType w:val="hybridMultilevel"/>
    <w:lvl w:ilvl="0">
      <w:lvlJc w:val="left"/>
      <w:lvlText w:val="%1."/>
      <w:numFmt w:val="decimal"/>
      <w:start w:val="1"/>
    </w:lvl>
  </w:abstractNum>
  <w:abstractNum w:abstractNumId="675">
    <w:nsid w:val="344702AC"/>
    <w:multiLevelType w:val="hybridMultilevel"/>
    <w:lvl w:ilvl="0">
      <w:lvlJc w:val="left"/>
      <w:lvlText w:val="%1."/>
      <w:numFmt w:val="decimal"/>
      <w:start w:val="5"/>
    </w:lvl>
  </w:abstractNum>
  <w:abstractNum w:abstractNumId="676">
    <w:nsid w:val="1CFAC1A"/>
    <w:multiLevelType w:val="hybridMultilevel"/>
    <w:lvl w:ilvl="0">
      <w:lvlJc w:val="left"/>
      <w:lvlText w:val="%1."/>
      <w:numFmt w:val="decimal"/>
      <w:start w:val="9"/>
    </w:lvl>
  </w:abstractNum>
  <w:abstractNum w:abstractNumId="677">
    <w:nsid w:val="5FDD549A"/>
    <w:multiLevelType w:val="hybridMultilevel"/>
    <w:lvl w:ilvl="0">
      <w:lvlJc w:val="left"/>
      <w:lvlText w:val="%1."/>
      <w:numFmt w:val="decimal"/>
      <w:start w:val="11"/>
    </w:lvl>
  </w:abstractNum>
  <w:abstractNum w:abstractNumId="678">
    <w:nsid w:val="38FD730E"/>
    <w:multiLevelType w:val="hybridMultilevel"/>
    <w:lvl w:ilvl="0">
      <w:lvlJc w:val="left"/>
      <w:lvlText w:val="(%1)"/>
      <w:numFmt w:val="decimal"/>
      <w:start w:val="1"/>
    </w:lvl>
  </w:abstractNum>
  <w:abstractNum w:abstractNumId="679">
    <w:nsid w:val="52E6ED3D"/>
    <w:multiLevelType w:val="hybridMultilevel"/>
    <w:lvl w:ilvl="0">
      <w:lvlJc w:val="left"/>
      <w:lvlText w:val="(%1)"/>
      <w:numFmt w:val="decimal"/>
      <w:start w:val="1"/>
    </w:lvl>
  </w:abstractNum>
  <w:abstractNum w:abstractNumId="680">
    <w:nsid w:val="3E1A864"/>
    <w:multiLevelType w:val="hybridMultilevel"/>
    <w:lvl w:ilvl="0">
      <w:lvlJc w:val="left"/>
      <w:lvlText w:val="%1."/>
      <w:numFmt w:val="decimal"/>
      <w:start w:val="1"/>
    </w:lvl>
  </w:abstractNum>
  <w:abstractNum w:abstractNumId="681">
    <w:nsid w:val="672FE0A8"/>
    <w:multiLevelType w:val="hybridMultilevel"/>
    <w:lvl w:ilvl="0">
      <w:lvlJc w:val="left"/>
      <w:lvlText w:val="(%1)"/>
      <w:numFmt w:val="decimal"/>
      <w:start w:val="1"/>
    </w:lvl>
  </w:abstractNum>
  <w:abstractNum w:abstractNumId="682">
    <w:nsid w:val="31987F4D"/>
    <w:multiLevelType w:val="hybridMultilevel"/>
    <w:lvl w:ilvl="0">
      <w:lvlJc w:val="left"/>
      <w:lvlText w:val="(%1)"/>
      <w:numFmt w:val="decimal"/>
      <w:start w:val="10"/>
    </w:lvl>
  </w:abstractNum>
  <w:abstractNum w:abstractNumId="683">
    <w:nsid w:val="48C0A800"/>
    <w:multiLevelType w:val="hybridMultilevel"/>
    <w:lvl w:ilvl="0">
      <w:lvlJc w:val="left"/>
      <w:lvlText w:val="①"/>
      <w:numFmt w:val="bullet"/>
      <w:start w:val="1"/>
    </w:lvl>
  </w:abstractNum>
  <w:abstractNum w:abstractNumId="684">
    <w:nsid w:val="717B226"/>
    <w:multiLevelType w:val="hybridMultilevel"/>
    <w:lvl w:ilvl="0">
      <w:lvlJc w:val="left"/>
      <w:lvlText w:val="②"/>
      <w:numFmt w:val="bullet"/>
      <w:start w:val="1"/>
    </w:lvl>
  </w:abstractNum>
  <w:abstractNum w:abstractNumId="685">
    <w:nsid w:val="4642A7B"/>
    <w:multiLevelType w:val="hybridMultilevel"/>
    <w:lvl w:ilvl="0">
      <w:lvlJc w:val="left"/>
      <w:lvlText w:val="(%1)"/>
      <w:numFmt w:val="decimal"/>
      <w:start w:val="14"/>
    </w:lvl>
  </w:abstractNum>
  <w:abstractNum w:abstractNumId="686">
    <w:nsid w:val="632808EF"/>
    <w:multiLevelType w:val="hybridMultilevel"/>
    <w:lvl w:ilvl="0">
      <w:lvlJc w:val="left"/>
      <w:lvlText w:val="(%1)"/>
      <w:numFmt w:val="decimal"/>
      <w:start w:val="20"/>
    </w:lvl>
  </w:abstractNum>
  <w:abstractNum w:abstractNumId="687">
    <w:nsid w:val="656A762B"/>
    <w:multiLevelType w:val="hybridMultilevel"/>
    <w:lvl w:ilvl="0">
      <w:lvlJc w:val="left"/>
      <w:lvlText w:val="(%1)"/>
      <w:numFmt w:val="decimal"/>
      <w:start w:val="1"/>
    </w:lvl>
  </w:abstractNum>
  <w:abstractNum w:abstractNumId="688">
    <w:nsid w:val="4AC8EC3"/>
    <w:multiLevelType w:val="hybridMultilevel"/>
    <w:lvl w:ilvl="0">
      <w:lvlJc w:val="left"/>
      <w:lvlText w:val="%1."/>
      <w:numFmt w:val="decimal"/>
      <w:start w:val="4"/>
    </w:lvl>
  </w:abstractNum>
  <w:abstractNum w:abstractNumId="689">
    <w:nsid w:val="4511160D"/>
    <w:multiLevelType w:val="hybridMultilevel"/>
    <w:lvl w:ilvl="0">
      <w:lvlJc w:val="left"/>
      <w:lvlText w:val="①"/>
      <w:numFmt w:val="bullet"/>
      <w:start w:val="1"/>
    </w:lvl>
  </w:abstractNum>
  <w:abstractNum w:abstractNumId="690">
    <w:nsid w:val="2A27DE11"/>
    <w:multiLevelType w:val="hybridMultilevel"/>
    <w:lvl w:ilvl="0">
      <w:lvlJc w:val="left"/>
      <w:lvlText w:val="②"/>
      <w:numFmt w:val="bullet"/>
      <w:start w:val="1"/>
    </w:lvl>
  </w:abstractNum>
  <w:abstractNum w:abstractNumId="691">
    <w:nsid w:val="36FD9196"/>
    <w:multiLevelType w:val="hybridMultilevel"/>
    <w:lvl w:ilvl="0">
      <w:lvlJc w:val="left"/>
      <w:lvlText w:val="%1."/>
      <w:numFmt w:val="decimal"/>
      <w:start w:val="5"/>
    </w:lvl>
  </w:abstractNum>
  <w:abstractNum w:abstractNumId="692">
    <w:nsid w:val="2A68FC8"/>
    <w:multiLevelType w:val="hybridMultilevel"/>
    <w:lvl w:ilvl="0">
      <w:lvlJc w:val="left"/>
      <w:lvlText w:val="①"/>
      <w:numFmt w:val="bullet"/>
      <w:start w:val="1"/>
    </w:lvl>
  </w:abstractNum>
  <w:abstractNum w:abstractNumId="693">
    <w:nsid w:val="34F52A23"/>
    <w:multiLevelType w:val="hybridMultilevel"/>
    <w:lvl w:ilvl="0">
      <w:lvlJc w:val="left"/>
      <w:lvlText w:val="②"/>
      <w:numFmt w:val="bullet"/>
      <w:start w:val="1"/>
    </w:lvl>
  </w:abstractNum>
  <w:abstractNum w:abstractNumId="694">
    <w:nsid w:val="4815A966"/>
    <w:multiLevelType w:val="hybridMultilevel"/>
    <w:lvl w:ilvl="0">
      <w:lvlJc w:val="left"/>
      <w:lvlText w:val="%1."/>
      <w:numFmt w:val="decimal"/>
      <w:start w:val="6"/>
    </w:lvl>
  </w:abstractNum>
  <w:abstractNum w:abstractNumId="695">
    <w:nsid w:val="796F4530"/>
    <w:multiLevelType w:val="hybridMultilevel"/>
    <w:lvl w:ilvl="0">
      <w:lvlJc w:val="left"/>
      <w:lvlText w:val="%1."/>
      <w:numFmt w:val="decimal"/>
      <w:start w:val="1"/>
    </w:lvl>
  </w:abstractNum>
  <w:abstractNum w:abstractNumId="696">
    <w:nsid w:val="6FC1A0D4"/>
    <w:multiLevelType w:val="hybridMultilevel"/>
    <w:lvl w:ilvl="0">
      <w:lvlJc w:val="left"/>
      <w:lvlText w:val="%1."/>
      <w:numFmt w:val="decimal"/>
      <w:start w:val="1"/>
    </w:lvl>
  </w:abstractNum>
  <w:abstractNum w:abstractNumId="697">
    <w:nsid w:val="20A0C5E2"/>
    <w:multiLevelType w:val="hybridMultilevel"/>
    <w:lvl w:ilvl="0">
      <w:lvlJc w:val="left"/>
      <w:lvlText w:val="%1."/>
      <w:numFmt w:val="decimal"/>
      <w:start w:val="1"/>
    </w:lvl>
  </w:abstractNum>
  <w:abstractNum w:abstractNumId="698">
    <w:nsid w:val="5BD772BB"/>
    <w:multiLevelType w:val="hybridMultilevel"/>
    <w:lvl w:ilvl="0">
      <w:lvlJc w:val="left"/>
      <w:lvlText w:val="%1."/>
      <w:numFmt w:val="decimal"/>
      <w:start w:val="2"/>
    </w:lvl>
  </w:abstractNum>
  <w:abstractNum w:abstractNumId="699">
    <w:nsid w:val="3330B1EE"/>
    <w:multiLevelType w:val="hybridMultilevel"/>
    <w:lvl w:ilvl="0">
      <w:lvlJc w:val="left"/>
      <w:lvlText w:val="①"/>
      <w:numFmt w:val="bullet"/>
      <w:start w:val="1"/>
    </w:lvl>
  </w:abstractNum>
  <w:abstractNum w:abstractNumId="700">
    <w:nsid w:val="533A7CFD"/>
    <w:multiLevelType w:val="hybridMultilevel"/>
    <w:lvl w:ilvl="0">
      <w:lvlJc w:val="left"/>
      <w:lvlText w:val="②"/>
      <w:numFmt w:val="bullet"/>
      <w:start w:val="1"/>
    </w:lvl>
  </w:abstractNum>
  <w:abstractNum w:abstractNumId="701">
    <w:nsid w:val="5A7ED215"/>
    <w:multiLevelType w:val="hybridMultilevel"/>
    <w:lvl w:ilvl="0">
      <w:lvlJc w:val="left"/>
      <w:lvlText w:val="③"/>
      <w:numFmt w:val="bullet"/>
      <w:start w:val="1"/>
    </w:lvl>
  </w:abstractNum>
  <w:abstractNum w:abstractNumId="702">
    <w:nsid w:val="777250E7"/>
    <w:multiLevelType w:val="hybridMultilevel"/>
    <w:lvl w:ilvl="0">
      <w:lvlJc w:val="left"/>
      <w:lvlText w:val="%1."/>
      <w:numFmt w:val="decimal"/>
      <w:start w:val="2"/>
    </w:lvl>
  </w:abstractNum>
  <w:abstractNum w:abstractNumId="703">
    <w:nsid w:val="B726EDC"/>
    <w:multiLevelType w:val="hybridMultilevel"/>
    <w:lvl w:ilvl="0">
      <w:lvlJc w:val="left"/>
      <w:lvlText w:val="%1."/>
      <w:numFmt w:val="decimal"/>
      <w:start w:val="2"/>
    </w:lvl>
  </w:abstractNum>
  <w:abstractNum w:abstractNumId="704">
    <w:nsid w:val="365EFC5A"/>
    <w:multiLevelType w:val="hybridMultilevel"/>
    <w:lvl w:ilvl="0">
      <w:lvlJc w:val="left"/>
      <w:lvlText w:val="%1."/>
      <w:numFmt w:val="decimal"/>
      <w:start w:val="3"/>
    </w:lvl>
  </w:abstractNum>
  <w:abstractNum w:abstractNumId="705">
    <w:nsid w:val="41A8106C"/>
    <w:multiLevelType w:val="hybridMultilevel"/>
    <w:lvl w:ilvl="0">
      <w:lvlJc w:val="left"/>
      <w:lvlText w:val="(%1)"/>
      <w:numFmt w:val="decimal"/>
      <w:start w:val="1"/>
    </w:lvl>
  </w:abstractNum>
  <w:abstractNum w:abstractNumId="706">
    <w:nsid w:val="3FB97188"/>
    <w:multiLevelType w:val="hybridMultilevel"/>
    <w:lvl w:ilvl="0">
      <w:lvlJc w:val="left"/>
      <w:lvlText w:val="%1."/>
      <w:numFmt w:val="decimal"/>
      <w:start w:val="4"/>
    </w:lvl>
  </w:abstractNum>
  <w:abstractNum w:abstractNumId="707">
    <w:nsid w:val="382EA874"/>
    <w:multiLevelType w:val="hybridMultilevel"/>
    <w:lvl w:ilvl="0">
      <w:lvlJc w:val="left"/>
      <w:lvlText w:val="%1."/>
      <w:numFmt w:val="decimal"/>
      <w:start w:val="1"/>
    </w:lvl>
  </w:abstractNum>
  <w:abstractNum w:abstractNumId="708">
    <w:nsid w:val="21856507"/>
    <w:multiLevelType w:val="hybridMultilevel"/>
    <w:lvl w:ilvl="0">
      <w:lvlJc w:val="left"/>
      <w:lvlText w:val="(%1)"/>
      <w:numFmt w:val="decimal"/>
      <w:start w:val="1"/>
    </w:lvl>
  </w:abstractNum>
  <w:abstractNum w:abstractNumId="709">
    <w:nsid w:val="78B6E496"/>
    <w:multiLevelType w:val="hybridMultilevel"/>
    <w:lvl w:ilvl="0">
      <w:lvlJc w:val="left"/>
      <w:lvlText w:val="%1."/>
      <w:numFmt w:val="decimal"/>
      <w:start w:val="1"/>
    </w:lvl>
    <w:lvl w:ilvl="1">
      <w:lvlJc w:val="left"/>
      <w:lvlText w:val="%2."/>
      <w:numFmt w:val="lowerLetter"/>
      <w:start w:val="1"/>
    </w:lvl>
  </w:abstractNum>
  <w:abstractNum w:abstractNumId="710">
    <w:nsid w:val="B1595B1"/>
    <w:multiLevelType w:val="hybridMultilevel"/>
    <w:lvl w:ilvl="0">
      <w:lvlJc w:val="left"/>
      <w:lvlText w:val="%1."/>
      <w:numFmt w:val="decimal"/>
      <w:start w:val="1"/>
    </w:lvl>
    <w:lvl w:ilvl="1">
      <w:lvlJc w:val="left"/>
      <w:lvlText w:val="%2."/>
      <w:numFmt w:val="lowerLetter"/>
      <w:start w:val="1"/>
    </w:lvl>
  </w:abstractNum>
  <w:abstractNum w:abstractNumId="711">
    <w:nsid w:val="25670D6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5" Type="http://schemas.openxmlformats.org/officeDocument/2006/relationships/image" Target="media/image327.png"/><Relationship Id="rId357" Type="http://schemas.openxmlformats.org/officeDocument/2006/relationships/image" Target="media/image328.png"/><Relationship Id="rId358" Type="http://schemas.openxmlformats.org/officeDocument/2006/relationships/image" Target="media/image329.png"/><Relationship Id="rId359" Type="http://schemas.openxmlformats.org/officeDocument/2006/relationships/image" Target="media/image330.png"/><Relationship Id="rId360" Type="http://schemas.openxmlformats.org/officeDocument/2006/relationships/image" Target="media/image331.png"/><Relationship Id="rId361" Type="http://schemas.openxmlformats.org/officeDocument/2006/relationships/image" Target="media/image332.png"/><Relationship Id="rId362" Type="http://schemas.openxmlformats.org/officeDocument/2006/relationships/image" Target="media/image333.png"/><Relationship Id="rId363" Type="http://schemas.openxmlformats.org/officeDocument/2006/relationships/image" Target="media/image334.png"/><Relationship Id="rId364" Type="http://schemas.openxmlformats.org/officeDocument/2006/relationships/image" Target="media/image335.png"/><Relationship Id="rId365" Type="http://schemas.openxmlformats.org/officeDocument/2006/relationships/image" Target="media/image336.png"/><Relationship Id="rId366" Type="http://schemas.openxmlformats.org/officeDocument/2006/relationships/image" Target="media/image337.png"/><Relationship Id="rId367" Type="http://schemas.openxmlformats.org/officeDocument/2006/relationships/image" Target="media/image338.png"/><Relationship Id="rId368" Type="http://schemas.openxmlformats.org/officeDocument/2006/relationships/image" Target="media/image339.png"/><Relationship Id="rId369" Type="http://schemas.openxmlformats.org/officeDocument/2006/relationships/image" Target="media/image340.png"/><Relationship Id="rId370" Type="http://schemas.openxmlformats.org/officeDocument/2006/relationships/image" Target="media/image341.png"/><Relationship Id="rId371" Type="http://schemas.openxmlformats.org/officeDocument/2006/relationships/image" Target="media/image342.png"/><Relationship Id="rId372" Type="http://schemas.openxmlformats.org/officeDocument/2006/relationships/image" Target="media/image343.png"/><Relationship Id="rId373" Type="http://schemas.openxmlformats.org/officeDocument/2006/relationships/image" Target="media/image344.png"/><Relationship Id="rId374" Type="http://schemas.openxmlformats.org/officeDocument/2006/relationships/image" Target="media/image345.png"/><Relationship Id="rId375" Type="http://schemas.openxmlformats.org/officeDocument/2006/relationships/image" Target="media/image346.png"/><Relationship Id="rId376" Type="http://schemas.openxmlformats.org/officeDocument/2006/relationships/image" Target="media/image347.png"/><Relationship Id="rId377" Type="http://schemas.openxmlformats.org/officeDocument/2006/relationships/image" Target="media/image348.png"/><Relationship Id="rId378" Type="http://schemas.openxmlformats.org/officeDocument/2006/relationships/image" Target="media/image349.png"/><Relationship Id="rId379" Type="http://schemas.openxmlformats.org/officeDocument/2006/relationships/image" Target="media/image350.png"/><Relationship Id="rId380" Type="http://schemas.openxmlformats.org/officeDocument/2006/relationships/image" Target="media/image351.png"/><Relationship Id="rId381" Type="http://schemas.openxmlformats.org/officeDocument/2006/relationships/image" Target="media/image352.png"/><Relationship Id="rId382"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6" Type="http://schemas.openxmlformats.org/officeDocument/2006/relationships/image" Target="media/image357.png"/><Relationship Id="rId387" Type="http://schemas.openxmlformats.org/officeDocument/2006/relationships/image" Target="media/image358.png"/><Relationship Id="rId388" Type="http://schemas.openxmlformats.org/officeDocument/2006/relationships/image" Target="media/image359.png"/><Relationship Id="rId389" Type="http://schemas.openxmlformats.org/officeDocument/2006/relationships/image" Target="media/image360.png"/><Relationship Id="rId390" Type="http://schemas.openxmlformats.org/officeDocument/2006/relationships/image" Target="media/image361.png"/><Relationship Id="rId391" Type="http://schemas.openxmlformats.org/officeDocument/2006/relationships/image" Target="media/image362.png"/><Relationship Id="rId392" Type="http://schemas.openxmlformats.org/officeDocument/2006/relationships/image" Target="media/image363.png"/><Relationship Id="rId393" Type="http://schemas.openxmlformats.org/officeDocument/2006/relationships/image" Target="media/image364.png"/><Relationship Id="rId394" Type="http://schemas.openxmlformats.org/officeDocument/2006/relationships/image" Target="media/image365.png"/><Relationship Id="rId395" Type="http://schemas.openxmlformats.org/officeDocument/2006/relationships/image" Target="media/image366.png"/><Relationship Id="rId396" Type="http://schemas.openxmlformats.org/officeDocument/2006/relationships/image" Target="media/image367.png"/><Relationship Id="rId397" Type="http://schemas.openxmlformats.org/officeDocument/2006/relationships/image" Target="media/image368.png"/><Relationship Id="rId398" Type="http://schemas.openxmlformats.org/officeDocument/2006/relationships/image" Target="media/image369.png"/><Relationship Id="rId399" Type="http://schemas.openxmlformats.org/officeDocument/2006/relationships/image" Target="media/image370.png"/><Relationship Id="rId400" Type="http://schemas.openxmlformats.org/officeDocument/2006/relationships/image" Target="media/image371.png"/><Relationship Id="rId401" Type="http://schemas.openxmlformats.org/officeDocument/2006/relationships/image" Target="media/image372.png"/><Relationship Id="rId402" Type="http://schemas.openxmlformats.org/officeDocument/2006/relationships/image" Target="media/image373.png"/><Relationship Id="rId403" Type="http://schemas.openxmlformats.org/officeDocument/2006/relationships/image" Target="media/image374.png"/><Relationship Id="rId404" Type="http://schemas.openxmlformats.org/officeDocument/2006/relationships/image" Target="media/image375.png"/><Relationship Id="rId405" Type="http://schemas.openxmlformats.org/officeDocument/2006/relationships/image" Target="media/image376.png"/><Relationship Id="rId406" Type="http://schemas.openxmlformats.org/officeDocument/2006/relationships/image" Target="media/image377.png"/><Relationship Id="rId407" Type="http://schemas.openxmlformats.org/officeDocument/2006/relationships/image" Target="media/image378.png"/><Relationship Id="rId408" Type="http://schemas.openxmlformats.org/officeDocument/2006/relationships/image" Target="media/image379.png"/><Relationship Id="rId409" Type="http://schemas.openxmlformats.org/officeDocument/2006/relationships/image" Target="media/image380.png"/><Relationship Id="rId410" Type="http://schemas.openxmlformats.org/officeDocument/2006/relationships/image" Target="media/image381.png"/><Relationship Id="rId411" Type="http://schemas.openxmlformats.org/officeDocument/2006/relationships/image" Target="media/image382.png"/><Relationship Id="rId412" Type="http://schemas.openxmlformats.org/officeDocument/2006/relationships/image" Target="media/image383.png"/><Relationship Id="rId413" Type="http://schemas.openxmlformats.org/officeDocument/2006/relationships/image" Target="media/image384.png"/><Relationship Id="rId414" Type="http://schemas.openxmlformats.org/officeDocument/2006/relationships/image" Target="media/image385.png"/><Relationship Id="rId415" Type="http://schemas.openxmlformats.org/officeDocument/2006/relationships/image" Target="media/image386.png"/><Relationship Id="rId416" Type="http://schemas.openxmlformats.org/officeDocument/2006/relationships/image" Target="media/image387.jpeg"/><Relationship Id="rId417" Type="http://schemas.openxmlformats.org/officeDocument/2006/relationships/image" Target="media/image388.png"/><Relationship Id="rId418" Type="http://schemas.openxmlformats.org/officeDocument/2006/relationships/image" Target="media/image389.png"/><Relationship Id="rId419" Type="http://schemas.openxmlformats.org/officeDocument/2006/relationships/image" Target="media/image390.png"/><Relationship Id="rId420" Type="http://schemas.openxmlformats.org/officeDocument/2006/relationships/image" Target="media/image391.png"/><Relationship Id="rId421" Type="http://schemas.openxmlformats.org/officeDocument/2006/relationships/image" Target="media/image392.png"/><Relationship Id="rId422" Type="http://schemas.openxmlformats.org/officeDocument/2006/relationships/image" Target="media/image393.png"/><Relationship Id="rId423" Type="http://schemas.openxmlformats.org/officeDocument/2006/relationships/image" Target="media/image394.png"/><Relationship Id="rId424" Type="http://schemas.openxmlformats.org/officeDocument/2006/relationships/image" Target="media/image395.png"/><Relationship Id="rId425" Type="http://schemas.openxmlformats.org/officeDocument/2006/relationships/image" Target="media/image396.png"/><Relationship Id="rId426" Type="http://schemas.openxmlformats.org/officeDocument/2006/relationships/image" Target="media/image397.png"/><Relationship Id="rId427" Type="http://schemas.openxmlformats.org/officeDocument/2006/relationships/image" Target="media/image398.png"/><Relationship Id="rId428" Type="http://schemas.openxmlformats.org/officeDocument/2006/relationships/image" Target="media/image399.png"/><Relationship Id="rId429" Type="http://schemas.openxmlformats.org/officeDocument/2006/relationships/image" Target="media/image400.png"/><Relationship Id="rId430" Type="http://schemas.openxmlformats.org/officeDocument/2006/relationships/image" Target="media/image401.png"/><Relationship Id="rId431" Type="http://schemas.openxmlformats.org/officeDocument/2006/relationships/image" Target="media/image402.png"/><Relationship Id="rId432" Type="http://schemas.openxmlformats.org/officeDocument/2006/relationships/image" Target="media/image403.png"/><Relationship Id="rId433" Type="http://schemas.openxmlformats.org/officeDocument/2006/relationships/image" Target="media/image404.png"/><Relationship Id="rId434" Type="http://schemas.openxmlformats.org/officeDocument/2006/relationships/image" Target="media/image405.png"/><Relationship Id="rId435" Type="http://schemas.openxmlformats.org/officeDocument/2006/relationships/image" Target="media/image406.png"/><Relationship Id="rId436" Type="http://schemas.openxmlformats.org/officeDocument/2006/relationships/image" Target="media/image407.png"/><Relationship Id="rId437" Type="http://schemas.openxmlformats.org/officeDocument/2006/relationships/image" Target="media/image408.png"/><Relationship Id="rId438" Type="http://schemas.openxmlformats.org/officeDocument/2006/relationships/image" Target="media/image409.png"/><Relationship Id="rId439" Type="http://schemas.openxmlformats.org/officeDocument/2006/relationships/image" Target="media/image410.png"/><Relationship Id="rId440" Type="http://schemas.openxmlformats.org/officeDocument/2006/relationships/image" Target="media/image411.png"/><Relationship Id="rId441" Type="http://schemas.openxmlformats.org/officeDocument/2006/relationships/image" Target="media/image412.png"/><Relationship Id="rId442" Type="http://schemas.openxmlformats.org/officeDocument/2006/relationships/image" Target="media/image413.png"/><Relationship Id="rId443" Type="http://schemas.openxmlformats.org/officeDocument/2006/relationships/image" Target="media/image414.png"/><Relationship Id="rId444" Type="http://schemas.openxmlformats.org/officeDocument/2006/relationships/image" Target="media/image415.jpeg"/><Relationship Id="rId445" Type="http://schemas.openxmlformats.org/officeDocument/2006/relationships/image" Target="media/image416.png"/><Relationship Id="rId446" Type="http://schemas.openxmlformats.org/officeDocument/2006/relationships/image" Target="media/image417.jpeg"/><Relationship Id="rId447"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0" Type="http://schemas.openxmlformats.org/officeDocument/2006/relationships/image" Target="media/image421.jpeg"/><Relationship Id="rId451" Type="http://schemas.openxmlformats.org/officeDocument/2006/relationships/image" Target="media/image422.png"/><Relationship Id="rId452" Type="http://schemas.openxmlformats.org/officeDocument/2006/relationships/image" Target="media/image423.png"/><Relationship Id="rId453" Type="http://schemas.openxmlformats.org/officeDocument/2006/relationships/image" Target="media/image424.png"/><Relationship Id="rId454" Type="http://schemas.openxmlformats.org/officeDocument/2006/relationships/image" Target="media/image425.png"/><Relationship Id="rId455" Type="http://schemas.openxmlformats.org/officeDocument/2006/relationships/image" Target="media/image426.png"/><Relationship Id="rId456" Type="http://schemas.openxmlformats.org/officeDocument/2006/relationships/image" Target="media/image427.png"/><Relationship Id="rId457" Type="http://schemas.openxmlformats.org/officeDocument/2006/relationships/image" Target="media/image428.png"/><Relationship Id="rId458" Type="http://schemas.openxmlformats.org/officeDocument/2006/relationships/image" Target="media/image429.png"/><Relationship Id="rId459" Type="http://schemas.openxmlformats.org/officeDocument/2006/relationships/image" Target="media/image430.jpeg"/><Relationship Id="rId460" Type="http://schemas.openxmlformats.org/officeDocument/2006/relationships/image" Target="media/image431.png"/><Relationship Id="rId461" Type="http://schemas.openxmlformats.org/officeDocument/2006/relationships/image" Target="media/image432.png"/><Relationship Id="rId462" Type="http://schemas.openxmlformats.org/officeDocument/2006/relationships/image" Target="media/image433.png"/><Relationship Id="rId463" Type="http://schemas.openxmlformats.org/officeDocument/2006/relationships/image" Target="media/image434.png"/><Relationship Id="rId464"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jpeg"/><Relationship Id="rId467" Type="http://schemas.openxmlformats.org/officeDocument/2006/relationships/image" Target="media/image438.png"/><Relationship Id="rId468" Type="http://schemas.openxmlformats.org/officeDocument/2006/relationships/image" Target="media/image439.png"/><Relationship Id="rId469" Type="http://schemas.openxmlformats.org/officeDocument/2006/relationships/image" Target="media/image440.png"/><Relationship Id="rId470" Type="http://schemas.openxmlformats.org/officeDocument/2006/relationships/image" Target="media/image441.png"/><Relationship Id="rId471" Type="http://schemas.openxmlformats.org/officeDocument/2006/relationships/image" Target="media/image442.png"/><Relationship Id="rId472" Type="http://schemas.openxmlformats.org/officeDocument/2006/relationships/image" Target="media/image443.png"/><Relationship Id="rId473" Type="http://schemas.openxmlformats.org/officeDocument/2006/relationships/image" Target="media/image444.png"/><Relationship Id="rId474" Type="http://schemas.openxmlformats.org/officeDocument/2006/relationships/image" Target="media/image445.png"/><Relationship Id="rId475" Type="http://schemas.openxmlformats.org/officeDocument/2006/relationships/image" Target="media/image446.png"/><Relationship Id="rId476" Type="http://schemas.openxmlformats.org/officeDocument/2006/relationships/image" Target="media/image447.png"/><Relationship Id="rId477" Type="http://schemas.openxmlformats.org/officeDocument/2006/relationships/image" Target="media/image448.png"/><Relationship Id="rId478" Type="http://schemas.openxmlformats.org/officeDocument/2006/relationships/image" Target="media/image449.png"/><Relationship Id="rId479" Type="http://schemas.openxmlformats.org/officeDocument/2006/relationships/image" Target="media/image450.jpeg"/><Relationship Id="rId480" Type="http://schemas.openxmlformats.org/officeDocument/2006/relationships/image" Target="media/image451.png"/><Relationship Id="rId481" Type="http://schemas.openxmlformats.org/officeDocument/2006/relationships/image" Target="media/image452.png"/><Relationship Id="rId482" Type="http://schemas.openxmlformats.org/officeDocument/2006/relationships/image" Target="media/image453.png"/><Relationship Id="rId483" Type="http://schemas.openxmlformats.org/officeDocument/2006/relationships/image" Target="media/image454.png"/><Relationship Id="rId484" Type="http://schemas.openxmlformats.org/officeDocument/2006/relationships/image" Target="media/image455.jpeg"/><Relationship Id="rId485" Type="http://schemas.openxmlformats.org/officeDocument/2006/relationships/image" Target="media/image456.png"/><Relationship Id="rId486" Type="http://schemas.openxmlformats.org/officeDocument/2006/relationships/image" Target="media/image457.png"/><Relationship Id="rId487" Type="http://schemas.openxmlformats.org/officeDocument/2006/relationships/image" Target="media/image458.jpeg"/><Relationship Id="rId488" Type="http://schemas.openxmlformats.org/officeDocument/2006/relationships/image" Target="media/image459.png"/><Relationship Id="rId489" Type="http://schemas.openxmlformats.org/officeDocument/2006/relationships/image" Target="media/image460.png"/><Relationship Id="rId490" Type="http://schemas.openxmlformats.org/officeDocument/2006/relationships/image" Target="media/image461.jpeg"/><Relationship Id="rId491" Type="http://schemas.openxmlformats.org/officeDocument/2006/relationships/image" Target="media/image462.png"/><Relationship Id="rId492" Type="http://schemas.openxmlformats.org/officeDocument/2006/relationships/image" Target="media/image463.png"/><Relationship Id="rId493" Type="http://schemas.openxmlformats.org/officeDocument/2006/relationships/image" Target="media/image464.png"/><Relationship Id="rId494" Type="http://schemas.openxmlformats.org/officeDocument/2006/relationships/image" Target="media/image465.png"/><Relationship Id="rId495" Type="http://schemas.openxmlformats.org/officeDocument/2006/relationships/image" Target="media/image466.png"/><Relationship Id="rId496" Type="http://schemas.openxmlformats.org/officeDocument/2006/relationships/image" Target="media/image467.png"/><Relationship Id="rId497" Type="http://schemas.openxmlformats.org/officeDocument/2006/relationships/image" Target="media/image468.jpeg"/><Relationship Id="rId498" Type="http://schemas.openxmlformats.org/officeDocument/2006/relationships/image" Target="media/image469.png"/><Relationship Id="rId499" Type="http://schemas.openxmlformats.org/officeDocument/2006/relationships/image" Target="media/image470.png"/><Relationship Id="rId500" Type="http://schemas.openxmlformats.org/officeDocument/2006/relationships/image" Target="media/image471.jpeg"/><Relationship Id="rId501" Type="http://schemas.openxmlformats.org/officeDocument/2006/relationships/image" Target="media/image472.png"/><Relationship Id="rId502" Type="http://schemas.openxmlformats.org/officeDocument/2006/relationships/image" Target="media/image473.png"/><Relationship Id="rId503" Type="http://schemas.openxmlformats.org/officeDocument/2006/relationships/image" Target="media/image474.jpeg"/><Relationship Id="rId504"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7" Type="http://schemas.openxmlformats.org/officeDocument/2006/relationships/image" Target="media/image478.png"/><Relationship Id="rId508" Type="http://schemas.openxmlformats.org/officeDocument/2006/relationships/image" Target="media/image479.png"/><Relationship Id="rId509" Type="http://schemas.openxmlformats.org/officeDocument/2006/relationships/image" Target="media/image480.png"/><Relationship Id="rId510" Type="http://schemas.openxmlformats.org/officeDocument/2006/relationships/image" Target="media/image481.jpeg"/><Relationship Id="rId511" Type="http://schemas.openxmlformats.org/officeDocument/2006/relationships/image" Target="media/image482.png"/><Relationship Id="rId512" Type="http://schemas.openxmlformats.org/officeDocument/2006/relationships/image" Target="media/image483.png"/><Relationship Id="rId513" Type="http://schemas.openxmlformats.org/officeDocument/2006/relationships/image" Target="media/image484.jpeg"/><Relationship Id="rId514" Type="http://schemas.openxmlformats.org/officeDocument/2006/relationships/image" Target="media/image485.png"/><Relationship Id="rId515" Type="http://schemas.openxmlformats.org/officeDocument/2006/relationships/image" Target="media/image486.png"/><Relationship Id="rId516" Type="http://schemas.openxmlformats.org/officeDocument/2006/relationships/image" Target="media/image487.jpeg"/><Relationship Id="rId517" Type="http://schemas.openxmlformats.org/officeDocument/2006/relationships/image" Target="media/image488.png"/><Relationship Id="rId518" Type="http://schemas.openxmlformats.org/officeDocument/2006/relationships/image" Target="media/image489.png"/><Relationship Id="rId519" Type="http://schemas.openxmlformats.org/officeDocument/2006/relationships/image" Target="media/image490.png"/><Relationship Id="rId520" Type="http://schemas.openxmlformats.org/officeDocument/2006/relationships/image" Target="media/image491.png"/><Relationship Id="rId521" Type="http://schemas.openxmlformats.org/officeDocument/2006/relationships/image" Target="media/image492.png"/><Relationship Id="rId522" Type="http://schemas.openxmlformats.org/officeDocument/2006/relationships/image" Target="media/image493.png"/><Relationship Id="rId523" Type="http://schemas.openxmlformats.org/officeDocument/2006/relationships/image" Target="media/image494.png"/><Relationship Id="rId524"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jpe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jpeg"/><Relationship Id="rId531" Type="http://schemas.openxmlformats.org/officeDocument/2006/relationships/image" Target="media/image502.png"/><Relationship Id="rId532" Type="http://schemas.openxmlformats.org/officeDocument/2006/relationships/image" Target="media/image503.png"/><Relationship Id="rId533" Type="http://schemas.openxmlformats.org/officeDocument/2006/relationships/image" Target="media/image504.jpeg"/><Relationship Id="rId534" Type="http://schemas.openxmlformats.org/officeDocument/2006/relationships/image" Target="media/image505.png"/><Relationship Id="rId535" Type="http://schemas.openxmlformats.org/officeDocument/2006/relationships/image" Target="media/image506.png"/><Relationship Id="rId536" Type="http://schemas.openxmlformats.org/officeDocument/2006/relationships/image" Target="media/image507.jpeg"/><Relationship Id="rId537" Type="http://schemas.openxmlformats.org/officeDocument/2006/relationships/image" Target="media/image508.png"/><Relationship Id="rId538" Type="http://schemas.openxmlformats.org/officeDocument/2006/relationships/image" Target="media/image509.jpeg"/><Relationship Id="rId539" Type="http://schemas.openxmlformats.org/officeDocument/2006/relationships/image" Target="media/image510.jpeg"/><Relationship Id="rId540" Type="http://schemas.openxmlformats.org/officeDocument/2006/relationships/image" Target="media/image511.jpeg"/><Relationship Id="rId541" Type="http://schemas.openxmlformats.org/officeDocument/2006/relationships/image" Target="media/image512.jpeg"/><Relationship Id="rId542" Type="http://schemas.openxmlformats.org/officeDocument/2006/relationships/image" Target="media/image513.png"/><Relationship Id="rId543" Type="http://schemas.openxmlformats.org/officeDocument/2006/relationships/image" Target="media/image514.jpeg"/><Relationship Id="rId544" Type="http://schemas.openxmlformats.org/officeDocument/2006/relationships/image" Target="media/image515.png"/><Relationship Id="rId545" Type="http://schemas.openxmlformats.org/officeDocument/2006/relationships/image" Target="media/image516.png"/><Relationship Id="rId546" Type="http://schemas.openxmlformats.org/officeDocument/2006/relationships/image" Target="media/image517.png"/><Relationship Id="rId547" Type="http://schemas.openxmlformats.org/officeDocument/2006/relationships/image" Target="media/image518.png"/><Relationship Id="rId548" Type="http://schemas.openxmlformats.org/officeDocument/2006/relationships/image" Target="media/image519.png"/><Relationship Id="rId549" Type="http://schemas.openxmlformats.org/officeDocument/2006/relationships/image" Target="media/image520.png"/><Relationship Id="rId550" Type="http://schemas.openxmlformats.org/officeDocument/2006/relationships/image" Target="media/image521.png"/><Relationship Id="rId551" Type="http://schemas.openxmlformats.org/officeDocument/2006/relationships/image" Target="media/image522.png"/><Relationship Id="rId552" Type="http://schemas.openxmlformats.org/officeDocument/2006/relationships/image" Target="media/image523.png"/><Relationship Id="rId553" Type="http://schemas.openxmlformats.org/officeDocument/2006/relationships/image" Target="media/image524.png"/><Relationship Id="rId554" Type="http://schemas.openxmlformats.org/officeDocument/2006/relationships/image" Target="media/image525.png"/><Relationship Id="rId555" Type="http://schemas.openxmlformats.org/officeDocument/2006/relationships/image" Target="media/image526.png"/><Relationship Id="rId556" Type="http://schemas.openxmlformats.org/officeDocument/2006/relationships/image" Target="media/image527.png"/><Relationship Id="rId557" Type="http://schemas.openxmlformats.org/officeDocument/2006/relationships/image" Target="media/image528.png"/><Relationship Id="rId558" Type="http://schemas.openxmlformats.org/officeDocument/2006/relationships/image" Target="media/image529.png"/><Relationship Id="rId559" Type="http://schemas.openxmlformats.org/officeDocument/2006/relationships/image" Target="media/image530.png"/><Relationship Id="rId560" Type="http://schemas.openxmlformats.org/officeDocument/2006/relationships/image" Target="media/image531.png"/><Relationship Id="rId561" Type="http://schemas.openxmlformats.org/officeDocument/2006/relationships/image" Target="media/image532.png"/><Relationship Id="rId562" Type="http://schemas.openxmlformats.org/officeDocument/2006/relationships/image" Target="media/image533.jpeg"/><Relationship Id="rId563" Type="http://schemas.openxmlformats.org/officeDocument/2006/relationships/image" Target="media/image534.png"/><Relationship Id="rId564" Type="http://schemas.openxmlformats.org/officeDocument/2006/relationships/image" Target="media/image535.png"/><Relationship Id="rId565" Type="http://schemas.openxmlformats.org/officeDocument/2006/relationships/image" Target="media/image536.png"/><Relationship Id="rId566" Type="http://schemas.openxmlformats.org/officeDocument/2006/relationships/image" Target="media/image537.png"/><Relationship Id="rId567" Type="http://schemas.openxmlformats.org/officeDocument/2006/relationships/image" Target="media/image538.png"/><Relationship Id="rId568" Type="http://schemas.openxmlformats.org/officeDocument/2006/relationships/image" Target="media/image539.png"/><Relationship Id="rId569" Type="http://schemas.openxmlformats.org/officeDocument/2006/relationships/image" Target="media/image540.png"/><Relationship Id="rId570" Type="http://schemas.openxmlformats.org/officeDocument/2006/relationships/image" Target="media/image541.png"/><Relationship Id="rId571" Type="http://schemas.openxmlformats.org/officeDocument/2006/relationships/image" Target="media/image542.png"/><Relationship Id="rId572" Type="http://schemas.openxmlformats.org/officeDocument/2006/relationships/image" Target="media/image543.png"/><Relationship Id="rId573" Type="http://schemas.openxmlformats.org/officeDocument/2006/relationships/image" Target="media/image544.png"/><Relationship Id="rId574" Type="http://schemas.openxmlformats.org/officeDocument/2006/relationships/image" Target="media/image545.png"/><Relationship Id="rId575" Type="http://schemas.openxmlformats.org/officeDocument/2006/relationships/image" Target="media/image546.jpeg"/><Relationship Id="rId576" Type="http://schemas.openxmlformats.org/officeDocument/2006/relationships/image" Target="media/image547.jpeg"/><Relationship Id="rId577" Type="http://schemas.openxmlformats.org/officeDocument/2006/relationships/image" Target="media/image548.png"/><Relationship Id="rId578" Type="http://schemas.openxmlformats.org/officeDocument/2006/relationships/image" Target="media/image549.png"/><Relationship Id="rId579" Type="http://schemas.openxmlformats.org/officeDocument/2006/relationships/image" Target="media/image550.jpeg"/><Relationship Id="rId580" Type="http://schemas.openxmlformats.org/officeDocument/2006/relationships/image" Target="media/image551.png"/><Relationship Id="rId581" Type="http://schemas.openxmlformats.org/officeDocument/2006/relationships/image" Target="media/image552.png"/><Relationship Id="rId582" Type="http://schemas.openxmlformats.org/officeDocument/2006/relationships/image" Target="media/image553.jpeg"/><Relationship Id="rId583" Type="http://schemas.openxmlformats.org/officeDocument/2006/relationships/image" Target="media/image554.png"/><Relationship Id="rId584" Type="http://schemas.openxmlformats.org/officeDocument/2006/relationships/image" Target="media/image555.png"/><Relationship Id="rId585" Type="http://schemas.openxmlformats.org/officeDocument/2006/relationships/image" Target="media/image556.png"/><Relationship Id="rId586" Type="http://schemas.openxmlformats.org/officeDocument/2006/relationships/image" Target="media/image557.png"/><Relationship Id="rId587" Type="http://schemas.openxmlformats.org/officeDocument/2006/relationships/image" Target="media/image558.png"/><Relationship Id="rId588" Type="http://schemas.openxmlformats.org/officeDocument/2006/relationships/image" Target="media/image559.png"/><Relationship Id="rId589" Type="http://schemas.openxmlformats.org/officeDocument/2006/relationships/image" Target="media/image560.png"/><Relationship Id="rId590" Type="http://schemas.openxmlformats.org/officeDocument/2006/relationships/image" Target="media/image561.png"/><Relationship Id="rId591" Type="http://schemas.openxmlformats.org/officeDocument/2006/relationships/image" Target="media/image562.png"/><Relationship Id="rId592" Type="http://schemas.openxmlformats.org/officeDocument/2006/relationships/image" Target="media/image563.png"/><Relationship Id="rId593" Type="http://schemas.openxmlformats.org/officeDocument/2006/relationships/image" Target="media/image564.jpeg"/><Relationship Id="rId594" Type="http://schemas.openxmlformats.org/officeDocument/2006/relationships/image" Target="media/image565.png"/><Relationship Id="rId595" Type="http://schemas.openxmlformats.org/officeDocument/2006/relationships/image" Target="media/image566.png"/><Relationship Id="rId596" Type="http://schemas.openxmlformats.org/officeDocument/2006/relationships/image" Target="media/image567.jpeg"/><Relationship Id="rId597" Type="http://schemas.openxmlformats.org/officeDocument/2006/relationships/image" Target="media/image568.png"/><Relationship Id="rId598" Type="http://schemas.openxmlformats.org/officeDocument/2006/relationships/image" Target="media/image569.png"/><Relationship Id="rId599" Type="http://schemas.openxmlformats.org/officeDocument/2006/relationships/image" Target="media/image570.jpeg"/><Relationship Id="rId600" Type="http://schemas.openxmlformats.org/officeDocument/2006/relationships/image" Target="media/image571.png"/><Relationship Id="rId601" Type="http://schemas.openxmlformats.org/officeDocument/2006/relationships/image" Target="media/image572.png"/><Relationship Id="rId602" Type="http://schemas.openxmlformats.org/officeDocument/2006/relationships/image" Target="media/image573.jpeg"/><Relationship Id="rId603" Type="http://schemas.openxmlformats.org/officeDocument/2006/relationships/image" Target="media/image574.png"/><Relationship Id="rId604" Type="http://schemas.openxmlformats.org/officeDocument/2006/relationships/image" Target="media/image575.png"/><Relationship Id="rId605" Type="http://schemas.openxmlformats.org/officeDocument/2006/relationships/image" Target="media/image576.jpeg"/><Relationship Id="rId606" Type="http://schemas.openxmlformats.org/officeDocument/2006/relationships/image" Target="media/image577.png"/><Relationship Id="rId607" Type="http://schemas.openxmlformats.org/officeDocument/2006/relationships/image" Target="media/image578.png"/><Relationship Id="rId608" Type="http://schemas.openxmlformats.org/officeDocument/2006/relationships/image" Target="media/image579.png"/><Relationship Id="rId609" Type="http://schemas.openxmlformats.org/officeDocument/2006/relationships/image" Target="media/image580.png"/><Relationship Id="rId610" Type="http://schemas.openxmlformats.org/officeDocument/2006/relationships/image" Target="media/image581.png"/><Relationship Id="rId611" Type="http://schemas.openxmlformats.org/officeDocument/2006/relationships/image" Target="media/image582.png"/><Relationship Id="rId612" Type="http://schemas.openxmlformats.org/officeDocument/2006/relationships/image" Target="media/image583.png"/><Relationship Id="rId613" Type="http://schemas.openxmlformats.org/officeDocument/2006/relationships/image" Target="media/image584.png"/><Relationship Id="rId614" Type="http://schemas.openxmlformats.org/officeDocument/2006/relationships/image" Target="media/image585.png"/><Relationship Id="rId615" Type="http://schemas.openxmlformats.org/officeDocument/2006/relationships/image" Target="media/image586.png"/><Relationship Id="rId616" Type="http://schemas.openxmlformats.org/officeDocument/2006/relationships/image" Target="media/image587.png"/><Relationship Id="rId617" Type="http://schemas.openxmlformats.org/officeDocument/2006/relationships/image" Target="media/image588.png"/><Relationship Id="rId618" Type="http://schemas.openxmlformats.org/officeDocument/2006/relationships/image" Target="media/image589.jpeg"/><Relationship Id="rId619" Type="http://schemas.openxmlformats.org/officeDocument/2006/relationships/image" Target="media/image590.png"/><Relationship Id="rId620" Type="http://schemas.openxmlformats.org/officeDocument/2006/relationships/image" Target="media/image591.png"/><Relationship Id="rId621" Type="http://schemas.openxmlformats.org/officeDocument/2006/relationships/image" Target="media/image592.jpeg"/><Relationship Id="rId622" Type="http://schemas.openxmlformats.org/officeDocument/2006/relationships/image" Target="media/image593.png"/><Relationship Id="rId623" Type="http://schemas.openxmlformats.org/officeDocument/2006/relationships/image" Target="media/image594.png"/><Relationship Id="rId624" Type="http://schemas.openxmlformats.org/officeDocument/2006/relationships/image" Target="media/image595.jpeg"/><Relationship Id="rId625" Type="http://schemas.openxmlformats.org/officeDocument/2006/relationships/image" Target="media/image596.png"/><Relationship Id="rId626" Type="http://schemas.openxmlformats.org/officeDocument/2006/relationships/image" Target="media/image597.png"/><Relationship Id="rId627" Type="http://schemas.openxmlformats.org/officeDocument/2006/relationships/image" Target="media/image598.jpeg"/><Relationship Id="rId628" Type="http://schemas.openxmlformats.org/officeDocument/2006/relationships/image" Target="media/image599.png"/><Relationship Id="rId629" Type="http://schemas.openxmlformats.org/officeDocument/2006/relationships/image" Target="media/image600.png"/><Relationship Id="rId630" Type="http://schemas.openxmlformats.org/officeDocument/2006/relationships/image" Target="media/image601.jpeg"/><Relationship Id="rId631" Type="http://schemas.openxmlformats.org/officeDocument/2006/relationships/image" Target="media/image602.png"/><Relationship Id="rId632" Type="http://schemas.openxmlformats.org/officeDocument/2006/relationships/image" Target="media/image603.png"/><Relationship Id="rId633" Type="http://schemas.openxmlformats.org/officeDocument/2006/relationships/image" Target="media/image604.png"/><Relationship Id="rId634" Type="http://schemas.openxmlformats.org/officeDocument/2006/relationships/image" Target="media/image605.jpeg"/><Relationship Id="rId635" Type="http://schemas.openxmlformats.org/officeDocument/2006/relationships/image" Target="media/image606.jpeg"/><Relationship Id="rId636" Type="http://schemas.openxmlformats.org/officeDocument/2006/relationships/image" Target="media/image607.jpeg"/><Relationship Id="rId637" Type="http://schemas.openxmlformats.org/officeDocument/2006/relationships/image" Target="media/image608.jpeg"/><Relationship Id="rId638" Type="http://schemas.openxmlformats.org/officeDocument/2006/relationships/image" Target="media/image609.png"/><Relationship Id="rId639" Type="http://schemas.openxmlformats.org/officeDocument/2006/relationships/image" Target="media/image610.png"/><Relationship Id="rId640" Type="http://schemas.openxmlformats.org/officeDocument/2006/relationships/image" Target="media/image611.png"/><Relationship Id="rId641" Type="http://schemas.openxmlformats.org/officeDocument/2006/relationships/image" Target="media/image612.png"/><Relationship Id="rId642" Type="http://schemas.openxmlformats.org/officeDocument/2006/relationships/image" Target="media/image613.png"/><Relationship Id="rId643" Type="http://schemas.openxmlformats.org/officeDocument/2006/relationships/image" Target="media/image614.png"/><Relationship Id="rId644" Type="http://schemas.openxmlformats.org/officeDocument/2006/relationships/image" Target="media/image615.png"/><Relationship Id="rId645" Type="http://schemas.openxmlformats.org/officeDocument/2006/relationships/image" Target="media/image616.png"/><Relationship Id="rId646" Type="http://schemas.openxmlformats.org/officeDocument/2006/relationships/image" Target="media/image617.png"/><Relationship Id="rId647" Type="http://schemas.openxmlformats.org/officeDocument/2006/relationships/image" Target="media/image618.png"/><Relationship Id="rId648" Type="http://schemas.openxmlformats.org/officeDocument/2006/relationships/image" Target="media/image619.png"/><Relationship Id="rId649" Type="http://schemas.openxmlformats.org/officeDocument/2006/relationships/image" Target="media/image620.png"/><Relationship Id="rId650" Type="http://schemas.openxmlformats.org/officeDocument/2006/relationships/image" Target="media/image621.png"/><Relationship Id="rId651" Type="http://schemas.openxmlformats.org/officeDocument/2006/relationships/image" Target="media/image622.png"/><Relationship Id="rId652" Type="http://schemas.openxmlformats.org/officeDocument/2006/relationships/image" Target="media/image623.png"/><Relationship Id="rId653" Type="http://schemas.openxmlformats.org/officeDocument/2006/relationships/image" Target="media/image624.png"/><Relationship Id="rId654" Type="http://schemas.openxmlformats.org/officeDocument/2006/relationships/image" Target="media/image625.png"/><Relationship Id="rId655" Type="http://schemas.openxmlformats.org/officeDocument/2006/relationships/image" Target="media/image626.png"/><Relationship Id="rId656" Type="http://schemas.openxmlformats.org/officeDocument/2006/relationships/image" Target="media/image627.png"/><Relationship Id="rId657" Type="http://schemas.openxmlformats.org/officeDocument/2006/relationships/image" Target="media/image628.png"/><Relationship Id="rId658" Type="http://schemas.openxmlformats.org/officeDocument/2006/relationships/image" Target="media/image629.png"/><Relationship Id="rId659" Type="http://schemas.openxmlformats.org/officeDocument/2006/relationships/image" Target="media/image630.png"/><Relationship Id="rId660" Type="http://schemas.openxmlformats.org/officeDocument/2006/relationships/image" Target="media/image631.png"/><Relationship Id="rId661" Type="http://schemas.openxmlformats.org/officeDocument/2006/relationships/image" Target="media/image632.png"/><Relationship Id="rId662" Type="http://schemas.openxmlformats.org/officeDocument/2006/relationships/image" Target="media/image633.png"/><Relationship Id="rId663" Type="http://schemas.openxmlformats.org/officeDocument/2006/relationships/image" Target="media/image634.png"/><Relationship Id="rId664" Type="http://schemas.openxmlformats.org/officeDocument/2006/relationships/image" Target="media/image635.png"/><Relationship Id="rId665" Type="http://schemas.openxmlformats.org/officeDocument/2006/relationships/image" Target="media/image636.png"/><Relationship Id="rId666" Type="http://schemas.openxmlformats.org/officeDocument/2006/relationships/image" Target="media/image637.png"/><Relationship Id="rId667" Type="http://schemas.openxmlformats.org/officeDocument/2006/relationships/image" Target="media/image638.png"/><Relationship Id="rId668" Type="http://schemas.openxmlformats.org/officeDocument/2006/relationships/image" Target="media/image639.png"/><Relationship Id="rId669" Type="http://schemas.openxmlformats.org/officeDocument/2006/relationships/image" Target="media/image640.png"/><Relationship Id="rId670" Type="http://schemas.openxmlformats.org/officeDocument/2006/relationships/image" Target="media/image641.png"/><Relationship Id="rId671" Type="http://schemas.openxmlformats.org/officeDocument/2006/relationships/image" Target="media/image642.png"/><Relationship Id="rId672" Type="http://schemas.openxmlformats.org/officeDocument/2006/relationships/image" Target="media/image643.png"/><Relationship Id="rId673" Type="http://schemas.openxmlformats.org/officeDocument/2006/relationships/image" Target="media/image644.png"/><Relationship Id="rId674" Type="http://schemas.openxmlformats.org/officeDocument/2006/relationships/image" Target="media/image645.png"/><Relationship Id="rId675" Type="http://schemas.openxmlformats.org/officeDocument/2006/relationships/image" Target="media/image646.png"/><Relationship Id="rId676" Type="http://schemas.openxmlformats.org/officeDocument/2006/relationships/image" Target="media/image647.png"/><Relationship Id="rId677" Type="http://schemas.openxmlformats.org/officeDocument/2006/relationships/image" Target="media/image648.png"/><Relationship Id="rId678" Type="http://schemas.openxmlformats.org/officeDocument/2006/relationships/image" Target="media/image649.png"/><Relationship Id="rId679" Type="http://schemas.openxmlformats.org/officeDocument/2006/relationships/image" Target="media/image650.png"/><Relationship Id="rId680" Type="http://schemas.openxmlformats.org/officeDocument/2006/relationships/image" Target="media/image651.png"/><Relationship Id="rId681" Type="http://schemas.openxmlformats.org/officeDocument/2006/relationships/image" Target="media/image652.png"/><Relationship Id="rId682" Type="http://schemas.openxmlformats.org/officeDocument/2006/relationships/image" Target="media/image653.png"/><Relationship Id="rId683" Type="http://schemas.openxmlformats.org/officeDocument/2006/relationships/image" Target="media/image654.png"/><Relationship Id="rId684" Type="http://schemas.openxmlformats.org/officeDocument/2006/relationships/image" Target="media/image655.png"/><Relationship Id="rId685" Type="http://schemas.openxmlformats.org/officeDocument/2006/relationships/image" Target="media/image656.png"/><Relationship Id="rId686" Type="http://schemas.openxmlformats.org/officeDocument/2006/relationships/image" Target="media/image657.png"/><Relationship Id="rId687" Type="http://schemas.openxmlformats.org/officeDocument/2006/relationships/image" Target="media/image658.png"/><Relationship Id="rId688" Type="http://schemas.openxmlformats.org/officeDocument/2006/relationships/image" Target="media/image659.png"/><Relationship Id="rId689" Type="http://schemas.openxmlformats.org/officeDocument/2006/relationships/image" Target="media/image660.png"/><Relationship Id="rId690" Type="http://schemas.openxmlformats.org/officeDocument/2006/relationships/image" Target="media/image661.png"/><Relationship Id="rId691" Type="http://schemas.openxmlformats.org/officeDocument/2006/relationships/image" Target="media/image662.png"/><Relationship Id="rId692" Type="http://schemas.openxmlformats.org/officeDocument/2006/relationships/image" Target="media/image663.png"/><Relationship Id="rId693" Type="http://schemas.openxmlformats.org/officeDocument/2006/relationships/image" Target="media/image664.png"/><Relationship Id="rId694" Type="http://schemas.openxmlformats.org/officeDocument/2006/relationships/image" Target="media/image665.png"/><Relationship Id="rId695" Type="http://schemas.openxmlformats.org/officeDocument/2006/relationships/image" Target="media/image666.png"/><Relationship Id="rId696" Type="http://schemas.openxmlformats.org/officeDocument/2006/relationships/image" Target="media/image667.png"/><Relationship Id="rId697" Type="http://schemas.openxmlformats.org/officeDocument/2006/relationships/image" Target="media/image668.png"/><Relationship Id="rId698" Type="http://schemas.openxmlformats.org/officeDocument/2006/relationships/image" Target="media/image669.png"/><Relationship Id="rId699" Type="http://schemas.openxmlformats.org/officeDocument/2006/relationships/image" Target="media/image670.png"/><Relationship Id="rId700" Type="http://schemas.openxmlformats.org/officeDocument/2006/relationships/image" Target="media/image671.png"/><Relationship Id="rId701" Type="http://schemas.openxmlformats.org/officeDocument/2006/relationships/image" Target="media/image672.png"/><Relationship Id="rId702" Type="http://schemas.openxmlformats.org/officeDocument/2006/relationships/image" Target="media/image673.png"/><Relationship Id="rId703" Type="http://schemas.openxmlformats.org/officeDocument/2006/relationships/image" Target="media/image674.png"/><Relationship Id="rId704" Type="http://schemas.openxmlformats.org/officeDocument/2006/relationships/image" Target="media/image675.png"/><Relationship Id="rId705" Type="http://schemas.openxmlformats.org/officeDocument/2006/relationships/image" Target="media/image676.png"/><Relationship Id="rId706" Type="http://schemas.openxmlformats.org/officeDocument/2006/relationships/image" Target="media/image677.png"/><Relationship Id="rId707" Type="http://schemas.openxmlformats.org/officeDocument/2006/relationships/image" Target="media/image678.png"/><Relationship Id="rId708" Type="http://schemas.openxmlformats.org/officeDocument/2006/relationships/image" Target="media/image679.png"/><Relationship Id="rId709" Type="http://schemas.openxmlformats.org/officeDocument/2006/relationships/image" Target="media/image680.png"/><Relationship Id="rId710" Type="http://schemas.openxmlformats.org/officeDocument/2006/relationships/image" Target="media/image681.png"/><Relationship Id="rId711" Type="http://schemas.openxmlformats.org/officeDocument/2006/relationships/image" Target="media/image682.png"/><Relationship Id="rId712" Type="http://schemas.openxmlformats.org/officeDocument/2006/relationships/image" Target="media/image683.png"/><Relationship Id="rId713" Type="http://schemas.openxmlformats.org/officeDocument/2006/relationships/image" Target="media/image684.png"/><Relationship Id="rId714" Type="http://schemas.openxmlformats.org/officeDocument/2006/relationships/image" Target="media/image685.png"/><Relationship Id="rId715" Type="http://schemas.openxmlformats.org/officeDocument/2006/relationships/image" Target="media/image686.png"/><Relationship Id="rId716" Type="http://schemas.openxmlformats.org/officeDocument/2006/relationships/image" Target="media/image687.png"/><Relationship Id="rId717" Type="http://schemas.openxmlformats.org/officeDocument/2006/relationships/image" Target="media/image688.png"/><Relationship Id="rId718" Type="http://schemas.openxmlformats.org/officeDocument/2006/relationships/image" Target="media/image689.png"/><Relationship Id="rId719" Type="http://schemas.openxmlformats.org/officeDocument/2006/relationships/image" Target="media/image690.png"/><Relationship Id="rId720" Type="http://schemas.openxmlformats.org/officeDocument/2006/relationships/image" Target="media/image691.png"/><Relationship Id="rId721" Type="http://schemas.openxmlformats.org/officeDocument/2006/relationships/image" Target="media/image692.png"/><Relationship Id="rId722" Type="http://schemas.openxmlformats.org/officeDocument/2006/relationships/image" Target="media/image693.png"/><Relationship Id="rId723" Type="http://schemas.openxmlformats.org/officeDocument/2006/relationships/image" Target="media/image694.png"/><Relationship Id="rId724" Type="http://schemas.openxmlformats.org/officeDocument/2006/relationships/image" Target="media/image695.png"/><Relationship Id="rId725" Type="http://schemas.openxmlformats.org/officeDocument/2006/relationships/image" Target="media/image696.png"/><Relationship Id="rId726" Type="http://schemas.openxmlformats.org/officeDocument/2006/relationships/image" Target="media/image697.png"/><Relationship Id="rId727" Type="http://schemas.openxmlformats.org/officeDocument/2006/relationships/image" Target="media/image698.png"/><Relationship Id="rId728" Type="http://schemas.openxmlformats.org/officeDocument/2006/relationships/image" Target="media/image699.png"/><Relationship Id="rId729" Type="http://schemas.openxmlformats.org/officeDocument/2006/relationships/image" Target="media/image700.png"/><Relationship Id="rId730" Type="http://schemas.openxmlformats.org/officeDocument/2006/relationships/image" Target="media/image701.png"/><Relationship Id="rId731" Type="http://schemas.openxmlformats.org/officeDocument/2006/relationships/image" Target="media/image702.png"/><Relationship Id="rId732" Type="http://schemas.openxmlformats.org/officeDocument/2006/relationships/image" Target="media/image703.png"/><Relationship Id="rId733" Type="http://schemas.openxmlformats.org/officeDocument/2006/relationships/image" Target="media/image704.png"/><Relationship Id="rId734" Type="http://schemas.openxmlformats.org/officeDocument/2006/relationships/image" Target="media/image705.png"/><Relationship Id="rId735" Type="http://schemas.openxmlformats.org/officeDocument/2006/relationships/image" Target="media/image706.png"/><Relationship Id="rId736" Type="http://schemas.openxmlformats.org/officeDocument/2006/relationships/image" Target="media/image707.png"/><Relationship Id="rId737" Type="http://schemas.openxmlformats.org/officeDocument/2006/relationships/image" Target="media/image708.png"/><Relationship Id="rId738" Type="http://schemas.openxmlformats.org/officeDocument/2006/relationships/image" Target="media/image709.png"/><Relationship Id="rId739" Type="http://schemas.openxmlformats.org/officeDocument/2006/relationships/image" Target="media/image710.png"/><Relationship Id="rId740" Type="http://schemas.openxmlformats.org/officeDocument/2006/relationships/image" Target="media/image711.png"/><Relationship Id="rId741" Type="http://schemas.openxmlformats.org/officeDocument/2006/relationships/image" Target="media/image712.png"/><Relationship Id="rId742" Type="http://schemas.openxmlformats.org/officeDocument/2006/relationships/image" Target="media/image713.png"/><Relationship Id="rId743" Type="http://schemas.openxmlformats.org/officeDocument/2006/relationships/image" Target="media/image714.png"/><Relationship Id="rId744" Type="http://schemas.openxmlformats.org/officeDocument/2006/relationships/image" Target="media/image715.png"/><Relationship Id="rId745" Type="http://schemas.openxmlformats.org/officeDocument/2006/relationships/image" Target="media/image716.png"/><Relationship Id="rId746" Type="http://schemas.openxmlformats.org/officeDocument/2006/relationships/image" Target="media/image717.png"/><Relationship Id="rId747" Type="http://schemas.openxmlformats.org/officeDocument/2006/relationships/image" Target="media/image718.png"/><Relationship Id="rId748" Type="http://schemas.openxmlformats.org/officeDocument/2006/relationships/image" Target="media/image719.png"/><Relationship Id="rId749" Type="http://schemas.openxmlformats.org/officeDocument/2006/relationships/image" Target="media/image720.png"/><Relationship Id="rId750" Type="http://schemas.openxmlformats.org/officeDocument/2006/relationships/image" Target="media/image721.png"/><Relationship Id="rId751" Type="http://schemas.openxmlformats.org/officeDocument/2006/relationships/image" Target="media/image722.png"/><Relationship Id="rId752" Type="http://schemas.openxmlformats.org/officeDocument/2006/relationships/image" Target="media/image723.png"/><Relationship Id="rId753" Type="http://schemas.openxmlformats.org/officeDocument/2006/relationships/image" Target="media/image724.png"/><Relationship Id="rId754" Type="http://schemas.openxmlformats.org/officeDocument/2006/relationships/image" Target="media/image725.png"/><Relationship Id="rId755" Type="http://schemas.openxmlformats.org/officeDocument/2006/relationships/image" Target="media/image726.png"/><Relationship Id="rId756" Type="http://schemas.openxmlformats.org/officeDocument/2006/relationships/image" Target="media/image727.png"/><Relationship Id="rId757" Type="http://schemas.openxmlformats.org/officeDocument/2006/relationships/image" Target="media/image728.png"/><Relationship Id="rId758" Type="http://schemas.openxmlformats.org/officeDocument/2006/relationships/image" Target="media/image729.png"/><Relationship Id="rId759" Type="http://schemas.openxmlformats.org/officeDocument/2006/relationships/image" Target="media/image730.png"/><Relationship Id="rId760" Type="http://schemas.openxmlformats.org/officeDocument/2006/relationships/image" Target="media/image731.png"/><Relationship Id="rId761" Type="http://schemas.openxmlformats.org/officeDocument/2006/relationships/image" Target="media/image732.png"/><Relationship Id="rId762" Type="http://schemas.openxmlformats.org/officeDocument/2006/relationships/image" Target="media/image733.png"/><Relationship Id="rId763" Type="http://schemas.openxmlformats.org/officeDocument/2006/relationships/image" Target="media/image734.png"/><Relationship Id="rId764" Type="http://schemas.openxmlformats.org/officeDocument/2006/relationships/image" Target="media/image735.png"/><Relationship Id="rId765" Type="http://schemas.openxmlformats.org/officeDocument/2006/relationships/image" Target="media/image736.png"/><Relationship Id="rId766" Type="http://schemas.openxmlformats.org/officeDocument/2006/relationships/image" Target="media/image737.png"/><Relationship Id="rId767" Type="http://schemas.openxmlformats.org/officeDocument/2006/relationships/image" Target="media/image738.jpeg"/><Relationship Id="rId768" Type="http://schemas.openxmlformats.org/officeDocument/2006/relationships/image" Target="media/image739.jpeg"/><Relationship Id="rId769" Type="http://schemas.openxmlformats.org/officeDocument/2006/relationships/image" Target="media/image740.jpeg"/><Relationship Id="rId770" Type="http://schemas.openxmlformats.org/officeDocument/2006/relationships/image" Target="media/image741.jpeg"/><Relationship Id="rId771" Type="http://schemas.openxmlformats.org/officeDocument/2006/relationships/image" Target="media/image742.png"/><Relationship Id="rId772" Type="http://schemas.openxmlformats.org/officeDocument/2006/relationships/image" Target="media/image743.png"/><Relationship Id="rId773" Type="http://schemas.openxmlformats.org/officeDocument/2006/relationships/image" Target="media/image744.png"/><Relationship Id="rId774" Type="http://schemas.openxmlformats.org/officeDocument/2006/relationships/image" Target="media/image745.png"/><Relationship Id="rId775" Type="http://schemas.openxmlformats.org/officeDocument/2006/relationships/image" Target="media/image746.png"/><Relationship Id="rId776" Type="http://schemas.openxmlformats.org/officeDocument/2006/relationships/image" Target="media/image747.png"/><Relationship Id="rId777" Type="http://schemas.openxmlformats.org/officeDocument/2006/relationships/image" Target="media/image748.png"/><Relationship Id="rId778" Type="http://schemas.openxmlformats.org/officeDocument/2006/relationships/image" Target="media/image749.png"/><Relationship Id="rId779" Type="http://schemas.openxmlformats.org/officeDocument/2006/relationships/image" Target="media/image750.png"/><Relationship Id="rId780" Type="http://schemas.openxmlformats.org/officeDocument/2006/relationships/image" Target="media/image751.png"/><Relationship Id="rId781" Type="http://schemas.openxmlformats.org/officeDocument/2006/relationships/image" Target="media/image752.png"/><Relationship Id="rId782" Type="http://schemas.openxmlformats.org/officeDocument/2006/relationships/image" Target="media/image753.png"/><Relationship Id="rId783" Type="http://schemas.openxmlformats.org/officeDocument/2006/relationships/image" Target="media/image754.png"/><Relationship Id="rId784" Type="http://schemas.openxmlformats.org/officeDocument/2006/relationships/image" Target="media/image755.png"/><Relationship Id="rId785" Type="http://schemas.openxmlformats.org/officeDocument/2006/relationships/image" Target="media/image756.png"/><Relationship Id="rId786" Type="http://schemas.openxmlformats.org/officeDocument/2006/relationships/image" Target="media/image757.png"/><Relationship Id="rId787" Type="http://schemas.openxmlformats.org/officeDocument/2006/relationships/image" Target="media/image758.png"/><Relationship Id="rId788" Type="http://schemas.openxmlformats.org/officeDocument/2006/relationships/image" Target="media/image759.png"/><Relationship Id="rId789" Type="http://schemas.openxmlformats.org/officeDocument/2006/relationships/image" Target="media/image760.png"/><Relationship Id="rId790" Type="http://schemas.openxmlformats.org/officeDocument/2006/relationships/image" Target="media/image761.png"/><Relationship Id="rId791" Type="http://schemas.openxmlformats.org/officeDocument/2006/relationships/image" Target="media/image762.png"/><Relationship Id="rId792" Type="http://schemas.openxmlformats.org/officeDocument/2006/relationships/image" Target="media/image763.png"/><Relationship Id="rId793" Type="http://schemas.openxmlformats.org/officeDocument/2006/relationships/image" Target="media/image764.png"/><Relationship Id="rId794" Type="http://schemas.openxmlformats.org/officeDocument/2006/relationships/image" Target="media/image765.png"/><Relationship Id="rId795" Type="http://schemas.openxmlformats.org/officeDocument/2006/relationships/image" Target="media/image766.png"/><Relationship Id="rId796" Type="http://schemas.openxmlformats.org/officeDocument/2006/relationships/image" Target="media/image767.png"/><Relationship Id="rId797" Type="http://schemas.openxmlformats.org/officeDocument/2006/relationships/image" Target="media/image768.png"/><Relationship Id="rId798" Type="http://schemas.openxmlformats.org/officeDocument/2006/relationships/image" Target="media/image769.png"/><Relationship Id="rId799" Type="http://schemas.openxmlformats.org/officeDocument/2006/relationships/image" Target="media/image770.png"/><Relationship Id="rId800" Type="http://schemas.openxmlformats.org/officeDocument/2006/relationships/image" Target="media/image771.png"/><Relationship Id="rId801" Type="http://schemas.openxmlformats.org/officeDocument/2006/relationships/image" Target="media/image772.png"/><Relationship Id="rId802" Type="http://schemas.openxmlformats.org/officeDocument/2006/relationships/image" Target="media/image773.png"/><Relationship Id="rId803" Type="http://schemas.openxmlformats.org/officeDocument/2006/relationships/image" Target="media/image774.png"/><Relationship Id="rId804" Type="http://schemas.openxmlformats.org/officeDocument/2006/relationships/image" Target="media/image775.png"/><Relationship Id="rId805" Type="http://schemas.openxmlformats.org/officeDocument/2006/relationships/image" Target="media/image776.png"/><Relationship Id="rId806" Type="http://schemas.openxmlformats.org/officeDocument/2006/relationships/image" Target="media/image777.png"/><Relationship Id="rId807" Type="http://schemas.openxmlformats.org/officeDocument/2006/relationships/image" Target="media/image778.jpeg"/><Relationship Id="rId808" Type="http://schemas.openxmlformats.org/officeDocument/2006/relationships/image" Target="media/image779.jpeg"/><Relationship Id="rId809" Type="http://schemas.openxmlformats.org/officeDocument/2006/relationships/image" Target="media/image780.png"/><Relationship Id="rId810" Type="http://schemas.openxmlformats.org/officeDocument/2006/relationships/image" Target="media/image781.png"/><Relationship Id="rId811" Type="http://schemas.openxmlformats.org/officeDocument/2006/relationships/image" Target="media/image782.png"/><Relationship Id="rId812" Type="http://schemas.openxmlformats.org/officeDocument/2006/relationships/image" Target="media/image783.png"/><Relationship Id="rId813" Type="http://schemas.openxmlformats.org/officeDocument/2006/relationships/image" Target="media/image784.png"/><Relationship Id="rId814" Type="http://schemas.openxmlformats.org/officeDocument/2006/relationships/image" Target="media/image785.png"/><Relationship Id="rId815" Type="http://schemas.openxmlformats.org/officeDocument/2006/relationships/image" Target="media/image786.png"/><Relationship Id="rId816" Type="http://schemas.openxmlformats.org/officeDocument/2006/relationships/image" Target="media/image787.png"/><Relationship Id="rId817" Type="http://schemas.openxmlformats.org/officeDocument/2006/relationships/image" Target="media/image788.png"/><Relationship Id="rId818" Type="http://schemas.openxmlformats.org/officeDocument/2006/relationships/image" Target="media/image789.png"/><Relationship Id="rId819" Type="http://schemas.openxmlformats.org/officeDocument/2006/relationships/image" Target="media/image790.png"/><Relationship Id="rId820" Type="http://schemas.openxmlformats.org/officeDocument/2006/relationships/image" Target="media/image791.png"/><Relationship Id="rId821" Type="http://schemas.openxmlformats.org/officeDocument/2006/relationships/image" Target="media/image792.png"/><Relationship Id="rId822" Type="http://schemas.openxmlformats.org/officeDocument/2006/relationships/image" Target="media/image793.png"/><Relationship Id="rId823" Type="http://schemas.openxmlformats.org/officeDocument/2006/relationships/image" Target="media/image794.png"/><Relationship Id="rId824" Type="http://schemas.openxmlformats.org/officeDocument/2006/relationships/image" Target="media/image795.png"/><Relationship Id="rId825" Type="http://schemas.openxmlformats.org/officeDocument/2006/relationships/image" Target="media/image796.png"/><Relationship Id="rId826" Type="http://schemas.openxmlformats.org/officeDocument/2006/relationships/image" Target="media/image797.png"/><Relationship Id="rId827" Type="http://schemas.openxmlformats.org/officeDocument/2006/relationships/image" Target="media/image798.png"/><Relationship Id="rId828" Type="http://schemas.openxmlformats.org/officeDocument/2006/relationships/image" Target="media/image799.png"/><Relationship Id="rId829" Type="http://schemas.openxmlformats.org/officeDocument/2006/relationships/image" Target="media/image800.png"/><Relationship Id="rId830" Type="http://schemas.openxmlformats.org/officeDocument/2006/relationships/image" Target="media/image801.png"/><Relationship Id="rId831" Type="http://schemas.openxmlformats.org/officeDocument/2006/relationships/image" Target="media/image802.png"/><Relationship Id="rId832" Type="http://schemas.openxmlformats.org/officeDocument/2006/relationships/image" Target="media/image803.png"/><Relationship Id="rId833" Type="http://schemas.openxmlformats.org/officeDocument/2006/relationships/image" Target="media/image804.png"/><Relationship Id="rId834" Type="http://schemas.openxmlformats.org/officeDocument/2006/relationships/image" Target="media/image805.png"/><Relationship Id="rId835" Type="http://schemas.openxmlformats.org/officeDocument/2006/relationships/image" Target="media/image806.png"/><Relationship Id="rId836" Type="http://schemas.openxmlformats.org/officeDocument/2006/relationships/image" Target="media/image807.png"/><Relationship Id="rId837" Type="http://schemas.openxmlformats.org/officeDocument/2006/relationships/image" Target="media/image808.png"/><Relationship Id="rId838" Type="http://schemas.openxmlformats.org/officeDocument/2006/relationships/image" Target="media/image809.png"/><Relationship Id="rId839" Type="http://schemas.openxmlformats.org/officeDocument/2006/relationships/image" Target="media/image810.png"/><Relationship Id="rId840" Type="http://schemas.openxmlformats.org/officeDocument/2006/relationships/image" Target="media/image811.png"/><Relationship Id="rId841" Type="http://schemas.openxmlformats.org/officeDocument/2006/relationships/image" Target="media/image812.png"/><Relationship Id="rId842" Type="http://schemas.openxmlformats.org/officeDocument/2006/relationships/image" Target="media/image813.png"/><Relationship Id="rId843" Type="http://schemas.openxmlformats.org/officeDocument/2006/relationships/image" Target="media/image814.png"/><Relationship Id="rId844" Type="http://schemas.openxmlformats.org/officeDocument/2006/relationships/image" Target="media/image815.png"/><Relationship Id="rId845" Type="http://schemas.openxmlformats.org/officeDocument/2006/relationships/image" Target="media/image816.png"/><Relationship Id="rId846" Type="http://schemas.openxmlformats.org/officeDocument/2006/relationships/image" Target="media/image817.png"/><Relationship Id="rId847" Type="http://schemas.openxmlformats.org/officeDocument/2006/relationships/image" Target="media/image818.png"/><Relationship Id="rId848" Type="http://schemas.openxmlformats.org/officeDocument/2006/relationships/image" Target="media/image819.png"/><Relationship Id="rId849" Type="http://schemas.openxmlformats.org/officeDocument/2006/relationships/image" Target="media/image820.jpeg"/><Relationship Id="rId850" Type="http://schemas.openxmlformats.org/officeDocument/2006/relationships/image" Target="media/image821.jpeg"/><Relationship Id="rId851" Type="http://schemas.openxmlformats.org/officeDocument/2006/relationships/image" Target="media/image822.jpeg"/><Relationship Id="rId852" Type="http://schemas.openxmlformats.org/officeDocument/2006/relationships/image" Target="media/image823.jpeg"/><Relationship Id="rId853" Type="http://schemas.openxmlformats.org/officeDocument/2006/relationships/image" Target="media/image824.png"/><Relationship Id="rId854" Type="http://schemas.openxmlformats.org/officeDocument/2006/relationships/image" Target="media/image825.png"/><Relationship Id="rId855" Type="http://schemas.openxmlformats.org/officeDocument/2006/relationships/image" Target="media/image826.png"/><Relationship Id="rId856" Type="http://schemas.openxmlformats.org/officeDocument/2006/relationships/image" Target="media/image827.png"/><Relationship Id="rId857" Type="http://schemas.openxmlformats.org/officeDocument/2006/relationships/image" Target="media/image828.png"/><Relationship Id="rId858" Type="http://schemas.openxmlformats.org/officeDocument/2006/relationships/image" Target="media/image829.png"/><Relationship Id="rId859" Type="http://schemas.openxmlformats.org/officeDocument/2006/relationships/image" Target="media/image830.png"/><Relationship Id="rId860" Type="http://schemas.openxmlformats.org/officeDocument/2006/relationships/image" Target="media/image831.png"/><Relationship Id="rId861" Type="http://schemas.openxmlformats.org/officeDocument/2006/relationships/image" Target="media/image832.png"/><Relationship Id="rId862" Type="http://schemas.openxmlformats.org/officeDocument/2006/relationships/image" Target="media/image833.png"/><Relationship Id="rId863" Type="http://schemas.openxmlformats.org/officeDocument/2006/relationships/image" Target="media/image834.png"/><Relationship Id="rId864" Type="http://schemas.openxmlformats.org/officeDocument/2006/relationships/image" Target="media/image835.png"/><Relationship Id="rId865" Type="http://schemas.openxmlformats.org/officeDocument/2006/relationships/image" Target="media/image836.png"/><Relationship Id="rId866" Type="http://schemas.openxmlformats.org/officeDocument/2006/relationships/image" Target="media/image837.png"/><Relationship Id="rId867" Type="http://schemas.openxmlformats.org/officeDocument/2006/relationships/image" Target="media/image838.png"/><Relationship Id="rId868" Type="http://schemas.openxmlformats.org/officeDocument/2006/relationships/image" Target="media/image839.png"/><Relationship Id="rId869" Type="http://schemas.openxmlformats.org/officeDocument/2006/relationships/image" Target="media/image840.png"/><Relationship Id="rId870" Type="http://schemas.openxmlformats.org/officeDocument/2006/relationships/image" Target="media/image841.png"/><Relationship Id="rId871" Type="http://schemas.openxmlformats.org/officeDocument/2006/relationships/image" Target="media/image842.png"/><Relationship Id="rId872" Type="http://schemas.openxmlformats.org/officeDocument/2006/relationships/image" Target="media/image843.png"/><Relationship Id="rId873" Type="http://schemas.openxmlformats.org/officeDocument/2006/relationships/image" Target="media/image844.png"/><Relationship Id="rId874" Type="http://schemas.openxmlformats.org/officeDocument/2006/relationships/image" Target="media/image845.png"/><Relationship Id="rId875" Type="http://schemas.openxmlformats.org/officeDocument/2006/relationships/image" Target="media/image846.png"/><Relationship Id="rId876" Type="http://schemas.openxmlformats.org/officeDocument/2006/relationships/image" Target="media/image847.png"/><Relationship Id="rId877" Type="http://schemas.openxmlformats.org/officeDocument/2006/relationships/image" Target="media/image848.png"/><Relationship Id="rId878" Type="http://schemas.openxmlformats.org/officeDocument/2006/relationships/image" Target="media/image849.png"/><Relationship Id="rId879" Type="http://schemas.openxmlformats.org/officeDocument/2006/relationships/image" Target="media/image850.png"/><Relationship Id="rId880" Type="http://schemas.openxmlformats.org/officeDocument/2006/relationships/image" Target="media/image851.png"/><Relationship Id="rId881" Type="http://schemas.openxmlformats.org/officeDocument/2006/relationships/image" Target="media/image852.png"/><Relationship Id="rId882" Type="http://schemas.openxmlformats.org/officeDocument/2006/relationships/image" Target="media/image853.png"/><Relationship Id="rId883" Type="http://schemas.openxmlformats.org/officeDocument/2006/relationships/image" Target="media/image854.png"/><Relationship Id="rId884" Type="http://schemas.openxmlformats.org/officeDocument/2006/relationships/image" Target="media/image855.png"/><Relationship Id="rId885" Type="http://schemas.openxmlformats.org/officeDocument/2006/relationships/image" Target="media/image856.png"/><Relationship Id="rId886" Type="http://schemas.openxmlformats.org/officeDocument/2006/relationships/image" Target="media/image857.png"/><Relationship Id="rId887" Type="http://schemas.openxmlformats.org/officeDocument/2006/relationships/image" Target="media/image858.png"/><Relationship Id="rId888" Type="http://schemas.openxmlformats.org/officeDocument/2006/relationships/image" Target="media/image859.png"/><Relationship Id="rId889" Type="http://schemas.openxmlformats.org/officeDocument/2006/relationships/image" Target="media/image860.png"/><Relationship Id="rId890" Type="http://schemas.openxmlformats.org/officeDocument/2006/relationships/image" Target="media/image861.png"/><Relationship Id="rId891" Type="http://schemas.openxmlformats.org/officeDocument/2006/relationships/image" Target="media/image862.png"/><Relationship Id="rId892" Type="http://schemas.openxmlformats.org/officeDocument/2006/relationships/image" Target="media/image863.png"/><Relationship Id="rId893" Type="http://schemas.openxmlformats.org/officeDocument/2006/relationships/image" Target="media/image864.png"/><Relationship Id="rId894" Type="http://schemas.openxmlformats.org/officeDocument/2006/relationships/image" Target="media/image865.png"/><Relationship Id="rId895" Type="http://schemas.openxmlformats.org/officeDocument/2006/relationships/image" Target="media/image866.png"/><Relationship Id="rId896" Type="http://schemas.openxmlformats.org/officeDocument/2006/relationships/image" Target="media/image867.png"/><Relationship Id="rId897" Type="http://schemas.openxmlformats.org/officeDocument/2006/relationships/image" Target="media/image868.png"/><Relationship Id="rId898" Type="http://schemas.openxmlformats.org/officeDocument/2006/relationships/image" Target="media/image869.png"/><Relationship Id="rId899" Type="http://schemas.openxmlformats.org/officeDocument/2006/relationships/image" Target="media/image870.png"/><Relationship Id="rId900" Type="http://schemas.openxmlformats.org/officeDocument/2006/relationships/image" Target="media/image871.png"/><Relationship Id="rId901" Type="http://schemas.openxmlformats.org/officeDocument/2006/relationships/image" Target="media/image872.png"/><Relationship Id="rId902" Type="http://schemas.openxmlformats.org/officeDocument/2006/relationships/image" Target="media/image873.png"/><Relationship Id="rId903" Type="http://schemas.openxmlformats.org/officeDocument/2006/relationships/image" Target="media/image874.png"/><Relationship Id="rId904" Type="http://schemas.openxmlformats.org/officeDocument/2006/relationships/image" Target="media/image875.png"/><Relationship Id="rId905" Type="http://schemas.openxmlformats.org/officeDocument/2006/relationships/image" Target="media/image876.png"/><Relationship Id="rId906" Type="http://schemas.openxmlformats.org/officeDocument/2006/relationships/image" Target="media/image877.png"/><Relationship Id="rId907" Type="http://schemas.openxmlformats.org/officeDocument/2006/relationships/image" Target="media/image878.png"/><Relationship Id="rId908" Type="http://schemas.openxmlformats.org/officeDocument/2006/relationships/image" Target="media/image879.png"/><Relationship Id="rId909" Type="http://schemas.openxmlformats.org/officeDocument/2006/relationships/image" Target="media/image880.png"/><Relationship Id="rId910" Type="http://schemas.openxmlformats.org/officeDocument/2006/relationships/image" Target="media/image881.png"/><Relationship Id="rId911" Type="http://schemas.openxmlformats.org/officeDocument/2006/relationships/image" Target="media/image882.png"/><Relationship Id="rId912" Type="http://schemas.openxmlformats.org/officeDocument/2006/relationships/image" Target="media/image883.png"/><Relationship Id="rId913" Type="http://schemas.openxmlformats.org/officeDocument/2006/relationships/image" Target="media/image884.png"/><Relationship Id="rId914" Type="http://schemas.openxmlformats.org/officeDocument/2006/relationships/image" Target="media/image885.png"/><Relationship Id="rId915" Type="http://schemas.openxmlformats.org/officeDocument/2006/relationships/image" Target="media/image886.png"/><Relationship Id="rId916" Type="http://schemas.openxmlformats.org/officeDocument/2006/relationships/image" Target="media/image887.png"/><Relationship Id="rId917" Type="http://schemas.openxmlformats.org/officeDocument/2006/relationships/image" Target="media/image888.png"/><Relationship Id="rId918" Type="http://schemas.openxmlformats.org/officeDocument/2006/relationships/image" Target="media/image889.png"/><Relationship Id="rId919" Type="http://schemas.openxmlformats.org/officeDocument/2006/relationships/image" Target="media/image890.png"/><Relationship Id="rId920" Type="http://schemas.openxmlformats.org/officeDocument/2006/relationships/image" Target="media/image891.png"/><Relationship Id="rId921" Type="http://schemas.openxmlformats.org/officeDocument/2006/relationships/image" Target="media/image892.png"/><Relationship Id="rId922" Type="http://schemas.openxmlformats.org/officeDocument/2006/relationships/image" Target="media/image893.png"/><Relationship Id="rId923" Type="http://schemas.openxmlformats.org/officeDocument/2006/relationships/image" Target="media/image894.png"/><Relationship Id="rId924" Type="http://schemas.openxmlformats.org/officeDocument/2006/relationships/image" Target="media/image895.png"/><Relationship Id="rId925" Type="http://schemas.openxmlformats.org/officeDocument/2006/relationships/image" Target="media/image896.png"/><Relationship Id="rId926" Type="http://schemas.openxmlformats.org/officeDocument/2006/relationships/image" Target="media/image897.png"/><Relationship Id="rId927" Type="http://schemas.openxmlformats.org/officeDocument/2006/relationships/image" Target="media/image898.png"/><Relationship Id="rId928" Type="http://schemas.openxmlformats.org/officeDocument/2006/relationships/image" Target="media/image899.png"/><Relationship Id="rId929" Type="http://schemas.openxmlformats.org/officeDocument/2006/relationships/image" Target="media/image900.png"/><Relationship Id="rId930" Type="http://schemas.openxmlformats.org/officeDocument/2006/relationships/image" Target="media/image901.png"/><Relationship Id="rId931" Type="http://schemas.openxmlformats.org/officeDocument/2006/relationships/image" Target="media/image902.jpeg"/><Relationship Id="rId932" Type="http://schemas.openxmlformats.org/officeDocument/2006/relationships/image" Target="media/image903.png"/><Relationship Id="rId933" Type="http://schemas.openxmlformats.org/officeDocument/2006/relationships/image" Target="media/image904.png"/><Relationship Id="rId934" Type="http://schemas.openxmlformats.org/officeDocument/2006/relationships/image" Target="media/image905.png"/><Relationship Id="rId935" Type="http://schemas.openxmlformats.org/officeDocument/2006/relationships/image" Target="media/image906.png"/><Relationship Id="rId936" Type="http://schemas.openxmlformats.org/officeDocument/2006/relationships/image" Target="media/image907.png"/><Relationship Id="rId937" Type="http://schemas.openxmlformats.org/officeDocument/2006/relationships/image" Target="media/image908.png"/><Relationship Id="rId938" Type="http://schemas.openxmlformats.org/officeDocument/2006/relationships/image" Target="media/image909.png"/><Relationship Id="rId939" Type="http://schemas.openxmlformats.org/officeDocument/2006/relationships/image" Target="media/image910.png"/><Relationship Id="rId940" Type="http://schemas.openxmlformats.org/officeDocument/2006/relationships/image" Target="media/image911.png"/><Relationship Id="rId941" Type="http://schemas.openxmlformats.org/officeDocument/2006/relationships/image" Target="media/image912.png"/><Relationship Id="rId942" Type="http://schemas.openxmlformats.org/officeDocument/2006/relationships/image" Target="media/image913.png"/><Relationship Id="rId943" Type="http://schemas.openxmlformats.org/officeDocument/2006/relationships/image" Target="media/image914.png"/><Relationship Id="rId944" Type="http://schemas.openxmlformats.org/officeDocument/2006/relationships/image" Target="media/image915.png"/><Relationship Id="rId945" Type="http://schemas.openxmlformats.org/officeDocument/2006/relationships/image" Target="media/image916.png"/><Relationship Id="rId946" Type="http://schemas.openxmlformats.org/officeDocument/2006/relationships/image" Target="media/image917.png"/><Relationship Id="rId947" Type="http://schemas.openxmlformats.org/officeDocument/2006/relationships/image" Target="media/image918.png"/><Relationship Id="rId948" Type="http://schemas.openxmlformats.org/officeDocument/2006/relationships/image" Target="media/image919.png"/><Relationship Id="rId949" Type="http://schemas.openxmlformats.org/officeDocument/2006/relationships/image" Target="media/image920.png"/><Relationship Id="rId950" Type="http://schemas.openxmlformats.org/officeDocument/2006/relationships/image" Target="media/image921.png"/><Relationship Id="rId951" Type="http://schemas.openxmlformats.org/officeDocument/2006/relationships/image" Target="media/image922.png"/><Relationship Id="rId952" Type="http://schemas.openxmlformats.org/officeDocument/2006/relationships/image" Target="media/image923.png"/><Relationship Id="rId953" Type="http://schemas.openxmlformats.org/officeDocument/2006/relationships/image" Target="media/image924.png"/><Relationship Id="rId954" Type="http://schemas.openxmlformats.org/officeDocument/2006/relationships/image" Target="media/image925.png"/><Relationship Id="rId955" Type="http://schemas.openxmlformats.org/officeDocument/2006/relationships/image" Target="media/image926.png"/><Relationship Id="rId956" Type="http://schemas.openxmlformats.org/officeDocument/2006/relationships/image" Target="media/image927.png"/><Relationship Id="rId957" Type="http://schemas.openxmlformats.org/officeDocument/2006/relationships/image" Target="media/image928.png"/><Relationship Id="rId958" Type="http://schemas.openxmlformats.org/officeDocument/2006/relationships/image" Target="media/image929.png"/><Relationship Id="rId959" Type="http://schemas.openxmlformats.org/officeDocument/2006/relationships/image" Target="media/image930.png"/><Relationship Id="rId960" Type="http://schemas.openxmlformats.org/officeDocument/2006/relationships/image" Target="media/image931.png"/><Relationship Id="rId961" Type="http://schemas.openxmlformats.org/officeDocument/2006/relationships/image" Target="media/image932.png"/><Relationship Id="rId962" Type="http://schemas.openxmlformats.org/officeDocument/2006/relationships/image" Target="media/image933.png"/><Relationship Id="rId963" Type="http://schemas.openxmlformats.org/officeDocument/2006/relationships/image" Target="media/image934.png"/><Relationship Id="rId964" Type="http://schemas.openxmlformats.org/officeDocument/2006/relationships/image" Target="media/image935.png"/><Relationship Id="rId334" Type="http://schemas.openxmlformats.org/officeDocument/2006/relationships/hyperlink" Target="http://www.sec.gov/Archives/edgar/data/1724542/000121390018006558/ff12018a2ex1-1_clpsinc.htm" TargetMode="External"/><Relationship Id="rId336" Type="http://schemas.openxmlformats.org/officeDocument/2006/relationships/hyperlink" Target="http://www.sec.gov/Archives/edgar/data/1724542/000121390018006724/f8a12b0518_clpsincorporation.htm" TargetMode="External"/><Relationship Id="rId337" Type="http://schemas.openxmlformats.org/officeDocument/2006/relationships/hyperlink" Target="http://www.sec.gov/Archives/edgar/data/1724542/000121390018003524/ff12018ex3-1_clpsincorp.htm" TargetMode="External"/><Relationship Id="rId338" Type="http://schemas.openxmlformats.org/officeDocument/2006/relationships/hyperlink" Target="http://www.sec.gov/Archives/edgar/data/1724542/000121390018003524/ff12018ex4-1_clpsincorp.htm" TargetMode="External"/><Relationship Id="rId339" Type="http://schemas.openxmlformats.org/officeDocument/2006/relationships/hyperlink" Target="https://www.sec.gov/Archives/edgar/data/1724542/000121390023038741/ea178469ex10-1_clpsincorp.htm" TargetMode="External"/><Relationship Id="rId340" Type="http://schemas.openxmlformats.org/officeDocument/2006/relationships/hyperlink" Target="https://www.sec.gov/Archives/edgar/data/1724542/000121390018003524/ff12018ex10-2_clpsincorp.htm" TargetMode="External"/><Relationship Id="rId341" Type="http://schemas.openxmlformats.org/officeDocument/2006/relationships/hyperlink" Target="https://www.sec.gov/Archives/edgar/data/1724542/000121390018003524/ff12018ex10-3_clpsincorp.htm" TargetMode="External"/><Relationship Id="rId342" Type="http://schemas.openxmlformats.org/officeDocument/2006/relationships/hyperlink" Target="https://www.sec.gov/Archives/edgar/data/1724542/000121390018003524/ff12018ex10-4_clpsincorp.htm" TargetMode="External"/><Relationship Id="rId343" Type="http://schemas.openxmlformats.org/officeDocument/2006/relationships/hyperlink" Target="https://www.sec.gov/Archives/edgar/data/1724542/000121390019021899/f6k110419ex99-1_clpsincorp.htm" TargetMode="External"/><Relationship Id="rId344" Type="http://schemas.openxmlformats.org/officeDocument/2006/relationships/hyperlink" Target="https://www.sec.gov/Archives/edgar/data/1724542/000121390020032817/f20f2020ex10-8_clpsincorp.htm" TargetMode="External"/><Relationship Id="rId345" Type="http://schemas.openxmlformats.org/officeDocument/2006/relationships/hyperlink" Target="https://www.sec.gov/Archives/edgar/data/1724542/000121390018003524/ff12018ex10-6_clpsincorp.htm" TargetMode="External"/><Relationship Id="rId346" Type="http://schemas.openxmlformats.org/officeDocument/2006/relationships/hyperlink" Target="https://www.sec.gov/Archives/edgar/data/1724542/000121390018003524/ff12018ex10-8_clpsincorp.htm" TargetMode="External"/><Relationship Id="rId347" Type="http://schemas.openxmlformats.org/officeDocument/2006/relationships/hyperlink" Target="https://www.sec.gov/Archives/edgar/data/1724542/000121390018006558/ff12018a2ex10-9_clpsinc.htm" TargetMode="External"/><Relationship Id="rId348" Type="http://schemas.openxmlformats.org/officeDocument/2006/relationships/hyperlink" Target="https://www.sec.gov/Archives/edgar/data/1724542/000121390018006558/ff12018a2ex10-10_clpsinc.htm" TargetMode="External"/><Relationship Id="rId349" Type="http://schemas.openxmlformats.org/officeDocument/2006/relationships/hyperlink" Target="http://www.sec.gov/Archives/edgar/data/1724542/000121390018006558/ff12018a2ex10-11_clpsinc.htm" TargetMode="External"/><Relationship Id="rId350" Type="http://schemas.openxmlformats.org/officeDocument/2006/relationships/hyperlink" Target="https://www.sec.gov/Archives/edgar/data/1724542/000121390024088712/ea021691901ex10-22_clpsinc.htm" TargetMode="External"/><Relationship Id="rId351" Type="http://schemas.openxmlformats.org/officeDocument/2006/relationships/hyperlink" Target="https://www.sec.gov/Archives/edgar/data/1724542/000121390024088712/ea021691901ex11-1_clpsinc.htm" TargetMode="External"/><Relationship Id="rId352" Type="http://schemas.openxmlformats.org/officeDocument/2006/relationships/hyperlink" Target="http://www.sec.gov/Archives/edgar/data/1724542/000121390018003524/ff12018ex14-1_clpsincorp.htm" TargetMode="External"/><Relationship Id="rId353" Type="http://schemas.openxmlformats.org/officeDocument/2006/relationships/hyperlink" Target="https://www.sec.gov/Archives/edgar/data/1724542/000121390024088712/ea021691901ex97-1_clpsinc.htm" TargetMode="External"/><Relationship Id="rId354" Type="http://schemas.openxmlformats.org/officeDocument/2006/relationships/hyperlink" Target="http://www.sec.gov/Archives/edgar/data/1724542/000121390018003524/ff12018ex99-1_clpsincorp.htm" TargetMode="External"/><Relationship Id="rId355" Type="http://schemas.openxmlformats.org/officeDocument/2006/relationships/hyperlink" Target="http://www.sec.gov/Archives/edgar/data/1724542/000121390018003524/ff12018ex99-2_clpsincorp.htm" TargetMode="External"/><Relationship Id="rId356"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2025-10-17T09:09:32Z</dcterms:created>
  <dcterms:modified xsi:type="dcterms:W3CDTF">2025-10-17T09:09:32Z</dcterms:modified>
</cp:coreProperties>
</file>