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60"/>
        <w:spacing w:after="0"/>
        <w:rPr>
          <w:sz w:val="20"/>
          <w:szCs w:val="20"/>
          <w:color w:val="auto"/>
        </w:rPr>
      </w:pPr>
      <w:r>
        <w:rPr>
          <w:rFonts w:ascii="Arial" w:cs="Arial" w:eastAsia="Arial" w:hAnsi="Arial"/>
          <w:sz w:val="16"/>
          <w:szCs w:val="16"/>
          <w:b w:val="1"/>
          <w:bCs w:val="1"/>
          <w:color w:val="auto"/>
        </w:rPr>
        <w:t>Registration No. 333-______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 2020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“2020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800-927-9800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areas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Tahra Wright,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(212) 407-4000</w:t>
      </w:r>
    </w:p>
    <w:p>
      <w:pPr>
        <w:spacing w:after="0" w:line="21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ectPr>
          <w:pgSz w:w="11900" w:h="16838" w:orient="portrait"/>
          <w:cols w:equalWidth="0" w:num="3">
            <w:col w:w="5480" w:space="720"/>
            <w:col w:w="1960" w:space="80"/>
            <w:col w:w="3000"/>
          </w:cols>
          <w:pgMar w:left="320" w:top="229"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1440" w:gutter="0" w:footer="0" w:header="0"/>
          <w:type w:val="continuous"/>
        </w:sectPr>
      </w:pPr>
    </w:p>
    <w:p>
      <w:pPr>
        <w:spacing w:after="0" w:line="21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160" w:type="dxa"/>
            <w:vAlign w:val="bottom"/>
            <w:gridSpan w:val="4"/>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maximum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9"/>
              </w:rPr>
              <w:t>Amount to be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offering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offering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registration</w:t>
            </w:r>
          </w:p>
        </w:tc>
      </w:tr>
      <w:tr>
        <w:trPr>
          <w:trHeight w:val="241"/>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2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per share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0"/>
                <w:szCs w:val="20"/>
                <w:color w:val="auto"/>
              </w:rPr>
            </w:pPr>
          </w:p>
        </w:tc>
      </w:tr>
      <w:tr>
        <w:trPr>
          <w:trHeight w:val="26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Shares, par value $0.0001</w:t>
            </w: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11,011,663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22,243,559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2,887.21</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also covers any additional securities that may be offered or issued pursuant to the anti-dilution adjustment provisions of the CLPS Incorporation 2020 Equity Incentive Plan (the “2020 Equity Incentive Plan”).</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11,011,663 shares to be registered that are reserved for future grants under pursuant to the 2020 Equity Incentive Plan.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under the Securities Act, based on the average of the high and low selling prices of the Company’s common stock as reported on the Nasdaq Stock Market on 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Registration Statement is being filed by the Registrant to register 11,011,663 shares reserved and available for issuance pursuant to the CLPS Incorporation 2020 Equity Incentive Plan adopted by the Board of Directors of the Company (the “2020 Equity Incentive Plan”) and approved by the Company’s shareholders at the 2020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ind w:left="340" w:hanging="332"/>
        <w:spacing w:after="0" w:line="288"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documents containing the information specified in this Part I of Form S-8 (Plan Information and Registration Information and Employee Plan Annual Information) will be sent or given to recipients of the grants under the CLPS Incorporation 2020 Equity Incentive Plan adopted by the Board of Directors of the Company (the “2020 Equity Incentive Plan”)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CLPS Incorporation (the “Company”) is subject to the informational requirements of the Securities Exchange Act of 1934, as amended (the “1934 Act”) and, accordingly, files periodic reports and other information with the Commission. Reports, proxy statements and other information concerning the Company filed with the Commission may be inspected and copies may be obtained (at prescribed rates) at the Commission’s Public Reference Section, Room 1024, 100 F Street, N.E., Room 1580, Washington, D.C. 20549. The Commission also maintains a Web site that contains reports, proxy and information statements and other information regarding registrants that file electronically with the Commission, including the Company. The address for the Commission’s Web site is “http://www.sec.gov”. The following documents are incorporated by reference in this Registration Statement:</w:t>
      </w:r>
    </w:p>
    <w:p>
      <w:pPr>
        <w:spacing w:after="0" w:line="16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Company’s Annual Report on </w:t>
      </w:r>
      <w:hyperlink r:id="rId16">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June 30, 2019 filed with the Commission on October 21, 2019,</w:t>
      </w:r>
    </w:p>
    <w:p>
      <w:pPr>
        <w:spacing w:after="0" w:line="34"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6-K furnished to the Commission on </w:t>
      </w:r>
      <w:hyperlink r:id="rId17">
        <w:r>
          <w:rPr>
            <w:rFonts w:ascii="Arial" w:cs="Arial" w:eastAsia="Arial" w:hAnsi="Arial"/>
            <w:sz w:val="18"/>
            <w:szCs w:val="18"/>
            <w:u w:val="single" w:color="auto"/>
            <w:color w:val="0000EE"/>
          </w:rPr>
          <w:t>September 24</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September 26</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November 4</w:t>
        </w:r>
      </w:hyperlink>
      <w:r>
        <w:rPr>
          <w:rFonts w:ascii="Arial" w:cs="Arial" w:eastAsia="Arial" w:hAnsi="Arial"/>
          <w:sz w:val="18"/>
          <w:szCs w:val="18"/>
          <w:color w:val="auto"/>
        </w:rPr>
        <w:t xml:space="preserve">, 2019, </w:t>
      </w:r>
      <w:hyperlink r:id="rId20">
        <w:r>
          <w:rPr>
            <w:rFonts w:ascii="Arial" w:cs="Arial" w:eastAsia="Arial" w:hAnsi="Arial"/>
            <w:sz w:val="18"/>
            <w:szCs w:val="18"/>
            <w:u w:val="single" w:color="auto"/>
            <w:color w:val="0000EE"/>
          </w:rPr>
          <w:t>March 3</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March 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0000EE"/>
          </w:rPr>
          <w:t>March 12,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ind w:left="980" w:right="20" w:hanging="324"/>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Company’s Shares contained in Item 1 of the registration statement on </w:t>
      </w:r>
      <w:hyperlink r:id="rId23">
        <w:r>
          <w:rPr>
            <w:rFonts w:ascii="Arial" w:cs="Arial" w:eastAsia="Arial" w:hAnsi="Arial"/>
            <w:sz w:val="18"/>
            <w:szCs w:val="18"/>
            <w:u w:val="single" w:color="auto"/>
            <w:color w:val="0000EE"/>
          </w:rPr>
          <w:t>Form 8-A12B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001-38505) filed with the Commission on May 22, 2018.</w:t>
      </w:r>
    </w:p>
    <w:p>
      <w:pPr>
        <w:spacing w:after="0" w:line="185" w:lineRule="exact"/>
        <w:rPr>
          <w:rFonts w:ascii="Arial" w:cs="Arial" w:eastAsia="Arial" w:hAnsi="Arial"/>
          <w:sz w:val="18"/>
          <w:szCs w:val="18"/>
          <w:color w:val="0000EE"/>
        </w:rPr>
      </w:pPr>
    </w:p>
    <w:p>
      <w:pPr>
        <w:jc w:val="both"/>
        <w:ind w:firstLine="648"/>
        <w:spacing w:after="0" w:line="273" w:lineRule="auto"/>
        <w:rPr>
          <w:sz w:val="20"/>
          <w:szCs w:val="20"/>
          <w:color w:val="auto"/>
        </w:rPr>
      </w:pPr>
      <w:r>
        <w:rPr>
          <w:rFonts w:ascii="Arial" w:cs="Arial" w:eastAsia="Arial" w:hAnsi="Arial"/>
          <w:sz w:val="17"/>
          <w:szCs w:val="17"/>
          <w:color w:val="auto"/>
        </w:rPr>
        <w:t>Except to the extent such information is deemed furnished and not filed pursuant to securities laws and regulations, all documents filed by the Company pursuant to Sections 13(a), 13(c), 14 or 15(d) of the Securities Exchange Act of 1934, as amended (the “Exchange Act”), and, to the extent specifically designated therein, reports on Form 6-K furnished by the Company to the Commission, in each case, subsequent to the effective date of this Registration Statement and prior to the filing of a post-effective amendment to this Registration Statement indicating that all securities offered under this Registration Statement have been sold, or deregistering all securities then remaining unsold, shall be deemed to be incorporated by reference in this Registration Statement and to be a part hereof from the date of filing or furnishing of such documents.</w:t>
      </w:r>
    </w:p>
    <w:p>
      <w:pPr>
        <w:spacing w:after="0" w:line="178" w:lineRule="exact"/>
        <w:rPr>
          <w:rFonts w:ascii="Arial" w:cs="Arial" w:eastAsia="Arial" w:hAnsi="Arial"/>
          <w:sz w:val="18"/>
          <w:szCs w:val="18"/>
          <w:color w:val="0000EE"/>
        </w:rPr>
      </w:pPr>
    </w:p>
    <w:p>
      <w:pPr>
        <w:jc w:val="both"/>
        <w:ind w:firstLine="648"/>
        <w:spacing w:after="0" w:line="301" w:lineRule="auto"/>
        <w:rPr>
          <w:sz w:val="20"/>
          <w:szCs w:val="20"/>
          <w:color w:val="auto"/>
        </w:rPr>
      </w:pPr>
      <w:r>
        <w:rPr>
          <w:rFonts w:ascii="Arial" w:cs="Arial" w:eastAsia="Arial" w:hAnsi="Arial"/>
          <w:sz w:val="16"/>
          <w:szCs w:val="16"/>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53"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0000EE"/>
        </w:rPr>
      </w:pPr>
    </w:p>
    <w:p>
      <w:pPr>
        <w:jc w:val="both"/>
        <w:ind w:firstLine="648"/>
        <w:spacing w:after="0" w:line="271" w:lineRule="auto"/>
        <w:rPr>
          <w:sz w:val="20"/>
          <w:szCs w:val="20"/>
          <w:color w:val="auto"/>
        </w:rPr>
      </w:pPr>
      <w:r>
        <w:rPr>
          <w:rFonts w:ascii="Arial" w:cs="Arial" w:eastAsia="Arial" w:hAnsi="Arial"/>
          <w:sz w:val="17"/>
          <w:szCs w:val="17"/>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87"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list of all exhibits filed or included as part of this Registration Statement, see “Index to Exhibits” at the end of this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25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40" w:hanging="206"/>
        <w:spacing w:after="0"/>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jc w:val="both"/>
        <w:ind w:left="1040" w:firstLine="394"/>
        <w:spacing w:after="0" w:line="272" w:lineRule="auto"/>
        <w:tabs>
          <w:tab w:leader="none" w:pos="1699"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040" w:right="20" w:firstLine="394"/>
        <w:spacing w:after="0" w:line="277" w:lineRule="auto"/>
        <w:tabs>
          <w:tab w:leader="none" w:pos="174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left="660" w:firstLine="385"/>
        <w:spacing w:after="0" w:line="263" w:lineRule="auto"/>
        <w:tabs>
          <w:tab w:leader="none" w:pos="13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firstLine="385"/>
        <w:spacing w:after="0" w:line="277" w:lineRule="auto"/>
        <w:tabs>
          <w:tab w:leader="none" w:pos="131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People’s Republic of China, on April 24,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Date: April 24, 2020</w:t>
            </w:r>
          </w:p>
        </w:tc>
        <w:tc>
          <w:tcPr>
            <w:tcW w:w="3080" w:type="dxa"/>
            <w:vAlign w:val="bottom"/>
          </w:tcPr>
          <w:p>
            <w:pPr>
              <w:ind w:left="26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4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4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4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Date: April 24, 2020</w:t>
            </w:r>
          </w:p>
        </w:tc>
        <w:tc>
          <w:tcPr>
            <w:tcW w:w="3080" w:type="dxa"/>
            <w:vAlign w:val="bottom"/>
          </w:tcPr>
          <w:p>
            <w:pPr>
              <w:ind w:left="26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 Yang</w:t>
            </w:r>
          </w:p>
        </w:tc>
      </w:tr>
      <w:tr>
        <w:trPr>
          <w:trHeight w:val="202"/>
        </w:trPr>
        <w:tc>
          <w:tcPr>
            <w:tcW w:w="4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Rui Yang</w:t>
            </w:r>
          </w:p>
        </w:tc>
      </w:tr>
      <w:tr>
        <w:trPr>
          <w:trHeight w:val="216"/>
        </w:trPr>
        <w:tc>
          <w:tcPr>
            <w:tcW w:w="4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4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Raymond Ming Hui Lin,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2"/>
                <w:szCs w:val="22"/>
                <w:color w:val="auto"/>
              </w:rPr>
            </w:pPr>
          </w:p>
        </w:tc>
        <w:tc>
          <w:tcPr>
            <w:tcW w:w="494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Chairman, President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Xiao Feng Yang</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Raymond Ming Hui Lin</w:t>
            </w:r>
          </w:p>
        </w:tc>
        <w:tc>
          <w:tcPr>
            <w:tcW w:w="51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 Yang</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Acting 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Rui Yang</w:t>
            </w:r>
          </w:p>
        </w:tc>
        <w:tc>
          <w:tcPr>
            <w:tcW w:w="51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02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Jin He Shao</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Chong Seng Kee</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Chong Seng Kee</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Kathryn Amooi</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8">
        <w:r>
          <w:rPr>
            <w:rFonts w:ascii="Arial" w:cs="Arial" w:eastAsia="Arial" w:hAnsi="Arial"/>
            <w:sz w:val="16"/>
            <w:szCs w:val="16"/>
            <w:u w:val="single" w:color="auto"/>
            <w:color w:val="0000EE"/>
          </w:rPr>
          <w:t>Specimen share certificate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9">
        <w:r>
          <w:rPr>
            <w:rFonts w:ascii="Arial" w:cs="Arial" w:eastAsia="Arial" w:hAnsi="Arial"/>
            <w:sz w:val="16"/>
            <w:szCs w:val="16"/>
            <w:u w:val="single" w:color="auto"/>
            <w:color w:val="0000EE"/>
          </w:rPr>
          <w:t>Opinion of Ogier</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3">
        <w:r>
          <w:rPr>
            <w:rFonts w:ascii="Arial" w:cs="Arial" w:eastAsia="Arial" w:hAnsi="Arial"/>
            <w:sz w:val="16"/>
            <w:szCs w:val="16"/>
            <w:u w:val="single" w:color="auto"/>
            <w:color w:val="0000EE"/>
          </w:rPr>
          <w:t>2020 Equity Incentive Plan.</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6">
        <w:r>
          <w:rPr>
            <w:rFonts w:ascii="Arial" w:cs="Arial" w:eastAsia="Arial" w:hAnsi="Arial"/>
            <w:sz w:val="16"/>
            <w:szCs w:val="16"/>
            <w:u w:val="single" w:color="auto"/>
            <w:color w:val="0000EE"/>
          </w:rPr>
          <w:t>Consent of Ernst &amp; Young Hua Ming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
        <w:r>
          <w:rPr>
            <w:rFonts w:ascii="Arial" w:cs="Arial" w:eastAsia="Arial" w:hAnsi="Arial"/>
            <w:sz w:val="16"/>
            <w:szCs w:val="16"/>
            <w:u w:val="single" w:color="auto"/>
            <w:color w:val="0000EE"/>
          </w:rPr>
          <w:t>Power of Attorney (included on signature page hereof)</w:t>
        </w:r>
        <w:r>
          <w:rPr>
            <w:rFonts w:ascii="Arial" w:cs="Arial" w:eastAsia="Arial" w:hAnsi="Arial"/>
            <w:sz w:val="16"/>
            <w:szCs w:val="16"/>
            <w:color w:val="0000EE"/>
          </w:rPr>
          <w:t>.</w:t>
        </w:r>
      </w:hyperlink>
    </w:p>
    <w:p>
      <w:pPr>
        <w:spacing w:after="0" w:line="211"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filed with CLPS Incorporation’s Registration Statement on Form F-1 or amendments thereto (File No. 333-223956).</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024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11" w:right="3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 - Ogier Global (Cayman)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89 Nexus Way, Camana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KY1-9009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21 April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nathan.powell@ogier.com</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1545" w:lineRule="exact"/>
        <w:rPr>
          <w:sz w:val="20"/>
          <w:szCs w:val="20"/>
          <w:color w:val="auto"/>
        </w:rPr>
      </w:pPr>
    </w:p>
    <w:p>
      <w:pPr>
        <w:sectPr>
          <w:pgSz w:w="11900" w:h="16838" w:orient="portrait"/>
          <w:cols w:equalWidth="0" w:num="2">
            <w:col w:w="5920" w:space="720"/>
            <w:col w:w="4600"/>
          </w:cols>
          <w:pgMar w:left="320" w:top="111" w:right="339" w:bottom="1440" w:gutter="0" w:footer="0" w:header="0"/>
          <w:type w:val="continuous"/>
        </w:sectPr>
      </w:pP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registration statement on Form S-8, including all amendments or supplements thereto (the </w:t>
      </w:r>
      <w:r>
        <w:rPr>
          <w:rFonts w:ascii="Arial" w:cs="Arial" w:eastAsia="Arial" w:hAnsi="Arial"/>
          <w:sz w:val="18"/>
          <w:szCs w:val="18"/>
          <w:b w:val="1"/>
          <w:bCs w:val="1"/>
          <w:color w:val="auto"/>
        </w:rPr>
        <w:t>Form S-8</w:t>
      </w:r>
      <w:r>
        <w:rPr>
          <w:rFonts w:ascii="Arial" w:cs="Arial" w:eastAsia="Arial" w:hAnsi="Arial"/>
          <w:sz w:val="18"/>
          <w:szCs w:val="18"/>
          <w:color w:val="auto"/>
        </w:rPr>
        <w:t xml:space="preserve">), as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The Form S-8 relates to the Company’s 2020 Equity Incentive Plan adopted by the board of directors of the Company and approved by the shareholders of the Company at the annual general meeting of the Company held on 3 April 2020 (the </w:t>
      </w:r>
      <w:r>
        <w:rPr>
          <w:rFonts w:ascii="Arial" w:cs="Arial" w:eastAsia="Arial" w:hAnsi="Arial"/>
          <w:sz w:val="18"/>
          <w:szCs w:val="18"/>
          <w:b w:val="1"/>
          <w:bCs w:val="1"/>
          <w:color w:val="auto"/>
        </w:rPr>
        <w:t>2020 Equity Incentive Plan</w:t>
      </w:r>
      <w:r>
        <w:rPr>
          <w:rFonts w:ascii="Arial" w:cs="Arial" w:eastAsia="Arial" w:hAnsi="Arial"/>
          <w:sz w:val="18"/>
          <w:szCs w:val="18"/>
          <w:color w:val="auto"/>
        </w:rPr>
        <w: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 certificate of good standing dated 14 April 2020 (the </w:t>
      </w:r>
      <w:r>
        <w:rPr>
          <w:rFonts w:ascii="Arial" w:cs="Arial" w:eastAsia="Arial" w:hAnsi="Arial"/>
          <w:sz w:val="16"/>
          <w:szCs w:val="16"/>
          <w:b w:val="1"/>
          <w:bCs w:val="1"/>
          <w:color w:val="auto"/>
        </w:rPr>
        <w:t>Good Standing Certificate</w:t>
      </w:r>
      <w:r>
        <w:rPr>
          <w:rFonts w:ascii="Arial" w:cs="Arial" w:eastAsia="Arial" w:hAnsi="Arial"/>
          <w:sz w:val="16"/>
          <w:szCs w:val="16"/>
          <w:color w:val="auto"/>
        </w:rPr>
        <w:t>) issued by the Registrar in respect of the Company;</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filed with the Registrar on 13 March 2020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20"/>
                <w:szCs w:val="20"/>
                <w:color w:val="auto"/>
              </w:rPr>
            </w:pPr>
            <w:r>
              <w:rPr>
                <w:rFonts w:ascii="Arial" w:cs="Arial" w:eastAsia="Arial" w:hAnsi="Arial"/>
                <w:sz w:val="18"/>
                <w:szCs w:val="18"/>
                <w:b w:val="1"/>
                <w:bCs w:val="1"/>
                <w:color w:val="auto"/>
              </w:rPr>
              <w:t>Ogier</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2"/>
              </w:rPr>
              <w:t>British Virgin Islands, Cayman Islands, Guernsey, Jersey</w:t>
            </w:r>
          </w:p>
        </w:tc>
        <w:tc>
          <w:tcPr>
            <w:tcW w:w="7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and Luxembourg</w:t>
            </w:r>
          </w:p>
        </w:tc>
        <w:tc>
          <w:tcPr>
            <w:tcW w:w="7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Partners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practitioners</w:t>
            </w:r>
          </w:p>
        </w:tc>
        <w:tc>
          <w:tcPr>
            <w:tcW w:w="7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Nicholas Plowman</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Floor 11 Central Tower</w:t>
            </w:r>
          </w:p>
        </w:tc>
        <w:tc>
          <w:tcPr>
            <w:tcW w:w="7040" w:type="dxa"/>
            <w:vAlign w:val="bottom"/>
          </w:tcPr>
          <w:p>
            <w:pPr>
              <w:ind w:left="80"/>
              <w:spacing w:after="0"/>
              <w:rPr>
                <w:sz w:val="20"/>
                <w:szCs w:val="20"/>
                <w:color w:val="auto"/>
              </w:rPr>
            </w:pPr>
            <w:r>
              <w:rPr>
                <w:rFonts w:ascii="Arial" w:cs="Arial" w:eastAsia="Arial" w:hAnsi="Arial"/>
                <w:sz w:val="18"/>
                <w:szCs w:val="18"/>
                <w:color w:val="auto"/>
              </w:rPr>
              <w:t>Nathan Powell</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28 Queen’s Road Central</w:t>
            </w:r>
          </w:p>
        </w:tc>
        <w:tc>
          <w:tcPr>
            <w:tcW w:w="7040" w:type="dxa"/>
            <w:vAlign w:val="bottom"/>
          </w:tcPr>
          <w:p>
            <w:pPr>
              <w:ind w:left="80"/>
              <w:spacing w:after="0"/>
              <w:rPr>
                <w:sz w:val="20"/>
                <w:szCs w:val="20"/>
                <w:color w:val="auto"/>
              </w:rPr>
            </w:pPr>
            <w:r>
              <w:rPr>
                <w:rFonts w:ascii="Arial" w:cs="Arial" w:eastAsia="Arial" w:hAnsi="Arial"/>
                <w:sz w:val="18"/>
                <w:szCs w:val="18"/>
                <w:color w:val="auto"/>
              </w:rPr>
              <w:t>Ray Ng</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Central</w:t>
            </w:r>
          </w:p>
        </w:tc>
        <w:tc>
          <w:tcPr>
            <w:tcW w:w="7040" w:type="dxa"/>
            <w:vAlign w:val="bottom"/>
          </w:tcPr>
          <w:p>
            <w:pPr>
              <w:ind w:left="80"/>
              <w:spacing w:after="0"/>
              <w:rPr>
                <w:sz w:val="20"/>
                <w:szCs w:val="20"/>
                <w:color w:val="auto"/>
              </w:rPr>
            </w:pPr>
            <w:r>
              <w:rPr>
                <w:rFonts w:ascii="Arial" w:cs="Arial" w:eastAsia="Arial" w:hAnsi="Arial"/>
                <w:sz w:val="18"/>
                <w:szCs w:val="18"/>
                <w:color w:val="auto"/>
              </w:rPr>
              <w:t>Kate Hodson</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Hong Kong</w:t>
            </w:r>
          </w:p>
        </w:tc>
        <w:tc>
          <w:tcPr>
            <w:tcW w:w="7040" w:type="dxa"/>
            <w:vAlign w:val="bottom"/>
          </w:tcPr>
          <w:p>
            <w:pPr>
              <w:ind w:left="80"/>
              <w:spacing w:after="0"/>
              <w:rPr>
                <w:sz w:val="20"/>
                <w:szCs w:val="20"/>
                <w:color w:val="auto"/>
              </w:rPr>
            </w:pPr>
            <w:r>
              <w:rPr>
                <w:rFonts w:ascii="Arial" w:cs="Arial" w:eastAsia="Arial" w:hAnsi="Arial"/>
                <w:sz w:val="18"/>
                <w:szCs w:val="18"/>
                <w:color w:val="auto"/>
              </w:rPr>
              <w:t>David Nelson</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Anthony Oakes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 +852 3656 6000</w:t>
            </w:r>
          </w:p>
        </w:tc>
        <w:tc>
          <w:tcPr>
            <w:tcW w:w="7040" w:type="dxa"/>
            <w:vAlign w:val="bottom"/>
          </w:tcPr>
          <w:p>
            <w:pPr>
              <w:ind w:left="80"/>
              <w:spacing w:after="0"/>
              <w:rPr>
                <w:sz w:val="20"/>
                <w:szCs w:val="20"/>
                <w:color w:val="auto"/>
              </w:rPr>
            </w:pPr>
            <w:r>
              <w:rPr>
                <w:rFonts w:ascii="Arial" w:cs="Arial" w:eastAsia="Arial" w:hAnsi="Arial"/>
                <w:sz w:val="18"/>
                <w:szCs w:val="18"/>
                <w:color w:val="auto"/>
              </w:rPr>
              <w:t>Oliver Payne</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Arial" w:cs="Arial" w:eastAsia="Arial" w:hAnsi="Arial"/>
                <w:sz w:val="18"/>
                <w:szCs w:val="18"/>
                <w:color w:val="auto"/>
              </w:rPr>
              <w:t>F +852 3656 6001</w:t>
            </w:r>
          </w:p>
        </w:tc>
        <w:tc>
          <w:tcPr>
            <w:tcW w:w="7040" w:type="dxa"/>
            <w:vAlign w:val="bottom"/>
          </w:tcPr>
          <w:p>
            <w:pPr>
              <w:ind w:left="80"/>
              <w:spacing w:after="0"/>
              <w:rPr>
                <w:sz w:val="20"/>
                <w:szCs w:val="20"/>
                <w:color w:val="auto"/>
              </w:rPr>
            </w:pPr>
            <w:r>
              <w:rPr>
                <w:rFonts w:ascii="Arial" w:cs="Arial" w:eastAsia="Arial" w:hAnsi="Arial"/>
                <w:sz w:val="18"/>
                <w:szCs w:val="18"/>
                <w:color w:val="auto"/>
              </w:rPr>
              <w:t>James Bergstrom</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7040" w:type="dxa"/>
            <w:vAlign w:val="bottom"/>
          </w:tcPr>
          <w:p>
            <w:pPr>
              <w:ind w:left="80"/>
              <w:spacing w:after="0"/>
              <w:rPr>
                <w:sz w:val="20"/>
                <w:szCs w:val="20"/>
                <w:color w:val="auto"/>
              </w:rPr>
            </w:pPr>
            <w:r>
              <w:rPr>
                <w:rFonts w:ascii="Arial" w:cs="Arial" w:eastAsia="Arial" w:hAnsi="Arial"/>
                <w:sz w:val="18"/>
                <w:szCs w:val="18"/>
                <w:color w:val="auto"/>
              </w:rPr>
              <w:t>Marcus Leese</w:t>
            </w:r>
          </w:p>
        </w:tc>
        <w:tc>
          <w:tcPr>
            <w:tcW w:w="0" w:type="dxa"/>
            <w:vAlign w:val="bottom"/>
          </w:tcPr>
          <w:p>
            <w:pPr>
              <w:spacing w:after="0"/>
              <w:rPr>
                <w:sz w:val="1"/>
                <w:szCs w:val="1"/>
                <w:color w:val="auto"/>
              </w:rPr>
            </w:pPr>
          </w:p>
        </w:tc>
      </w:tr>
      <w:tr>
        <w:trPr>
          <w:trHeight w:val="682"/>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type w:val="continuous"/>
        </w:sectPr>
      </w:pPr>
    </w:p>
    <w:bookmarkStart w:id="9" w:name="page10"/>
    <w:bookmarkEnd w:id="9"/>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listed register of members of the Company as at 6 February 2020 maintained by Continental Stock Transfer &amp; Trust Co and provided to us by the Company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S-8;</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copy of the minutes of the meeting of the board of directors held on 28 February 2020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copy of the minutes of the annual general meeting of the Company held on 3 April 2020 (the </w:t>
      </w:r>
      <w:r>
        <w:rPr>
          <w:rFonts w:ascii="Arial" w:cs="Arial" w:eastAsia="Arial" w:hAnsi="Arial"/>
          <w:sz w:val="18"/>
          <w:szCs w:val="18"/>
          <w:b w:val="1"/>
          <w:bCs w:val="1"/>
          <w:color w:val="auto"/>
        </w:rPr>
        <w:t>Shareholders’ Resolutions</w:t>
      </w:r>
      <w:r>
        <w:rPr>
          <w:rFonts w:ascii="Arial" w:cs="Arial" w:eastAsia="Arial" w:hAnsi="Arial"/>
          <w:sz w:val="18"/>
          <w:szCs w:val="18"/>
          <w:color w:val="auto"/>
        </w:rPr>
        <w:t xml:space="preserve">,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2020 Equity Incentive Plan (attached as Exhibit A to the Board Resolutions).</w:t>
      </w:r>
    </w:p>
    <w:p>
      <w:pPr>
        <w:spacing w:after="0" w:line="22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the Good Standing Certificate, the Registers and the 2020 Equity Incentive Plan is accurate and complete as at the date of this opinion;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copies of the Form S-8 are true and correct copies and the Form S-8 conform in every material respect to the latest drafts of the same produced to us and, where the Form S-8 has been provided to us in successive drafts marked-up to indicate changes to such documents, all such changes have been so indicated;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Resolutions have been duly passed in accordance with the Memorandum and Articles and remains in full force and effect;</w:t>
      </w:r>
    </w:p>
    <w:p>
      <w:pPr>
        <w:spacing w:after="0" w:line="23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the directors of the Company has acted in good faith with a view to the best interests of the Company and has exercised the standard of care, diligence and skill that is required of him or her in approving the 2020 Equity Incentive Plan and no director has a financial interest in or other relationship to a party of the transactions contemplated by the 2020 Equity Incentive Plan which has not been properly disclosed in the Board Resolutions;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maximum number of shares which the Company is required to issue under the 2020 Equity Incentive Plan to fulfil its obligation is 11,011,663 ordinary shares of US$0.0001 par value each of the Company (the </w:t>
      </w:r>
      <w:r>
        <w:rPr>
          <w:rFonts w:ascii="Arial" w:cs="Arial" w:eastAsia="Arial" w:hAnsi="Arial"/>
          <w:sz w:val="18"/>
          <w:szCs w:val="18"/>
          <w:b w:val="1"/>
          <w:bCs w:val="1"/>
          <w:color w:val="auto"/>
        </w:rPr>
        <w:t>ESOP Shares</w:t>
      </w:r>
      <w:r>
        <w:rPr>
          <w:rFonts w:ascii="Arial" w:cs="Arial" w:eastAsia="Arial" w:hAnsi="Arial"/>
          <w:sz w:val="18"/>
          <w:szCs w:val="18"/>
          <w:color w:val="auto"/>
        </w:rPr>
        <w:t>) and the consideration payable for each ESOP Shares shall be no less than the par value of US$0.0001 each;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16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Authorised Shares</w:t>
      </w:r>
    </w:p>
    <w:p>
      <w:pPr>
        <w:spacing w:after="0" w:line="229"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the Memorandum, the authorised share capital of the Company is US$10,000 divided into 100,000,000 shares of US$0.0001 par value.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Valid Issuance of ESOP Shares</w:t>
      </w:r>
    </w:p>
    <w:p>
      <w:pPr>
        <w:spacing w:after="0" w:line="229" w:lineRule="exact"/>
        <w:rPr>
          <w:sz w:val="20"/>
          <w:szCs w:val="20"/>
          <w:color w:val="auto"/>
        </w:rPr>
      </w:pPr>
    </w:p>
    <w:p>
      <w:pPr>
        <w:jc w:val="both"/>
        <w:ind w:left="1300" w:hanging="644"/>
        <w:spacing w:after="0" w:line="293"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ESOP Shares to be issued under the 2020 Equity Incentive Plan have been duly authorised by all necessary corporate action of the Company under the Memorandum and Articles and, upon the issuance and delivery of the ESOP Shares in accordance with the Memorandum and Articles, Board Resolutions and the terms of the 2020 Equity Incentive Plan and once consideration of not less than the par value is paid per share in accordance with the Equity Incentive Plan to the Company, the ESOP Shares will be duly authorized, validly issued, fully paid and non-assessable. Once the register of members has been updated to reflect the issuance, the shareholders recorded in the register of members will be deemed to have legal title to the shares set against their respective name.</w:t>
      </w:r>
    </w:p>
    <w:p>
      <w:pPr>
        <w:spacing w:after="0" w:line="16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2020 Equity Incentive Plan to statutes, rules, regulations, codes or judicial authority of any jurisdiction other than the Cayman Islands;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left="13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p>
      <w:pPr>
        <w:spacing w:after="0" w:line="183" w:lineRule="exact"/>
        <w:rPr>
          <w:sz w:val="20"/>
          <w:szCs w:val="20"/>
          <w:color w:val="auto"/>
        </w:rPr>
      </w:pPr>
    </w:p>
    <w:p>
      <w:pPr>
        <w:jc w:val="both"/>
        <w:ind w:left="640" w:hanging="633"/>
        <w:spacing w:after="0" w:line="281"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40" w:hanging="633"/>
        <w:spacing w:after="0" w:line="289"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15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Form S-8.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opinion may be used only in connection with the Form S-8 while the 2020 Equity Incentive Plan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Ogier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2020 Equity Incentive Plan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The purpose of the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Award</w:t>
      </w:r>
      <w:r>
        <w:rPr>
          <w:rFonts w:ascii="Arial" w:cs="Arial" w:eastAsia="Arial" w:hAnsi="Arial"/>
          <w:sz w:val="16"/>
          <w:szCs w:val="16"/>
          <w:color w:val="auto"/>
        </w:rPr>
        <w:t>” means any award or benefit granted under the Plan, which shall be a Stock Option, a Stock Award, a Stock Unit Award or an SAR.</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Stock Award Agreement, Stock Unit Award Agreement or SAR Agreement evidencing an Award granted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8.2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means CLPS Incorporation.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who is engaged by the Company or a Subsidiary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 who is not an employee of the Company or a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28,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ind w:firstLine="648"/>
        <w:spacing w:after="0" w:line="301"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closing price of a Share on the national securities exchange on which the Shares are listed, or, if the Shares are not listed on a national securities exchange, the over-the-counter market on which the Shares trades, or, if the Shares is not listed on a national securities exchange or an over-the-counter market, as determined by the Board as of such date in accordance with the requirements of Code Section 422 or 409A, as applicable, or, if no trading occurred on such date, as of the trading day immediately preceding such date.</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Employee</w:t>
      </w:r>
      <w:r>
        <w:rPr>
          <w:rFonts w:ascii="Arial" w:cs="Arial" w:eastAsia="Arial" w:hAnsi="Arial"/>
          <w:sz w:val="18"/>
          <w:szCs w:val="18"/>
          <w:color w:val="auto"/>
        </w:rPr>
        <w:t>” means an employee of the Company or any Subsidiary selected to participate in the Plan in accordance with Section 3. A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u w:val="single" w:color="auto"/>
          <w:color w:val="auto"/>
        </w:rPr>
        <w:t>Family Member</w:t>
      </w:r>
      <w:r>
        <w:rPr>
          <w:rFonts w:ascii="Arial" w:cs="Arial" w:eastAsia="Arial" w:hAnsi="Arial"/>
          <w:sz w:val="17"/>
          <w:szCs w:val="17"/>
          <w:color w:val="auto"/>
        </w:rPr>
        <w:t>” unless otherwise defined by applicable tax laws,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fifty percent (50%) of the beneficial interest, a foundation in which such persons (or the Participant) control the management of assets, and any other entity in which such persons (or the Participant) own more than fifty percent (50%) of the voting interests.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Founder</w:t>
      </w:r>
      <w:r>
        <w:rPr>
          <w:rFonts w:ascii="Arial" w:cs="Arial" w:eastAsia="Arial" w:hAnsi="Arial"/>
          <w:sz w:val="18"/>
          <w:szCs w:val="18"/>
          <w:color w:val="auto"/>
        </w:rPr>
        <w:t>” means the Company’s co-founder Raymond Lin.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2.17 “</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or “</w:t>
      </w:r>
      <w:r>
        <w:rPr>
          <w:rFonts w:ascii="Arial" w:cs="Arial" w:eastAsia="Arial" w:hAnsi="Arial"/>
          <w:sz w:val="17"/>
          <w:szCs w:val="17"/>
          <w:u w:val="single" w:color="auto"/>
          <w:color w:val="auto"/>
        </w:rPr>
        <w:t>NSO</w:t>
      </w:r>
      <w:r>
        <w:rPr>
          <w:rFonts w:ascii="Arial" w:cs="Arial" w:eastAsia="Arial" w:hAnsi="Arial"/>
          <w:sz w:val="17"/>
          <w:szCs w:val="17"/>
          <w:color w:val="auto"/>
        </w:rPr>
        <w:t>” means a Stock Option granted under Section 5 of the Plan that is not an Incentive Stock Option.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or Consultant selected to receive an Award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Plan</w:t>
      </w:r>
      <w:r>
        <w:rPr>
          <w:rFonts w:ascii="Arial" w:cs="Arial" w:eastAsia="Arial" w:hAnsi="Arial"/>
          <w:sz w:val="18"/>
          <w:szCs w:val="18"/>
          <w:color w:val="auto"/>
        </w:rPr>
        <w:t>” means this 2020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common shares with a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grant of a right to receive Shares or cash under Section 8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Stock Award</w:t>
      </w:r>
      <w:r>
        <w:rPr>
          <w:rFonts w:ascii="Arial" w:cs="Arial" w:eastAsia="Arial" w:hAnsi="Arial"/>
          <w:sz w:val="18"/>
          <w:szCs w:val="18"/>
          <w:color w:val="auto"/>
        </w:rPr>
        <w:t>” means a grant of Shares under Section 6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Incentive Stock Option or a Non-Qualified Stock Option granted under Section 5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Stock Unit Award</w:t>
      </w:r>
      <w:r>
        <w:rPr>
          <w:rFonts w:ascii="Arial" w:cs="Arial" w:eastAsia="Arial" w:hAnsi="Arial"/>
          <w:sz w:val="18"/>
          <w:szCs w:val="18"/>
          <w:color w:val="auto"/>
        </w:rPr>
        <w:t>” means a grant of a right to receive Shares or cash under Section 7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means a termination of a Participant’s service with the Company or a Subsidiary, as applicable, for any reason, including, without limitation, disability or death. In the event Termination of Service shall constitute a payment event with respect to any Award subject to Code Section 409A, Termination of Service shall only be deemed to occur upon a “separation from service” as such term is defined under Code Section 409A.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Committee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shall be administered by the Committee, which shall be comprised of at least two members of the Board who satisfy the “non-employee director” definition set forth in Rule 16b-3 under the Exchange Act, unless the Board otherwise determines.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the Committee</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6"/>
        <w:spacing w:after="0" w:line="279" w:lineRule="auto"/>
        <w:tabs>
          <w:tab w:leader="none" w:pos="14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Committee, in its sole discretion, shall determine the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jc w:val="both"/>
        <w:ind w:left="540" w:firstLine="646"/>
        <w:spacing w:after="0" w:line="259" w:lineRule="auto"/>
        <w:tabs>
          <w:tab w:leader="none" w:pos="14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permitted by applicable law, regulation, and rules of a stock exchange on which the Shares are listed or traded, the Committee may delegate its authority to grant Awards to Employees and to determine the terms and conditions thereof to such officer of the Company as it may determine in its discretion, on such terms and conditions as it may impose, except with respect to Awards to officers subject to Section 16 of the Exchange Act.</w:t>
      </w:r>
    </w:p>
    <w:p>
      <w:pPr>
        <w:spacing w:after="0" w:line="186" w:lineRule="exact"/>
        <w:rPr>
          <w:rFonts w:ascii="Arial" w:cs="Arial" w:eastAsia="Arial" w:hAnsi="Arial"/>
          <w:sz w:val="18"/>
          <w:szCs w:val="18"/>
          <w:color w:val="auto"/>
        </w:rPr>
      </w:pPr>
    </w:p>
    <w:p>
      <w:pPr>
        <w:jc w:val="both"/>
        <w:ind w:left="540" w:firstLine="646"/>
        <w:spacing w:after="0" w:line="301" w:lineRule="auto"/>
        <w:tabs>
          <w:tab w:leader="none" w:pos="14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7" w:lineRule="exact"/>
        <w:rPr>
          <w:rFonts w:ascii="Arial" w:cs="Arial" w:eastAsia="Arial" w:hAnsi="Arial"/>
          <w:sz w:val="16"/>
          <w:szCs w:val="16"/>
          <w:color w:val="auto"/>
        </w:rPr>
      </w:pPr>
    </w:p>
    <w:p>
      <w:pPr>
        <w:jc w:val="both"/>
        <w:ind w:left="540" w:firstLine="646"/>
        <w:spacing w:after="0" w:line="263" w:lineRule="auto"/>
        <w:tabs>
          <w:tab w:leader="none" w:pos="1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6"/>
        <w:spacing w:after="0" w:line="271" w:lineRule="auto"/>
        <w:tabs>
          <w:tab w:leader="none" w:pos="14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 (ii) 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Section 4. Shares Subject to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Total Number of Shares</w:t>
      </w:r>
      <w:r>
        <w:rPr>
          <w:rFonts w:ascii="Arial" w:cs="Arial" w:eastAsia="Arial" w:hAnsi="Arial"/>
          <w:sz w:val="18"/>
          <w:szCs w:val="18"/>
          <w:color w:val="auto"/>
        </w:rPr>
        <w:t>.</w:t>
      </w:r>
    </w:p>
    <w:p>
      <w:pPr>
        <w:spacing w:after="0" w:line="225" w:lineRule="exact"/>
        <w:rPr>
          <w:sz w:val="20"/>
          <w:szCs w:val="20"/>
          <w:color w:val="auto"/>
        </w:rPr>
      </w:pPr>
    </w:p>
    <w:p>
      <w:pPr>
        <w:ind w:left="540" w:firstLine="646"/>
        <w:spacing w:after="0" w:line="277" w:lineRule="auto"/>
        <w:tabs>
          <w:tab w:leader="none" w:pos="14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Shares that may be issued under the Plan shall be 11,011,663. Such Shares may be either authorized but unissued shares or treasury shares, and shall be adjusted in accordance with the provisions of Section 4.3 of the Plan.</w:t>
      </w:r>
    </w:p>
    <w:p>
      <w:pPr>
        <w:spacing w:after="0" w:line="170" w:lineRule="exact"/>
        <w:rPr>
          <w:rFonts w:ascii="Arial" w:cs="Arial" w:eastAsia="Arial" w:hAnsi="Arial"/>
          <w:sz w:val="18"/>
          <w:szCs w:val="18"/>
          <w:color w:val="auto"/>
        </w:rPr>
      </w:pPr>
    </w:p>
    <w:p>
      <w:pPr>
        <w:jc w:val="both"/>
        <w:ind w:left="540" w:firstLine="646"/>
        <w:spacing w:after="0" w:line="296" w:lineRule="auto"/>
        <w:tabs>
          <w:tab w:leader="none" w:pos="14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Any Shares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spacing w:after="0" w:line="161" w:lineRule="exact"/>
        <w:rPr>
          <w:rFonts w:ascii="Arial" w:cs="Arial" w:eastAsia="Arial" w:hAnsi="Arial"/>
          <w:sz w:val="16"/>
          <w:szCs w:val="16"/>
          <w:color w:val="auto"/>
        </w:rPr>
      </w:pPr>
    </w:p>
    <w:p>
      <w:pPr>
        <w:jc w:val="both"/>
        <w:ind w:left="540" w:firstLine="646"/>
        <w:spacing w:after="0" w:line="279" w:lineRule="auto"/>
        <w:tabs>
          <w:tab w:leader="none" w:pos="14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there is a lapse, forfeiture, expiration, termination or cancellation of any Award for any reason (including for reasons described in Section 3.3),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Under Awards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jc w:val="both"/>
        <w:ind w:left="540" w:firstLine="646"/>
        <w:spacing w:after="0" w:line="259" w:lineRule="auto"/>
        <w:tabs>
          <w:tab w:leader="none" w:pos="1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as to which an Employee (other than the Founder to whom no annual limit is applicable) may receive Stock Options or SARs in any calendar year is 800,000, except that the maximum number of Shares as to which an Employee (other than the Founder) may receive Stock Options or SARs in the calendar year in which such Employee begins employment with the Company or its Subsidiaries is 1,000,000.</w:t>
      </w:r>
    </w:p>
    <w:p>
      <w:pPr>
        <w:spacing w:after="0" w:line="186" w:lineRule="exact"/>
        <w:rPr>
          <w:rFonts w:ascii="Arial" w:cs="Arial" w:eastAsia="Arial" w:hAnsi="Arial"/>
          <w:sz w:val="18"/>
          <w:szCs w:val="18"/>
          <w:color w:val="auto"/>
        </w:rPr>
      </w:pPr>
    </w:p>
    <w:p>
      <w:pPr>
        <w:ind w:left="1460" w:hanging="274"/>
        <w:spacing w:after="0"/>
        <w:tabs>
          <w:tab w:leader="none" w:pos="1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maximum number of Shares that may be subject to Stock Options (ISOs and/or NSOs) is full amount of Shares authorized under</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4.1.</w:t>
      </w:r>
    </w:p>
    <w:p>
      <w:pPr>
        <w:spacing w:after="0" w:line="210" w:lineRule="exact"/>
        <w:rPr>
          <w:rFonts w:ascii="Arial" w:cs="Arial" w:eastAsia="Arial" w:hAnsi="Arial"/>
          <w:sz w:val="16"/>
          <w:szCs w:val="16"/>
          <w:color w:val="auto"/>
        </w:rPr>
      </w:pPr>
    </w:p>
    <w:p>
      <w:pPr>
        <w:jc w:val="both"/>
        <w:ind w:left="540" w:firstLine="646"/>
        <w:spacing w:after="0" w:line="263" w:lineRule="auto"/>
        <w:tabs>
          <w:tab w:leader="none" w:pos="14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and/or Stock Unit Awards that may be granted to any Employee (other than the Founder) in any calendar year is 800,000, or, in the event the Award is settled in cash, an amount equal to the Fair Market Value of such number of Shares on the date on which the Award is settled.</w:t>
      </w:r>
    </w:p>
    <w:p>
      <w:pPr>
        <w:spacing w:after="0" w:line="183" w:lineRule="exact"/>
        <w:rPr>
          <w:rFonts w:ascii="Arial" w:cs="Arial" w:eastAsia="Arial" w:hAnsi="Arial"/>
          <w:sz w:val="18"/>
          <w:szCs w:val="18"/>
          <w:color w:val="auto"/>
        </w:rPr>
      </w:pPr>
    </w:p>
    <w:p>
      <w:pPr>
        <w:jc w:val="both"/>
        <w:ind w:left="540" w:firstLine="646"/>
        <w:spacing w:after="0" w:line="259" w:lineRule="auto"/>
        <w:tabs>
          <w:tab w:leader="none" w:pos="14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subject to Awards granted under the Plan or otherwise during any one calendar year to any Director for service on the Board, taken together with any cash fees paid by the Company to such Director during such calendar year for service on the Board, will not exceed $1,000,000 in total value (calculating the value of any such Awards based on the grant date fair value of such Awards for financial reporting purposes).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Grants of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terms of the Plan, the Committee may from time to time grant Stock Options to Participants. Stock Options granted under the Plan to Employees shall be NSOs unless the Award Agreement expressly provides that the Stock Option is an ISO. Stock Options granted under the Plan to Consultants and Directors who are not Employees shall be NSOs.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 and Exercise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540" w:firstLine="646"/>
        <w:spacing w:after="0" w:line="277" w:lineRule="auto"/>
        <w:tabs>
          <w:tab w:leader="none" w:pos="14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 Share exercise price of each Stock Option shall be the Fair Market Value of the Shares subject to the Stock Option on the date on which the Stock Option is granted, but such exercise price shall not be less than its par value.</w:t>
      </w:r>
    </w:p>
    <w:p>
      <w:pPr>
        <w:spacing w:after="0" w:line="170" w:lineRule="exact"/>
        <w:rPr>
          <w:rFonts w:ascii="Arial" w:cs="Arial" w:eastAsia="Arial" w:hAnsi="Arial"/>
          <w:sz w:val="18"/>
          <w:szCs w:val="18"/>
          <w:color w:val="auto"/>
        </w:rPr>
      </w:pPr>
    </w:p>
    <w:p>
      <w:pPr>
        <w:ind w:left="540" w:firstLine="646"/>
        <w:spacing w:after="0" w:line="277" w:lineRule="auto"/>
        <w:tabs>
          <w:tab w:leader="none" w:pos="14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Stock Option shall become exercisable as provided in the Stock Option Agreement; provided that the Committee shall have the discretion to accelerate the date as of which any Stock Option shall become exercisable.</w:t>
      </w:r>
    </w:p>
    <w:p>
      <w:pPr>
        <w:spacing w:after="0" w:line="170" w:lineRule="exact"/>
        <w:rPr>
          <w:rFonts w:ascii="Arial" w:cs="Arial" w:eastAsia="Arial" w:hAnsi="Arial"/>
          <w:sz w:val="18"/>
          <w:szCs w:val="18"/>
          <w:color w:val="auto"/>
        </w:rPr>
      </w:pPr>
    </w:p>
    <w:p>
      <w:pPr>
        <w:ind w:left="540" w:firstLine="646"/>
        <w:spacing w:after="0" w:line="277" w:lineRule="auto"/>
        <w:tabs>
          <w:tab w:leader="none" w:pos="1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dividends or dividend equivalents shall be paid with respect to any Shares subject to a Stock Option prior to the exercise of the Stock Option.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firstLine="646"/>
        <w:spacing w:after="0" w:line="277" w:lineRule="auto"/>
        <w:tabs>
          <w:tab w:leader="none" w:pos="9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Stock Option shall expire, and all rights to purchase Shares thereunder shall expire, on the tenth anniversary of the date the Stock Option was granted, unless an earlier expiration date is specified in the Award Agreement or dictated by Section 5.4.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Required Terms and Conditions of ISOs</w:t>
      </w:r>
      <w:r>
        <w:rPr>
          <w:rFonts w:ascii="Arial" w:cs="Arial" w:eastAsia="Arial" w:hAnsi="Arial"/>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foregoing, each ISO granted to an Employee shall be subject to the following specific rules:</w:t>
      </w:r>
    </w:p>
    <w:p>
      <w:pPr>
        <w:spacing w:after="0" w:line="225" w:lineRule="exact"/>
        <w:rPr>
          <w:sz w:val="20"/>
          <w:szCs w:val="20"/>
          <w:color w:val="auto"/>
        </w:rPr>
      </w:pPr>
    </w:p>
    <w:p>
      <w:pPr>
        <w:jc w:val="both"/>
        <w:ind w:firstLine="646"/>
        <w:spacing w:after="0" w:line="255" w:lineRule="auto"/>
        <w:tabs>
          <w:tab w:leader="none" w:pos="8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an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192" w:lineRule="exact"/>
        <w:rPr>
          <w:rFonts w:ascii="Arial" w:cs="Arial" w:eastAsia="Arial" w:hAnsi="Arial"/>
          <w:sz w:val="18"/>
          <w:szCs w:val="18"/>
          <w:color w:val="auto"/>
        </w:rPr>
      </w:pPr>
    </w:p>
    <w:p>
      <w:pPr>
        <w:jc w:val="both"/>
        <w:ind w:firstLine="646"/>
        <w:spacing w:after="0" w:line="257" w:lineRule="auto"/>
        <w:tabs>
          <w:tab w:leader="none" w:pos="9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 ISO is granted to an Employee who owns stock possessing more than 10% of the total combined voting power of all classes of stock of the Company (or its parent or subsidiaries within the meaning of Section 422(b)(6) of the Code): (i) the purchase price of each Shares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7" w:lineRule="exact"/>
        <w:rPr>
          <w:rFonts w:ascii="Arial" w:cs="Arial" w:eastAsia="Arial" w:hAnsi="Arial"/>
          <w:sz w:val="18"/>
          <w:szCs w:val="18"/>
          <w:color w:val="auto"/>
        </w:rPr>
      </w:pPr>
    </w:p>
    <w:p>
      <w:pPr>
        <w:ind w:firstLine="6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ISOs shall be granted under the Plan after ten years from the earlier of the date the Plan is adopted or approved by shareholders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6"/>
        <w:spacing w:after="0" w:line="26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Committee may prescribe. All notices or requests provided for herein shall be delivered to the Chief Financial Officer of the Company.</w:t>
      </w:r>
    </w:p>
    <w:p>
      <w:pPr>
        <w:spacing w:after="0" w:line="183" w:lineRule="exact"/>
        <w:rPr>
          <w:rFonts w:ascii="Arial" w:cs="Arial" w:eastAsia="Arial" w:hAnsi="Arial"/>
          <w:sz w:val="18"/>
          <w:szCs w:val="18"/>
          <w:color w:val="auto"/>
        </w:rPr>
      </w:pPr>
    </w:p>
    <w:p>
      <w:pPr>
        <w:jc w:val="both"/>
        <w:ind w:firstLine="646"/>
        <w:spacing w:after="0" w:line="254" w:lineRule="auto"/>
        <w:tabs>
          <w:tab w:leader="none" w:pos="9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otherwise issuable in connection with the exercise of the Stock Option having an aggregate Fair Market Value equal to the exercise price; or (iv) by delivering previously acquired Shares that are acceptable to the Committee and that have an aggregate Fair Market Value on the date of exercise equal to the Stock Option exercise price. The Committee shall have the sole discretion to establish the terms and conditions applicable to any alternative made available for payment of the Stock Option exercise price.</w:t>
      </w:r>
    </w:p>
    <w:p>
      <w:pPr>
        <w:spacing w:after="0" w:line="400"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60" w:top="908" w:right="339" w:bottom="1440" w:gutter="0" w:footer="0" w:header="0"/>
        </w:sectPr>
      </w:pPr>
    </w:p>
    <w:bookmarkStart w:id="18" w:name="page19"/>
    <w:bookmarkEnd w:id="18"/>
    <w:p>
      <w:pPr>
        <w:ind w:left="540" w:firstLine="646"/>
        <w:spacing w:after="0" w:line="277" w:lineRule="auto"/>
        <w:tabs>
          <w:tab w:leader="none" w:pos="14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to the extent inconsistent with the terms of the applicable Award Agreement and/or the provisions of Section 9, the following terms and conditions shall apply with respect to a Participant’s Termination of Service, as applicable:</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1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Participant’s rights, if any, to exercise any vested Stock Option and/or SAR shall terminate ninety (90) days after the date of such Termination of Service, provided that if such termination is on account of the Participant’s death or disability (as defined under Code Section 422(c)(6)), one (1) year after the date of such Termination of Service; and</w:t>
      </w:r>
    </w:p>
    <w:p>
      <w:pPr>
        <w:spacing w:after="0" w:line="183" w:lineRule="exact"/>
        <w:rPr>
          <w:rFonts w:ascii="Arial" w:cs="Arial" w:eastAsia="Arial" w:hAnsi="Arial"/>
          <w:sz w:val="18"/>
          <w:szCs w:val="18"/>
          <w:color w:val="auto"/>
        </w:rPr>
      </w:pPr>
    </w:p>
    <w:p>
      <w:pPr>
        <w:jc w:val="both"/>
        <w:ind w:left="1300" w:firstLine="652"/>
        <w:spacing w:after="0" w:line="279" w:lineRule="auto"/>
        <w:tabs>
          <w:tab w:leader="none" w:pos="2216" w:val="left"/>
        </w:tabs>
        <w:numPr>
          <w:ilvl w:val="1"/>
          <w:numId w:val="30"/>
        </w:numPr>
        <w:rPr>
          <w:rFonts w:ascii="Arial" w:cs="Arial" w:eastAsia="Arial" w:hAnsi="Arial"/>
          <w:sz w:val="17"/>
          <w:szCs w:val="17"/>
          <w:color w:val="auto"/>
        </w:rPr>
      </w:pPr>
      <w:r>
        <w:rPr>
          <w:rFonts w:ascii="Arial" w:cs="Arial" w:eastAsia="Arial" w:hAnsi="Arial"/>
          <w:sz w:val="17"/>
          <w:szCs w:val="17"/>
          <w:color w:val="auto"/>
        </w:rPr>
        <w:t>Upon such applicable date the Participant (or other legal representative) shall forfeit any rights or interests in or with respect to any such Award. Notwithstanding the foregoing, the Committee, in its sole discretion, may provide for a different time period in the Award Agreement, or may extend the time period, following a Termination of Service, during which the Participant has the right to exercise any vested NSO or SAR, which time period may not extend beyond the expiration date of the Award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Committee may, in its discretion, (a) grant Shares under the Plan to any Participant without consideration from such Participant or (b) sell Shares under the Plan to any Participant for such amount of cash, Shares or other consideration as the Committee deems appropriate.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Stock Award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Shares granted or sold hereunder shall be subject to such restrictions, conditions and other terms as the Committee may determine at the time of grant or sale, the general provisions of the Plan, the restrictions, terms and conditions of the related Stock Award Agreement, and the following specific rules:</w:t>
      </w:r>
    </w:p>
    <w:p>
      <w:pPr>
        <w:spacing w:after="0" w:line="184" w:lineRule="exact"/>
        <w:rPr>
          <w:sz w:val="20"/>
          <w:szCs w:val="20"/>
          <w:color w:val="auto"/>
        </w:rPr>
      </w:pPr>
    </w:p>
    <w:p>
      <w:pPr>
        <w:ind w:left="540" w:right="20" w:firstLine="646"/>
        <w:spacing w:after="0" w:line="277" w:lineRule="auto"/>
        <w:tabs>
          <w:tab w:leader="none" w:pos="14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Award Agreement shall specify whether the Shares are granted or sold to the Participant and such other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ind w:left="540" w:firstLine="646"/>
        <w:spacing w:after="0" w:line="342" w:lineRule="auto"/>
        <w:tabs>
          <w:tab w:leader="none" w:pos="14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restrictions to which the Shares awarded hereunder are subject shall lapse as provided in Stock Award Agreement; provided that the Committee shall have the discretion to accelerate the date as of which the restrictions lapse with respect to any Award held by a Participant.</w:t>
      </w:r>
    </w:p>
    <w:p>
      <w:pPr>
        <w:spacing w:after="0" w:line="123" w:lineRule="exact"/>
        <w:rPr>
          <w:rFonts w:ascii="Arial" w:cs="Arial" w:eastAsia="Arial" w:hAnsi="Arial"/>
          <w:sz w:val="16"/>
          <w:szCs w:val="16"/>
          <w:color w:val="auto"/>
        </w:rPr>
      </w:pPr>
    </w:p>
    <w:p>
      <w:pPr>
        <w:jc w:val="both"/>
        <w:ind w:left="540" w:firstLine="646"/>
        <w:spacing w:after="0" w:line="254" w:lineRule="auto"/>
        <w:tabs>
          <w:tab w:leader="none" w:pos="14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provided in this subsection (c) and unless otherwise set forth in the related Stock Award Agreement, the Participant receiving a grant of or purchasing Shares shall thereupon be a shareholder of the Company with respect to such Shares and shall have the rights of a shareholder of the Company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Section 7. Stock Unit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Unit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spacing w:after="0" w:line="146" w:lineRule="exact"/>
        <w:rPr>
          <w:sz w:val="20"/>
          <w:szCs w:val="20"/>
          <w:color w:val="auto"/>
        </w:rPr>
      </w:pPr>
    </w:p>
    <w:p>
      <w:pPr>
        <w:ind w:left="540" w:right="20" w:firstLine="646"/>
        <w:spacing w:after="0" w:line="277" w:lineRule="auto"/>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Stock Unit Agreement shall specify such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540" w:firstLine="646"/>
        <w:spacing w:after="0" w:line="263" w:lineRule="auto"/>
        <w:tabs>
          <w:tab w:leader="none" w:pos="14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w:t>
      </w:r>
    </w:p>
    <w:p>
      <w:pPr>
        <w:spacing w:after="0" w:line="183" w:lineRule="exact"/>
        <w:rPr>
          <w:rFonts w:ascii="Arial" w:cs="Arial" w:eastAsia="Arial" w:hAnsi="Arial"/>
          <w:sz w:val="18"/>
          <w:szCs w:val="18"/>
          <w:color w:val="auto"/>
        </w:rPr>
      </w:pPr>
    </w:p>
    <w:p>
      <w:pPr>
        <w:jc w:val="both"/>
        <w:ind w:left="540" w:firstLine="646"/>
        <w:spacing w:after="0" w:line="271" w:lineRule="auto"/>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 provided that a Stock Unit Award Agreement may provide that until the Stock Units are settled in Shares or cash, the Participant shall be entitled to receive on each dividend or distribution payment date applicable to the Shares an amount equal to the dividends or other distributions that the Participant would have received had the Stock Units held by the Participant as of the related record date been actual Shares.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SARs.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Committee may grant SARs to Participants. Upon exercise, 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SAR Agreement</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6"/>
        <w:spacing w:after="0" w:line="286" w:lineRule="auto"/>
        <w:tabs>
          <w:tab w:leader="none" w:pos="1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SAR shall be evidenced by a written SAR Agreement specifying the terms and conditions of the SAR as the Committee may determine, including the SAR exercise price, expiration date of the SAR, the number of Shares to which the SAR pertains, the form of settlement and such other terms and conditions established by the Committee, in its sole discretion, not inconsistent with the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1180"/>
        <w:spacing w:after="0"/>
        <w:rPr>
          <w:sz w:val="20"/>
          <w:szCs w:val="20"/>
          <w:color w:val="auto"/>
        </w:rPr>
      </w:pPr>
      <w:r>
        <w:rPr>
          <w:rFonts w:ascii="Arial" w:cs="Arial" w:eastAsia="Arial" w:hAnsi="Arial"/>
          <w:sz w:val="17"/>
          <w:szCs w:val="17"/>
          <w:color w:val="auto"/>
        </w:rPr>
        <w:t>(b) The per Share exercise price of each SAR shall not be less than 100% of the Fair Market Value of a Share on the date the SAR is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granted.</w:t>
      </w:r>
    </w:p>
    <w:p>
      <w:pPr>
        <w:spacing w:after="0" w:line="211" w:lineRule="exact"/>
        <w:rPr>
          <w:sz w:val="20"/>
          <w:szCs w:val="20"/>
          <w:color w:val="auto"/>
        </w:rPr>
      </w:pPr>
    </w:p>
    <w:p>
      <w:pPr>
        <w:jc w:val="both"/>
        <w:ind w:left="540" w:firstLine="646"/>
        <w:spacing w:after="0" w:line="259" w:lineRule="auto"/>
        <w:tabs>
          <w:tab w:leader="none" w:pos="14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SAR shall expire and all rights thereunder shall cease on the date fixed by the Committee in the related SAR Agreement, which shall not be later than the ten years after the date of grant; provided however, if a Participant is unable to exercise an SAR because trading in the Shares is prohibited by law or the Company’s insider-trading policy, the SAR exercise date shall be extended to the date that is 30 days after the expiration of the trading prohibition.</w:t>
      </w:r>
    </w:p>
    <w:p>
      <w:pPr>
        <w:spacing w:after="0" w:line="186" w:lineRule="exact"/>
        <w:rPr>
          <w:rFonts w:ascii="Arial" w:cs="Arial" w:eastAsia="Arial" w:hAnsi="Arial"/>
          <w:sz w:val="18"/>
          <w:szCs w:val="18"/>
          <w:color w:val="auto"/>
        </w:rPr>
      </w:pPr>
    </w:p>
    <w:p>
      <w:pPr>
        <w:ind w:left="540" w:firstLine="646"/>
        <w:spacing w:after="0" w:line="277" w:lineRule="auto"/>
        <w:tabs>
          <w:tab w:leader="none" w:pos="14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SAR shall become exercisable as provided in the related SAR Agreement; provided that notwithstanding any other Plan provision, the Committee shall have the discretion to accelerate the date as of which any SAR shall become exercisable.</w:t>
      </w:r>
    </w:p>
    <w:p>
      <w:pPr>
        <w:spacing w:after="0" w:line="170" w:lineRule="exact"/>
        <w:rPr>
          <w:rFonts w:ascii="Arial" w:cs="Arial" w:eastAsia="Arial" w:hAnsi="Arial"/>
          <w:sz w:val="18"/>
          <w:szCs w:val="18"/>
          <w:color w:val="auto"/>
        </w:rPr>
      </w:pPr>
    </w:p>
    <w:p>
      <w:pPr>
        <w:ind w:left="1440" w:hanging="25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dividends or dividend equivalents shall be paid with respect to any SAR prior to the exercise of the SAR.</w:t>
      </w:r>
    </w:p>
    <w:p>
      <w:pPr>
        <w:spacing w:after="0" w:line="225" w:lineRule="exact"/>
        <w:rPr>
          <w:rFonts w:ascii="Arial" w:cs="Arial" w:eastAsia="Arial" w:hAnsi="Arial"/>
          <w:sz w:val="18"/>
          <w:szCs w:val="18"/>
          <w:color w:val="auto"/>
        </w:rPr>
      </w:pPr>
    </w:p>
    <w:p>
      <w:pPr>
        <w:jc w:val="both"/>
        <w:ind w:left="540" w:firstLine="646"/>
        <w:spacing w:after="0" w:line="293" w:lineRule="auto"/>
        <w:tabs>
          <w:tab w:leader="none" w:pos="14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person entitled to exercise an SAR may do so by delivery of a written notice in accordance with procedures established by the Committee specifying the number of Shares with respect to which the SAR is being exercised and any other information the Committee may prescribe. As soon as reasonably practicable after the exercise of an SAR, the Company shall (i) issue the total number of full Shares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 of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6"/>
        <w:spacing w:after="0" w:line="259" w:lineRule="auto"/>
        <w:tabs>
          <w:tab w:leader="none" w:pos="14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spacing w:after="0" w:line="186" w:lineRule="exact"/>
        <w:rPr>
          <w:rFonts w:ascii="Arial" w:cs="Arial" w:eastAsia="Arial" w:hAnsi="Arial"/>
          <w:sz w:val="18"/>
          <w:szCs w:val="18"/>
          <w:color w:val="auto"/>
        </w:rPr>
      </w:pPr>
    </w:p>
    <w:p>
      <w:pPr>
        <w:jc w:val="both"/>
        <w:ind w:left="540" w:firstLine="646"/>
        <w:spacing w:after="0" w:line="293" w:lineRule="auto"/>
        <w:tabs>
          <w:tab w:leader="none" w:pos="145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without Participant consent: (i) provide for the purchase of any vested or unvested outstanding Stock Option, for an amount of cash equal to the difference between the exercise price and the then Fair Market Value of the Shares covered thereby; (ii) make such adjustment to any such Award then outstanding as the Board deems appropriate to reflect such Change in Control; and (iii) cause any such Award then outstanding to be assumed by or substituted for another form of Award issued by the surviving corporation after such Change in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jc w:val="both"/>
        <w:ind w:left="540" w:firstLine="646"/>
        <w:spacing w:after="0" w:line="257" w:lineRule="auto"/>
        <w:tabs>
          <w:tab w:leader="none" w:pos="14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87" w:lineRule="exact"/>
        <w:rPr>
          <w:rFonts w:ascii="Arial" w:cs="Arial" w:eastAsia="Arial" w:hAnsi="Arial"/>
          <w:sz w:val="18"/>
          <w:szCs w:val="18"/>
          <w:color w:val="auto"/>
        </w:rPr>
      </w:pPr>
    </w:p>
    <w:p>
      <w:pPr>
        <w:jc w:val="both"/>
        <w:ind w:left="540" w:firstLine="646"/>
        <w:spacing w:after="0" w:line="254" w:lineRule="auto"/>
        <w:tabs>
          <w:tab w:leader="none" w:pos="14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94" w:lineRule="exact"/>
        <w:rPr>
          <w:rFonts w:ascii="Arial" w:cs="Arial" w:eastAsia="Arial" w:hAnsi="Arial"/>
          <w:sz w:val="18"/>
          <w:szCs w:val="18"/>
          <w:color w:val="auto"/>
        </w:rPr>
      </w:pPr>
    </w:p>
    <w:p>
      <w:pPr>
        <w:jc w:val="both"/>
        <w:ind w:left="540" w:firstLine="646"/>
        <w:spacing w:after="0" w:line="301" w:lineRule="auto"/>
        <w:tabs>
          <w:tab w:leader="none" w:pos="14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157" w:lineRule="exact"/>
        <w:rPr>
          <w:rFonts w:ascii="Arial" w:cs="Arial" w:eastAsia="Arial" w:hAnsi="Arial"/>
          <w:sz w:val="16"/>
          <w:szCs w:val="16"/>
          <w:color w:val="auto"/>
        </w:rPr>
      </w:pPr>
    </w:p>
    <w:p>
      <w:pPr>
        <w:jc w:val="both"/>
        <w:ind w:left="540" w:firstLine="646"/>
        <w:spacing w:after="0" w:line="254" w:lineRule="auto"/>
        <w:tabs>
          <w:tab w:leader="none" w:pos="14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w:t>
      </w:r>
    </w:p>
    <w:p>
      <w:pPr>
        <w:spacing w:after="0" w:line="2" w:lineRule="exact"/>
        <w:rPr>
          <w:sz w:val="20"/>
          <w:szCs w:val="20"/>
          <w:color w:val="auto"/>
        </w:rPr>
      </w:pPr>
    </w:p>
    <w:p>
      <w:pPr>
        <w:ind w:firstLine="8"/>
        <w:spacing w:after="0" w:line="290" w:lineRule="auto"/>
        <w:tabs>
          <w:tab w:leader="none" w:pos="263"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Section 10. Payment of Taxes.</w:t>
      </w:r>
    </w:p>
    <w:p>
      <w:pPr>
        <w:spacing w:after="0" w:line="229" w:lineRule="exact"/>
        <w:rPr>
          <w:sz w:val="20"/>
          <w:szCs w:val="20"/>
          <w:color w:val="auto"/>
        </w:rPr>
      </w:pPr>
    </w:p>
    <w:p>
      <w:pPr>
        <w:jc w:val="both"/>
        <w:ind w:left="540" w:firstLine="646"/>
        <w:spacing w:after="0" w:line="259" w:lineRule="auto"/>
        <w:tabs>
          <w:tab w:leader="none" w:pos="14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spacing w:after="0" w:line="186" w:lineRule="exact"/>
        <w:rPr>
          <w:rFonts w:ascii="Arial" w:cs="Arial" w:eastAsia="Arial" w:hAnsi="Arial"/>
          <w:sz w:val="18"/>
          <w:szCs w:val="18"/>
          <w:color w:val="auto"/>
        </w:rPr>
      </w:pPr>
    </w:p>
    <w:p>
      <w:pPr>
        <w:jc w:val="both"/>
        <w:ind w:left="540" w:firstLine="646"/>
        <w:spacing w:after="0" w:line="254" w:lineRule="auto"/>
        <w:tabs>
          <w:tab w:leader="none" w:pos="145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Section 409A.</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any other provision of the Plan, the Committee shall have no authority to issue an Award under the Plan with terms and/or conditions which would cause such Award to constitute non-qualified “deferred compensation” under Section 409A of the Code unless such Award shall be structured to be exempt from or comply with all requirements of Code Section 409A. The Plan and all Award Agreements are intended to comply with the requirements of Section 409A of the Code (or to be exempt therefrom) and shall be so interpreted and construed and no amount shall be paid or distributed from the Plan unless and until such payment complies with all requirements of Code Section 409A. It is the intent of the Company that the provisions of this Agreement and all other plans and programs sponsored by the Company be interpreted to comply in all respects with Code Section 409A, however, the Company shall have no liability to the Participant, or any successor or beneficiary thereof, in the event taxes, penalties or excise taxes may ultimately be determined to be applicable to any payment or award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Postponement.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may postpone any grant or settlement of an Award or exercise of a Stock Option or SAR for such time as the Board in its sole discretion may deem necessary in order to permit the Company:</w:t>
      </w:r>
    </w:p>
    <w:p>
      <w:pPr>
        <w:spacing w:after="0" w:line="170" w:lineRule="exact"/>
        <w:rPr>
          <w:sz w:val="20"/>
          <w:szCs w:val="20"/>
          <w:color w:val="auto"/>
        </w:rPr>
      </w:pPr>
    </w:p>
    <w:p>
      <w:pPr>
        <w:ind w:left="540" w:firstLine="646"/>
        <w:spacing w:after="0" w:line="308" w:lineRule="auto"/>
        <w:tabs>
          <w:tab w:leader="none" w:pos="14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 Stock Option or SAR, under the Securities Act of 1933, as amended, or the securities laws of any applicable jurisdiction;</w:t>
      </w:r>
    </w:p>
    <w:p>
      <w:pPr>
        <w:spacing w:after="0" w:line="146" w:lineRule="exact"/>
        <w:rPr>
          <w:rFonts w:ascii="Arial" w:cs="Arial" w:eastAsia="Arial" w:hAnsi="Arial"/>
          <w:sz w:val="17"/>
          <w:szCs w:val="17"/>
          <w:color w:val="auto"/>
        </w:rPr>
      </w:pPr>
    </w:p>
    <w:p>
      <w:pPr>
        <w:jc w:val="both"/>
        <w:ind w:left="540" w:firstLine="646"/>
        <w:spacing w:after="0" w:line="263" w:lineRule="auto"/>
        <w:tabs>
          <w:tab w:leader="none" w:pos="14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540" w:firstLine="646"/>
        <w:spacing w:after="0" w:line="286" w:lineRule="auto"/>
        <w:tabs>
          <w:tab w:leader="none" w:pos="14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such postponement shall not extend the term of an Award and shall comply with all requirements of Code Section 409A,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Nontransferability.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Awards granted under the Plan, and any rights and privileges pertaining thereto, may not be transferred, assigned, pledged or hypothecated in any manner, or be subject to execution, attachment or similar process, by operation of law or otherwise, except (i) by will or by the laws of descent and distribution, or (ii) where permitted under applicable tax rules, by gift to any Family Member of the Participant, subject to compliance with applicable laws.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withholding requirements provided for under Section 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Delivery of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issued pursuant to a Stock Award, the exercise of a Stock or SAR or the settlement of a Stock Unit Award shall be represented by share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share certificates representing such Shares. Notwithstanding the foregoing, Shares granted pursuant to a Stock Award shall be held by the Secretary of the Company until such time as the Shares are forfeited or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Termination or Amendment of Plan and Award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Termination or Amendment of Plan</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6"/>
        <w:spacing w:after="0" w:line="254" w:lineRule="auto"/>
        <w:tabs>
          <w:tab w:leader="none" w:pos="14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described in Section 15.3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spacing w:after="0" w:line="194" w:lineRule="exact"/>
        <w:rPr>
          <w:rFonts w:ascii="Arial" w:cs="Arial" w:eastAsia="Arial" w:hAnsi="Arial"/>
          <w:sz w:val="18"/>
          <w:szCs w:val="18"/>
          <w:color w:val="auto"/>
        </w:rPr>
      </w:pPr>
    </w:p>
    <w:p>
      <w:pPr>
        <w:ind w:left="540" w:firstLine="646"/>
        <w:spacing w:after="0" w:line="277" w:lineRule="auto"/>
        <w:tabs>
          <w:tab w:leader="none" w:pos="14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No Repricing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foregoing, and except as described in Section 4.3, there shall be no amendment to the Plan or any outstanding Stock Option Agreement or SAR Agreement that results in the repricing of Stock Options or SARs without shareholders’ approval. For this purpose, repricing includes</w:t>
      </w:r>
    </w:p>
    <w:p>
      <w:pPr>
        <w:jc w:val="both"/>
        <w:ind w:firstLine="8"/>
        <w:spacing w:after="0" w:line="255" w:lineRule="auto"/>
        <w:tabs>
          <w:tab w:leader="none" w:pos="2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 Contract of Employment.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Applicable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the state of New York, without regard to the conflict of law provisions of any state, and, in the case of Incentive Stock Options, Section 422 of the Code and regulations issued thereunder.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Effective Date and Term of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Plan shall be effective as of the Effective Date, provided that the Plan is approved by the shareholders of the Company within twelve (12) months of such date. Awards may be granted or awarded prior to such shareholder approval, provided that such Awards shall not be exercisable, shall not vest and the restrictions thereon shall not lapse prior to the time when the Plan is approved by the shareholders, and provided further that if such approval has not been obtained at the end of said twelve month period, all Awards previously granted or awarded under the Plan shall thereupon be canceled and become null and void. The Plan is intended to supersede and replace any and all prior equity plans sponsored by the Company with respect to any authorized shares not made subject to any award under such plans prior to the effective date of this Plan. Any outstanding awards under prior plans shall continue to be subject to and governed by the terms of such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Term of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herein, no Awards shall be granted on or after the tenth anniversary of the adoption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Equity Incentive Plan of CLPS Incorporation of our report dated October 21, 2019, with respect to the consolidated financial statements of CLPS Incorporation, included in its Annual Report (Form 20-F) for the year ended June 30, 2019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6763845E"/>
    <w:multiLevelType w:val="hybridMultilevel"/>
    <w:lvl w:ilvl="0">
      <w:lvlJc w:val="left"/>
      <w:lvlText w:val="%1"/>
      <w:numFmt w:val="lowerLetter"/>
      <w:start w:val="1"/>
    </w:lvl>
    <w:lvl w:ilvl="1">
      <w:lvlJc w:val="left"/>
      <w:lvlText w:val="(%2)"/>
      <w:numFmt w:val="decimal"/>
      <w:start w:val="2"/>
    </w:lvl>
  </w:abstractNum>
  <w:abstractNum w:abstractNumId="5">
    <w:nsid w:val="75A2A8D4"/>
    <w:multiLevelType w:val="hybridMultilevel"/>
    <w:lvl w:ilvl="0">
      <w:lvlJc w:val="left"/>
      <w:lvlText w:val="(%1)"/>
      <w:numFmt w:val="lowerLetter"/>
      <w:start w:val="2"/>
    </w:lvl>
    <w:lvl w:ilvl="1">
      <w:lvlJc w:val="left"/>
      <w:lvlText w:val="%2"/>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bullet"/>
      <w:start w:val="1"/>
    </w:lvl>
    <w:lvl w:ilvl="1">
      <w:lvlJc w:val="left"/>
      <w:lvlText w:val="(%2)"/>
      <w:numFmt w:val="lowerLetter"/>
      <w:start w:val="1"/>
    </w:lvl>
  </w:abstractNum>
  <w:abstractNum w:abstractNumId="8">
    <w:nsid w:val="4353D0CD"/>
    <w:multiLevelType w:val="hybridMultilevel"/>
    <w:lvl w:ilvl="0">
      <w:lvlJc w:val="left"/>
      <w:lvlText w:val="(%1)"/>
      <w:numFmt w:val="lowerLetter"/>
      <w:start w:val="5"/>
    </w:lvl>
  </w:abstractNum>
  <w:abstractNum w:abstractNumId="9">
    <w:nsid w:val="B03E0C6"/>
    <w:multiLevelType w:val="hybridMultilevel"/>
    <w:lvl w:ilvl="0">
      <w:lvlJc w:val="left"/>
      <w:lvlText w:val="2"/>
      <w:numFmt w:val="bullet"/>
      <w:start w:val="1"/>
    </w:lvl>
    <w:lvl w:ilvl="1">
      <w:lvlJc w:val="left"/>
      <w:lvlText w:val="(%2)"/>
      <w:numFmt w:val="lowerLetter"/>
      <w:start w:val="1"/>
    </w:lvl>
  </w:abstractNum>
  <w:abstractNum w:abstractNumId="10">
    <w:nsid w:val="189A769B"/>
    <w:multiLevelType w:val="hybridMultilevel"/>
    <w:lvl w:ilvl="0">
      <w:lvlJc w:val="left"/>
      <w:lvlText w:val="(%1)"/>
      <w:numFmt w:val="lowerLetter"/>
      <w:start w:val="9"/>
    </w:lvl>
  </w:abstractNum>
  <w:abstractNum w:abstractNumId="11">
    <w:nsid w:val="54E49EB4"/>
    <w:multiLevelType w:val="hybridMultilevel"/>
    <w:lvl w:ilvl="0">
      <w:lvlJc w:val="left"/>
      <w:lvlText w:val="3"/>
      <w:numFmt w:val="bullet"/>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2"/>
    </w:lvl>
  </w:abstractNum>
  <w:abstractNum w:abstractNumId="14">
    <w:nsid w:val="836C40E"/>
    <w:multiLevelType w:val="hybridMultilevel"/>
    <w:lvl w:ilvl="0">
      <w:lvlJc w:val="left"/>
      <w:lvlText w:val="(%1)"/>
      <w:numFmt w:val="lowerLetter"/>
      <w:start w:val="3"/>
    </w:lvl>
  </w:abstractNum>
  <w:abstractNum w:abstractNumId="15">
    <w:nsid w:val="2901D82"/>
    <w:multiLevelType w:val="hybridMultilevel"/>
    <w:lvl w:ilvl="0">
      <w:lvlJc w:val="left"/>
      <w:lvlText w:val="4"/>
      <w:numFmt w:val="bullet"/>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5"/>
      <w:numFmt w:val="bullet"/>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6"/>
      <w:numFmt w:val="bullet"/>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4"/>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3"/>
    </w:lvl>
    <w:lvl w:ilvl="1">
      <w:lvlJc w:val="left"/>
      <w:lvlText w:val="(%2)"/>
      <w:numFmt w:val="lowerRoman"/>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3"/>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3"/>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16" Type="http://schemas.openxmlformats.org/officeDocument/2006/relationships/hyperlink" Target="http://www.sec.gov/Archives/edgar/data/1724542/000121390019020665/f20f2019_clpsincorporation.htm" TargetMode="External"/><Relationship Id="rId17" Type="http://schemas.openxmlformats.org/officeDocument/2006/relationships/hyperlink" Target="http://www.sec.gov/Archives/edgar/data/1724542/000121390019018704/f6k092319_clpsinc.htm" TargetMode="External"/><Relationship Id="rId18" Type="http://schemas.openxmlformats.org/officeDocument/2006/relationships/hyperlink" Target="http://www.sec.gov/Archives/edgar/data/1724542/000121390019019014/f6k092619_clpsincorporation.htm" TargetMode="External"/><Relationship Id="rId19" Type="http://schemas.openxmlformats.org/officeDocument/2006/relationships/hyperlink" Target="http://www.sec.gov/Archives/edgar/data/1724542/000121390019021899/f6k110419_clpsincorporation.htm" TargetMode="External"/><Relationship Id="rId20" Type="http://schemas.openxmlformats.org/officeDocument/2006/relationships/hyperlink" Target="http://www.sec.gov/Archives/edgar/data/1724542/000121390020005303/ea119187-f6k_clpsincor.htm" TargetMode="External"/><Relationship Id="rId21" Type="http://schemas.openxmlformats.org/officeDocument/2006/relationships/hyperlink" Target="http://www.sec.gov/Archives/edgar/data/1724542/000121390020005674/ea119416-6k_clpsincor.htm" TargetMode="External"/><Relationship Id="rId22" Type="http://schemas.openxmlformats.org/officeDocument/2006/relationships/hyperlink" Target="http://www.sec.gov/Archives/edgar/data/1724542/000121390020006063/ea119550-6k_clpsincorp.htm" TargetMode="External"/><Relationship Id="rId23" Type="http://schemas.openxmlformats.org/officeDocument/2006/relationships/hyperlink" Target="http://www.sec.gov/Archives/edgar/data/1724542/000121390018006724/f8a12b0518_clpsincorporation.htm" TargetMode="External"/><Relationship Id="rId28"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2020-04-27T05:04:41Z</dcterms:created>
  <dcterms:modified xsi:type="dcterms:W3CDTF">2020-04-27T05:04:41Z</dcterms:modified>
</cp:coreProperties>
</file>