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December 2018</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 498 Guoshoujing Road, Pudong, Shanghai,</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201203, 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80"/>
        <w:spacing w:after="0" w:line="207" w:lineRule="exact"/>
        <w:tabs>
          <w:tab w:leader="none" w:pos="60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900"/>
        <w:spacing w:after="0" w:line="207" w:lineRule="exact"/>
        <w:tabs>
          <w:tab w:leader="none" w:pos="60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001-38505.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p>
      <w:pPr>
        <w:jc w:val="both"/>
        <w:ind w:firstLine="648"/>
        <w:spacing w:after="0" w:line="293" w:lineRule="auto"/>
        <w:rPr>
          <w:sz w:val="20"/>
          <w:szCs w:val="20"/>
          <w:color w:val="auto"/>
        </w:rPr>
      </w:pPr>
      <w:r>
        <w:rPr>
          <w:rFonts w:ascii="Arial" w:cs="Arial" w:eastAsia="Arial" w:hAnsi="Arial"/>
          <w:sz w:val="16"/>
          <w:szCs w:val="16"/>
          <w:color w:val="auto"/>
        </w:rPr>
        <w:t>On December 21, 2018, Friedman LLP was dismissed as CLPS Incorporation’s independent registered public accounting firm (“Friedman”), effective as of the same date. Friedman’s reports for the financial years for which it acted as the Company’s auditor did not contain an adverse opinion or a disclaimer of opinion, nor were such reports qualified or modified as to uncertainty, audit scope, or accounting principles. Furthermore, there were no reportable events caused by disagreement over any matter of accounting principles or practices, financial statement disclosure, or auditing scope or procedures during the period. The Company has provided Friedman with a copy of the foregoing disclosures and requested that it furnish a letter to the Securities and Exchange Commission stating whether or not it agrees with the above statements. A copy of such letter is filed as Exhibit 16.1 to this 6-K.</w:t>
      </w:r>
    </w:p>
    <w:p>
      <w:pPr>
        <w:spacing w:after="0" w:line="16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December 21, 2018, the Company engaged the request of the Company and that Ernst &amp; Young Hua Ming LLP (“EY”) has been appointed as the successor auditor. The appointment of EY as the successor auditor has been approved by the chair of the Audit Committee of the Company’s Board of Directors. During each of the Company’s two most recent fiscal years and through the date of this report, (a) the Company has not engaged EY as either the principal accountant to audit the Company’s financial statements, or as an independent accountant to audit a significant subsidiary of the Company and on whom the principal accountant is expected to express reliance in its report; and (b) the Company or someone on its behalf did not consult EY with respect to</w:t>
      </w:r>
    </w:p>
    <w:p>
      <w:pPr>
        <w:spacing w:after="0" w:line="2" w:lineRule="exact"/>
        <w:rPr>
          <w:sz w:val="20"/>
          <w:szCs w:val="20"/>
          <w:color w:val="auto"/>
        </w:rPr>
      </w:pPr>
    </w:p>
    <w:p>
      <w:pPr>
        <w:jc w:val="both"/>
        <w:ind w:right="20" w:firstLine="8"/>
        <w:spacing w:after="0" w:line="281" w:lineRule="auto"/>
        <w:tabs>
          <w:tab w:leader="none" w:pos="218" w:val="left"/>
        </w:tabs>
        <w:numPr>
          <w:ilvl w:val="0"/>
          <w:numId w:val="1"/>
        </w:numPr>
        <w:rPr>
          <w:rFonts w:ascii="Arial" w:cs="Arial" w:eastAsia="Arial" w:hAnsi="Arial"/>
          <w:sz w:val="16"/>
          <w:szCs w:val="16"/>
          <w:color w:val="auto"/>
        </w:rPr>
      </w:pPr>
      <w:r>
        <w:rPr>
          <w:rFonts w:ascii="Arial" w:cs="Arial" w:eastAsia="Arial" w:hAnsi="Arial"/>
          <w:sz w:val="16"/>
          <w:szCs w:val="16"/>
          <w:color w:val="auto"/>
        </w:rPr>
        <w:t>either: the application of accounting principles to a specified transaction, either completed or proposed; or the type of audit opinion that might be rendered on the Company’s financial statements, or (ii) any other matter that was either the subject of a disagreement or a reportable event as set forth in Items 304(a)</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(1)(iv) and (v) of Regulation S-K.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c>
          <w:tcPr>
            <w:tcW w:w="2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Letter from Friedman LLP dated January 4, 2019.</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tcPr>
          <w:p>
            <w:pPr>
              <w:spacing w:after="0"/>
              <w:rPr>
                <w:sz w:val="15"/>
                <w:szCs w:val="15"/>
                <w:color w:val="auto"/>
              </w:rPr>
            </w:pPr>
          </w:p>
        </w:tc>
        <w:tc>
          <w:tcPr>
            <w:tcW w:w="286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Press release dated December 28, 2018.</w:t>
              </w:r>
            </w:hyperlink>
          </w:p>
        </w:tc>
        <w:tc>
          <w:tcPr>
            <w:tcW w:w="720" w:type="dxa"/>
            <w:vAlign w:val="bottom"/>
            <w:tcBorders>
              <w:top w:val="single" w:sz="8" w:color="0000EE"/>
            </w:tcBorders>
          </w:tcPr>
          <w:p>
            <w:pPr>
              <w:spacing w:after="0"/>
              <w:rPr>
                <w:sz w:val="15"/>
                <w:szCs w:val="15"/>
                <w:color w:val="auto"/>
              </w:rPr>
            </w:pPr>
          </w:p>
        </w:tc>
        <w:tc>
          <w:tcPr>
            <w:tcW w:w="66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CLPS INCORPORATION</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2018</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16.1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January 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12"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CLPS Incorporation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File No. 001-38505</w:t>
      </w:r>
    </w:p>
    <w:p>
      <w:pPr>
        <w:spacing w:after="0" w:line="200" w:lineRule="exact"/>
        <w:rPr>
          <w:sz w:val="20"/>
          <w:szCs w:val="20"/>
          <w:color w:val="auto"/>
        </w:rPr>
      </w:pPr>
    </w:p>
    <w:p>
      <w:pPr>
        <w:sectPr>
          <w:pgSz w:w="11900" w:h="16838" w:orient="portrait"/>
          <w:cols w:equalWidth="0" w:num="2">
            <w:col w:w="260" w:space="440"/>
            <w:col w:w="10720"/>
          </w:cols>
          <w:pgMar w:left="240" w:top="112"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read Form 6-K dated December 21, 2018 of CLPS Incorporation (“Registrant”) and are in agreement with the statements contained there as it pertains to our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no basis to agree to disagree with any other statements of the Registrant contained in Form 6-K.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Friedman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1420"/>
          </w:cols>
          <w:pgMar w:left="240" w:top="112" w:right="239" w:bottom="1440" w:gutter="0" w:footer="0" w:header="0"/>
          <w:type w:val="continuous"/>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Appoints Ernst and Young as Auditor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SHANGHAI, Dec. 27, 2018 /PRNewswire/ -- CLPS Incorporation (the “Company” or “CLPS”) (Nasdaq: CLPS), a leading information technology (“IT”) consulting and solutions service provider focusing on the banking, insurance and financial sectors in China and globally, today announced that effective December 21, 2018, Friedman LLP (“Friedman”) has tendered its resignation at the request of the Company and that Ernst &amp; Young Hua Ming LLP (“EY”) has been appointed as the successor auditor.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EY as the successor auditor has been approved by the chair of the Audit Committee of the Company’s Board of Directors.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would like to thank Friedman for its support, and we welcome EY as our new auditor,” said Mr. Raymond Lin, Co-Founder and Chief Executive Officer of CLPS. “As we execute on the next steps of our international expansion strategy, EY’s accounting expertise and global network is best suited to meet our evolving and expanding requirements.”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reports of Friedman for all financial years for which it acted as auditor did not contain an adverse opinion or a disclaimer of opinion, nor were the auditors’ reports of Friedman qualified or modified as to uncertainty, audit scope, or accounting principles. Furthermore, there were no reportable events caused by disagreement over any matter of accounting principles or practices, financial statement disclosure, or auditing scope or procedures during the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CLPS Incorporation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Headquartered in Shanghai, China, CLPS Incorporation (the “Company”) (Nasdaq: CLPS) is a global leading information technology (“IT”), consulting and solutions service provider focusing on the banking, insurance and financial sectors. The Company serves as an IT solutions provider to a growing network of clients in the global financial industry, including large financial institutions in the US, Europe, Australia and Hong Kong and their PRC-based IT centers. The Company maintains ten delivery and/or research &amp; development centers to serve different customers in various geographic locations. Mainland China centers are located in Shanghai, Beijing, Dalian, Tianjin, Chengdu, Guangzhou and Shenzhen. The remaining three global centers are located in Hong Kong, Singapore and Australia. For further information regarding the Company, please visit: </w:t>
      </w:r>
      <w:r>
        <w:rPr>
          <w:rFonts w:ascii="Arial" w:cs="Arial" w:eastAsia="Arial" w:hAnsi="Arial"/>
          <w:sz w:val="17"/>
          <w:szCs w:val="17"/>
          <w:u w:val="single" w:color="auto"/>
          <w:color w:val="auto"/>
        </w:rPr>
        <w:t>http://ir.clpsglobal.com/</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and involve known and unknown risks, uncertainties and other factors, which may be beyond the Company’s control, and which may cause the actual results, performance, capital, ownership or achievements of the Company to be materially different from future results, performance or achievements expressed or implied by such forward-looking statements. All written or oral forward-looking statements attributable to us are expressly qualified in their entirety by this cautionary notice, including, without limitation, those risks and uncertainties described in the Company’s most recently filed annual report on Form 20-F and otherwise in our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Tian van Acken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+86-158-0198-4357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ir@clpsglobal.com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 Zu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+1-646-405-4868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ir@clpsglobal.com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2019-12-21T02:24:20Z</dcterms:created>
  <dcterms:modified xsi:type="dcterms:W3CDTF">2019-12-21T02:24:20Z</dcterms:modified>
</cp:coreProperties>
</file>