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December 2020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001-38505</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Unit 702, 7th Floor, Millennium City II, 378 Kwun Tong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19"/>
        <w:spacing w:after="0" w:line="207" w:lineRule="exact"/>
        <w:tabs>
          <w:tab w:leader="none" w:pos="3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2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December 22, 2020, CLPS Incorporation (the “Company”), a company incorporated in the Cayman Islands, acting under the earlier resolution of its Board of Directors, through its indirectly wholly-owned subsidiary, entered into an agreement to acquire the remaining 20% shares of Ridik Pte. Ltd., a Singapore corporation, for a consideration of US$623,267.16, thereby owning 100% shares of Ridik Pte. Ltd. upon completion of the acquisition.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Report, including the exhibit, shall not be deemed to be “filed” for the purposes of Section 18 of the Securities Exchange Act of 1934, as amended, or otherwise subject to the liabilities of that Section. It shall not be deemed incorporated by reference in any filing under the Securities Act of 1933, as amended, except as shall be expressly set forth by specific reference in such a filing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Lin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22,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2020-12-28T07:32:30Z</dcterms:created>
  <dcterms:modified xsi:type="dcterms:W3CDTF">2020-12-28T07:32:30Z</dcterms:modified>
</cp:coreProperties>
</file>