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_)*</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CLPS INCORPORATION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7" w:lineRule="exact"/>
        <w:rPr>
          <w:sz w:val="24"/>
          <w:szCs w:val="24"/>
          <w:color w:val="auto"/>
        </w:rPr>
      </w:pPr>
    </w:p>
    <w:p>
      <w:pPr>
        <w:ind w:left="5100"/>
        <w:spacing w:after="0"/>
        <w:rPr>
          <w:sz w:val="20"/>
          <w:szCs w:val="20"/>
          <w:color w:val="auto"/>
        </w:rPr>
      </w:pPr>
      <w:r>
        <w:rPr>
          <w:rFonts w:ascii="Arial" w:cs="Arial" w:eastAsia="Arial" w:hAnsi="Arial"/>
          <w:sz w:val="18"/>
          <w:szCs w:val="18"/>
          <w:b w:val="1"/>
          <w:bCs w:val="1"/>
          <w:u w:val="single" w:color="auto"/>
          <w:color w:val="auto"/>
        </w:rPr>
        <w:t>Common Stock</w:t>
      </w:r>
    </w:p>
    <w:p>
      <w:pPr>
        <w:spacing w:after="0" w:line="27"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G31642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Xiao Feng Yang</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 2nd Floor, Building 18, Shanghai Pudong Software Park,</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498 Guoshoujing Road, Pudong, Shanghai 201203, People’s Republic of China</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 (+86) 21-31268010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 Receive Notice and Communications)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May 24, 2018</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which is the subject of this Schedule 13D, and is filing this schedule because of §§240.13d -1(e), 240,13d-1(f) or 240.13d -1(g),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9"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 -7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66" w:lineRule="exact"/>
        <w:rPr>
          <w:sz w:val="24"/>
          <w:szCs w:val="24"/>
          <w:color w:val="auto"/>
        </w:rPr>
      </w:pPr>
    </w:p>
    <w:p>
      <w:pPr>
        <w:ind w:firstLine="8"/>
        <w:spacing w:after="0" w:line="277" w:lineRule="auto"/>
        <w:tabs>
          <w:tab w:leader="none" w:pos="142"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(“Exchange Act”) or otherwise subject to the liabilities of that section of the Act but shall be subject to all other provisions of the Act (however, see the Notes).</w:t>
      </w:r>
    </w:p>
    <w:p>
      <w:pPr>
        <w:spacing w:after="0" w:line="177" w:lineRule="exact"/>
        <w:rPr>
          <w:sz w:val="24"/>
          <w:szCs w:val="24"/>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586105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1" w:name="page2"/>
    <w:bookmarkEnd w:id="1"/>
    <w:p>
      <w:pPr>
        <w:spacing w:after="0"/>
        <w:tabs>
          <w:tab w:leader="none" w:pos="120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6"/>
          <w:szCs w:val="16"/>
          <w:b w:val="1"/>
          <w:bCs w:val="1"/>
          <w:color w:val="auto"/>
        </w:rPr>
        <w:t>G31642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47853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785360"/>
                    </a:xfrm>
                    <a:prstGeom prst="rect">
                      <a:avLst/>
                    </a:prstGeom>
                    <a:noFill/>
                  </pic:spPr>
                </pic:pic>
              </a:graphicData>
            </a:graphic>
          </wp:anchor>
        </w:drawing>
      </w:r>
    </w:p>
    <w:p>
      <w:pPr>
        <w:spacing w:after="0" w:line="309" w:lineRule="exact"/>
        <w:rPr>
          <w:sz w:val="20"/>
          <w:szCs w:val="20"/>
          <w:color w:val="auto"/>
        </w:rPr>
      </w:pPr>
    </w:p>
    <w:p>
      <w:pPr>
        <w:ind w:left="1000"/>
        <w:spacing w:after="0"/>
        <w:tabs>
          <w:tab w:leader="none" w:pos="3980" w:val="left"/>
        </w:tabs>
        <w:rPr>
          <w:sz w:val="20"/>
          <w:szCs w:val="20"/>
          <w:color w:val="auto"/>
        </w:rPr>
      </w:pPr>
      <w:r>
        <w:rPr>
          <w:rFonts w:ascii="Arial" w:cs="Arial" w:eastAsia="Arial" w:hAnsi="Arial"/>
          <w:sz w:val="18"/>
          <w:szCs w:val="18"/>
          <w:color w:val="auto"/>
        </w:rPr>
        <w:t>NAMES OF REPORTING PERSONS:</w:t>
      </w:r>
      <w:r>
        <w:rPr>
          <w:sz w:val="20"/>
          <w:szCs w:val="20"/>
          <w:color w:val="auto"/>
        </w:rPr>
        <w:tab/>
      </w:r>
      <w:r>
        <w:rPr>
          <w:rFonts w:ascii="Arial" w:cs="Arial" w:eastAsia="Arial" w:hAnsi="Arial"/>
          <w:sz w:val="17"/>
          <w:szCs w:val="17"/>
          <w:b w:val="1"/>
          <w:bCs w:val="1"/>
          <w:color w:val="auto"/>
        </w:rPr>
        <w:t>Qinrui Ltd.</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I.R.S. IDENTIFICATION NOS. OF ABOVE PERSONS (ENTITIES ONLY):</w:t>
      </w:r>
    </w:p>
    <w:p>
      <w:pPr>
        <w:spacing w:after="0" w:line="10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CHECK THE APPROPRIATE BOX IF A MEMBER OF A GROUP (SEE INSTRUCTIONS):</w:t>
      </w:r>
    </w:p>
    <w:p>
      <w:pPr>
        <w:ind w:left="440"/>
        <w:spacing w:after="0" w:line="342" w:lineRule="exact"/>
        <w:tabs>
          <w:tab w:leader="none" w:pos="980" w:val="left"/>
          <w:tab w:leader="none" w:pos="1620" w:val="left"/>
        </w:tabs>
        <w:rPr>
          <w:sz w:val="20"/>
          <w:szCs w:val="20"/>
          <w:color w:val="auto"/>
        </w:rPr>
      </w:pPr>
      <w:r>
        <w:rPr>
          <w:rFonts w:ascii="Arial" w:cs="Arial" w:eastAsia="Arial" w:hAnsi="Arial"/>
          <w:sz w:val="36"/>
          <w:szCs w:val="36"/>
          <w:color w:val="auto"/>
          <w:vertAlign w:val="superscript"/>
        </w:rPr>
        <w:t>2</w:t>
      </w:r>
      <w:r>
        <w:rPr>
          <w:sz w:val="20"/>
          <w:szCs w:val="20"/>
          <w:color w:val="auto"/>
        </w:rPr>
        <w:tab/>
      </w:r>
      <w:r>
        <w:rPr>
          <w:rFonts w:ascii="Arial" w:cs="Arial" w:eastAsia="Arial" w:hAnsi="Arial"/>
          <w:sz w:val="18"/>
          <w:szCs w:val="18"/>
          <w:color w:val="auto"/>
        </w:rPr>
        <w:t>(a)</w:t>
      </w:r>
      <w:r>
        <w:rPr>
          <w:sz w:val="20"/>
          <w:szCs w:val="20"/>
          <w:color w:val="auto"/>
        </w:rPr>
        <w:tab/>
      </w:r>
      <w:r>
        <w:rPr>
          <w:rFonts w:ascii="MS PGothic" w:cs="MS PGothic" w:eastAsia="MS PGothic" w:hAnsi="MS PGothic"/>
          <w:sz w:val="16"/>
          <w:szCs w:val="16"/>
          <w:color w:val="auto"/>
        </w:rPr>
        <w:t>☐</w:t>
      </w:r>
    </w:p>
    <w:p>
      <w:pPr>
        <w:spacing w:after="0" w:line="109" w:lineRule="exact"/>
        <w:rPr>
          <w:sz w:val="20"/>
          <w:szCs w:val="20"/>
          <w:color w:val="auto"/>
        </w:rPr>
      </w:pPr>
    </w:p>
    <w:p>
      <w:pPr>
        <w:ind w:left="1660" w:hanging="666"/>
        <w:spacing w:after="0" w:line="207" w:lineRule="exact"/>
        <w:tabs>
          <w:tab w:leader="none" w:pos="16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8" w:lineRule="exact"/>
        <w:rPr>
          <w:sz w:val="20"/>
          <w:szCs w:val="20"/>
          <w:color w:val="auto"/>
        </w:rPr>
      </w:pPr>
    </w:p>
    <w:p>
      <w:pPr>
        <w:ind w:left="1000" w:hanging="564"/>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17" w:lineRule="exact"/>
        <w:rPr>
          <w:sz w:val="20"/>
          <w:szCs w:val="20"/>
          <w:color w:val="auto"/>
        </w:rPr>
      </w:pPr>
    </w:p>
    <w:p>
      <w:pPr>
        <w:ind w:left="1000" w:hanging="564"/>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SOURCE OF FUNDS (SEE INSTRUCTIONS):  OO (See Item 3)</w:t>
      </w:r>
    </w:p>
    <w:p>
      <w:pPr>
        <w:spacing w:after="0" w:line="84" w:lineRule="exact"/>
        <w:rPr>
          <w:sz w:val="20"/>
          <w:szCs w:val="20"/>
          <w:color w:val="auto"/>
        </w:rPr>
      </w:pPr>
    </w:p>
    <w:p>
      <w:pPr>
        <w:ind w:left="1000" w:hanging="564"/>
        <w:spacing w:after="0" w:line="207" w:lineRule="exact"/>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150" w:lineRule="exact"/>
        <w:rPr>
          <w:sz w:val="20"/>
          <w:szCs w:val="20"/>
          <w:color w:val="auto"/>
        </w:rPr>
      </w:pPr>
    </w:p>
    <w:p>
      <w:pPr>
        <w:ind w:left="1000" w:hanging="564"/>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British Virgin Islands</w:t>
      </w:r>
    </w:p>
    <w:p>
      <w:pPr>
        <w:spacing w:after="0" w:line="44"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1860" w:type="dxa"/>
            <w:vAlign w:val="bottom"/>
            <w:tcBorders>
              <w:top w:val="single" w:sz="8" w:color="auto"/>
              <w:right w:val="single" w:sz="8" w:color="auto"/>
            </w:tcBorders>
            <w:gridSpan w:val="3"/>
          </w:tcPr>
          <w:p>
            <w:pPr>
              <w:ind w:left="380"/>
              <w:spacing w:after="0"/>
              <w:rPr>
                <w:sz w:val="20"/>
                <w:szCs w:val="20"/>
                <w:color w:val="auto"/>
              </w:rPr>
            </w:pPr>
            <w:r>
              <w:rPr>
                <w:rFonts w:ascii="Arial" w:cs="Arial" w:eastAsia="Arial" w:hAnsi="Arial"/>
                <w:sz w:val="18"/>
                <w:szCs w:val="18"/>
                <w:color w:val="auto"/>
              </w:rPr>
              <w:t>NUMBER OF</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86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SOLE VOTING POWER: -0-</w:t>
            </w:r>
          </w:p>
        </w:tc>
        <w:tc>
          <w:tcPr>
            <w:tcW w:w="0" w:type="dxa"/>
            <w:vAlign w:val="bottom"/>
          </w:tcPr>
          <w:p>
            <w:pPr>
              <w:spacing w:after="0"/>
              <w:rPr>
                <w:sz w:val="1"/>
                <w:szCs w:val="1"/>
                <w:color w:val="auto"/>
              </w:rPr>
            </w:pPr>
          </w:p>
        </w:tc>
      </w:tr>
      <w:tr>
        <w:trPr>
          <w:trHeight w:val="197"/>
        </w:trPr>
        <w:tc>
          <w:tcPr>
            <w:tcW w:w="1860" w:type="dxa"/>
            <w:vAlign w:val="bottom"/>
            <w:tcBorders>
              <w:right w:val="single" w:sz="8" w:color="auto"/>
            </w:tcBorders>
            <w:gridSpan w:val="3"/>
          </w:tcPr>
          <w:p>
            <w:pPr>
              <w:jc w:val="center"/>
              <w:spacing w:after="0" w:line="190" w:lineRule="exact"/>
              <w:rPr>
                <w:sz w:val="20"/>
                <w:szCs w:val="20"/>
                <w:color w:val="auto"/>
              </w:rPr>
            </w:pPr>
            <w:r>
              <w:rPr>
                <w:rFonts w:ascii="Arial" w:cs="Arial" w:eastAsia="Arial" w:hAnsi="Arial"/>
                <w:sz w:val="18"/>
                <w:szCs w:val="18"/>
                <w:color w:val="auto"/>
                <w:w w:val="94"/>
              </w:rPr>
              <w:t>SHARES</w:t>
            </w:r>
          </w:p>
        </w:tc>
        <w:tc>
          <w:tcPr>
            <w:tcW w:w="920" w:type="dxa"/>
            <w:vAlign w:val="bottom"/>
            <w:tcBorders>
              <w:bottom w:val="single" w:sz="8" w:color="auto"/>
              <w:right w:val="single" w:sz="8" w:color="auto"/>
            </w:tcBorders>
          </w:tcPr>
          <w:p>
            <w:pPr>
              <w:spacing w:after="0"/>
              <w:rPr>
                <w:sz w:val="17"/>
                <w:szCs w:val="17"/>
                <w:color w:val="auto"/>
              </w:rPr>
            </w:pPr>
          </w:p>
        </w:tc>
        <w:tc>
          <w:tcPr>
            <w:tcW w:w="8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8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8</w:t>
            </w:r>
          </w:p>
        </w:tc>
        <w:tc>
          <w:tcPr>
            <w:tcW w:w="8640" w:type="dxa"/>
            <w:vAlign w:val="bottom"/>
          </w:tcPr>
          <w:p>
            <w:pPr>
              <w:ind w:left="40"/>
              <w:spacing w:after="0"/>
              <w:rPr>
                <w:sz w:val="20"/>
                <w:szCs w:val="20"/>
                <w:color w:val="auto"/>
              </w:rPr>
            </w:pPr>
            <w:r>
              <w:rPr>
                <w:rFonts w:ascii="Arial" w:cs="Arial" w:eastAsia="Arial" w:hAnsi="Arial"/>
                <w:sz w:val="18"/>
                <w:szCs w:val="18"/>
                <w:color w:val="auto"/>
              </w:rPr>
              <w:t>SHARED VOTING POWER: 4,976,000 common shares (See Item 5)</w:t>
            </w:r>
          </w:p>
        </w:tc>
        <w:tc>
          <w:tcPr>
            <w:tcW w:w="0" w:type="dxa"/>
            <w:vAlign w:val="bottom"/>
          </w:tcPr>
          <w:p>
            <w:pPr>
              <w:spacing w:after="0"/>
              <w:rPr>
                <w:sz w:val="1"/>
                <w:szCs w:val="1"/>
                <w:color w:val="auto"/>
              </w:rPr>
            </w:pPr>
          </w:p>
        </w:tc>
      </w:tr>
      <w:tr>
        <w:trPr>
          <w:trHeight w:val="224"/>
        </w:trPr>
        <w:tc>
          <w:tcPr>
            <w:tcW w:w="18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OWNED BY</w:t>
            </w:r>
          </w:p>
        </w:tc>
        <w:tc>
          <w:tcPr>
            <w:tcW w:w="920" w:type="dxa"/>
            <w:vAlign w:val="bottom"/>
            <w:tcBorders>
              <w:bottom w:val="single" w:sz="8" w:color="auto"/>
              <w:right w:val="single" w:sz="8" w:color="auto"/>
            </w:tcBorders>
          </w:tcPr>
          <w:p>
            <w:pPr>
              <w:spacing w:after="0"/>
              <w:rPr>
                <w:sz w:val="19"/>
                <w:szCs w:val="19"/>
                <w:color w:val="auto"/>
              </w:rPr>
            </w:pPr>
          </w:p>
        </w:tc>
        <w:tc>
          <w:tcPr>
            <w:tcW w:w="8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1240" w:type="dxa"/>
            <w:vAlign w:val="bottom"/>
            <w:tcBorders>
              <w:right w:val="single" w:sz="8" w:color="auto"/>
            </w:tcBorders>
            <w:gridSpan w:val="2"/>
          </w:tcPr>
          <w:p>
            <w:pPr>
              <w:jc w:val="center"/>
              <w:ind w:right="570"/>
              <w:spacing w:after="0" w:line="202" w:lineRule="exact"/>
              <w:rPr>
                <w:sz w:val="20"/>
                <w:szCs w:val="20"/>
                <w:color w:val="auto"/>
              </w:rPr>
            </w:pPr>
            <w:r>
              <w:rPr>
                <w:rFonts w:ascii="Arial" w:cs="Arial" w:eastAsia="Arial" w:hAnsi="Arial"/>
                <w:sz w:val="18"/>
                <w:szCs w:val="18"/>
                <w:color w:val="auto"/>
                <w:w w:val="99"/>
              </w:rPr>
              <w:t>EACH</w:t>
            </w:r>
          </w:p>
        </w:tc>
        <w:tc>
          <w:tcPr>
            <w:tcW w:w="9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79"/>
              </w:rPr>
              <w:t>9</w:t>
            </w:r>
          </w:p>
        </w:tc>
        <w:tc>
          <w:tcPr>
            <w:tcW w:w="8640" w:type="dxa"/>
            <w:vAlign w:val="bottom"/>
          </w:tcPr>
          <w:p>
            <w:pPr>
              <w:ind w:left="40"/>
              <w:spacing w:after="0" w:line="202" w:lineRule="exact"/>
              <w:rPr>
                <w:sz w:val="20"/>
                <w:szCs w:val="20"/>
                <w:color w:val="auto"/>
              </w:rPr>
            </w:pPr>
            <w:r>
              <w:rPr>
                <w:rFonts w:ascii="Arial" w:cs="Arial" w:eastAsia="Arial" w:hAnsi="Arial"/>
                <w:sz w:val="18"/>
                <w:szCs w:val="18"/>
                <w:color w:val="auto"/>
              </w:rPr>
              <w:t>SOLE DISPOSITIVE POWER: -0-</w:t>
            </w:r>
          </w:p>
        </w:tc>
        <w:tc>
          <w:tcPr>
            <w:tcW w:w="0" w:type="dxa"/>
            <w:vAlign w:val="bottom"/>
          </w:tcPr>
          <w:p>
            <w:pPr>
              <w:spacing w:after="0"/>
              <w:rPr>
                <w:sz w:val="1"/>
                <w:szCs w:val="1"/>
                <w:color w:val="auto"/>
              </w:rPr>
            </w:pPr>
          </w:p>
        </w:tc>
      </w:tr>
      <w:tr>
        <w:trPr>
          <w:trHeight w:val="202"/>
        </w:trPr>
        <w:tc>
          <w:tcPr>
            <w:tcW w:w="1860" w:type="dxa"/>
            <w:vAlign w:val="bottom"/>
            <w:tcBorders>
              <w:right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3"/>
              </w:rPr>
              <w:t>REPORTING</w:t>
            </w:r>
          </w:p>
        </w:tc>
        <w:tc>
          <w:tcPr>
            <w:tcW w:w="920" w:type="dxa"/>
            <w:vAlign w:val="bottom"/>
            <w:tcBorders>
              <w:right w:val="single" w:sz="8" w:color="auto"/>
            </w:tcBorders>
          </w:tcPr>
          <w:p>
            <w:pPr>
              <w:spacing w:after="0"/>
              <w:rPr>
                <w:sz w:val="17"/>
                <w:szCs w:val="17"/>
                <w:color w:val="auto"/>
              </w:rPr>
            </w:pPr>
          </w:p>
        </w:tc>
        <w:tc>
          <w:tcPr>
            <w:tcW w:w="8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186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2"/>
              </w:rPr>
              <w:t>PERSON</w:t>
            </w:r>
          </w:p>
        </w:tc>
        <w:tc>
          <w:tcPr>
            <w:tcW w:w="920" w:type="dxa"/>
            <w:vAlign w:val="bottom"/>
            <w:tcBorders>
              <w:bottom w:val="single" w:sz="8" w:color="auto"/>
              <w:right w:val="single" w:sz="8" w:color="auto"/>
            </w:tcBorders>
          </w:tcPr>
          <w:p>
            <w:pPr>
              <w:spacing w:after="0"/>
              <w:rPr>
                <w:sz w:val="3"/>
                <w:szCs w:val="3"/>
                <w:color w:val="auto"/>
              </w:rPr>
            </w:pPr>
          </w:p>
        </w:tc>
        <w:tc>
          <w:tcPr>
            <w:tcW w:w="8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1860" w:type="dxa"/>
            <w:vAlign w:val="bottom"/>
            <w:tcBorders>
              <w:right w:val="single" w:sz="8" w:color="auto"/>
            </w:tcBorders>
            <w:gridSpan w:val="3"/>
            <w:vMerge w:val="continue"/>
          </w:tcPr>
          <w:p>
            <w:pPr>
              <w:spacing w:after="0"/>
              <w:rPr>
                <w:sz w:val="14"/>
                <w:szCs w:val="14"/>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10</w:t>
            </w:r>
          </w:p>
        </w:tc>
        <w:tc>
          <w:tcPr>
            <w:tcW w:w="864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 4,976,000 common shares (See Item 5)</w:t>
            </w:r>
          </w:p>
        </w:tc>
        <w:tc>
          <w:tcPr>
            <w:tcW w:w="0" w:type="dxa"/>
            <w:vAlign w:val="bottom"/>
          </w:tcPr>
          <w:p>
            <w:pPr>
              <w:spacing w:after="0"/>
              <w:rPr>
                <w:sz w:val="1"/>
                <w:szCs w:val="1"/>
                <w:color w:val="auto"/>
              </w:rPr>
            </w:pPr>
          </w:p>
        </w:tc>
      </w:tr>
      <w:tr>
        <w:trPr>
          <w:trHeight w:val="95"/>
        </w:trPr>
        <w:tc>
          <w:tcPr>
            <w:tcW w:w="620" w:type="dxa"/>
            <w:vAlign w:val="bottom"/>
          </w:tcPr>
          <w:p>
            <w:pPr>
              <w:spacing w:after="0"/>
              <w:rPr>
                <w:sz w:val="8"/>
                <w:szCs w:val="8"/>
                <w:color w:val="auto"/>
              </w:rPr>
            </w:pPr>
          </w:p>
        </w:tc>
        <w:tc>
          <w:tcPr>
            <w:tcW w:w="1240" w:type="dxa"/>
            <w:vAlign w:val="bottom"/>
            <w:tcBorders>
              <w:right w:val="single" w:sz="8" w:color="auto"/>
            </w:tcBorders>
            <w:gridSpan w:val="2"/>
            <w:vMerge w:val="restart"/>
          </w:tcPr>
          <w:p>
            <w:pPr>
              <w:jc w:val="center"/>
              <w:ind w:right="530"/>
              <w:spacing w:after="0"/>
              <w:rPr>
                <w:sz w:val="20"/>
                <w:szCs w:val="20"/>
                <w:color w:val="auto"/>
              </w:rPr>
            </w:pPr>
            <w:r>
              <w:rPr>
                <w:rFonts w:ascii="Arial" w:cs="Arial" w:eastAsia="Arial" w:hAnsi="Arial"/>
                <w:sz w:val="18"/>
                <w:szCs w:val="18"/>
                <w:color w:val="auto"/>
                <w:w w:val="99"/>
              </w:rPr>
              <w:t>WITH</w:t>
            </w:r>
          </w:p>
        </w:tc>
        <w:tc>
          <w:tcPr>
            <w:tcW w:w="920" w:type="dxa"/>
            <w:vAlign w:val="bottom"/>
            <w:tcBorders>
              <w:right w:val="single" w:sz="8" w:color="auto"/>
            </w:tcBorders>
            <w:vMerge w:val="continue"/>
          </w:tcPr>
          <w:p>
            <w:pPr>
              <w:spacing w:after="0"/>
              <w:rPr>
                <w:sz w:val="8"/>
                <w:szCs w:val="8"/>
                <w:color w:val="auto"/>
              </w:rPr>
            </w:pPr>
          </w:p>
        </w:tc>
        <w:tc>
          <w:tcPr>
            <w:tcW w:w="8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1240" w:type="dxa"/>
            <w:vAlign w:val="bottom"/>
            <w:tcBorders>
              <w:right w:val="single" w:sz="8" w:color="auto"/>
            </w:tcBorders>
            <w:gridSpan w:val="2"/>
            <w:vMerge w:val="continue"/>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6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20" w:type="dxa"/>
            <w:vAlign w:val="bottom"/>
            <w:tcBorders>
              <w:left w:val="single" w:sz="8" w:color="auto"/>
            </w:tcBorders>
            <w:vMerge w:val="restart"/>
          </w:tcPr>
          <w:p>
            <w:pPr>
              <w:ind w:left="400"/>
              <w:spacing w:after="0"/>
              <w:rPr>
                <w:sz w:val="20"/>
                <w:szCs w:val="20"/>
                <w:color w:val="auto"/>
              </w:rPr>
            </w:pPr>
            <w:r>
              <w:rPr>
                <w:rFonts w:ascii="Arial" w:cs="Arial" w:eastAsia="Arial" w:hAnsi="Arial"/>
                <w:sz w:val="18"/>
                <w:szCs w:val="18"/>
                <w:color w:val="auto"/>
                <w:w w:val="99"/>
              </w:rPr>
              <w:t>11</w:t>
            </w:r>
          </w:p>
        </w:tc>
        <w:tc>
          <w:tcPr>
            <w:tcW w:w="340" w:type="dxa"/>
            <w:vAlign w:val="bottom"/>
            <w:tcBorders>
              <w:right w:val="single" w:sz="8" w:color="auto"/>
            </w:tcBorders>
          </w:tcPr>
          <w:p>
            <w:pPr>
              <w:spacing w:after="0"/>
              <w:rPr>
                <w:sz w:val="22"/>
                <w:szCs w:val="22"/>
                <w:color w:val="auto"/>
              </w:rPr>
            </w:pPr>
          </w:p>
        </w:tc>
        <w:tc>
          <w:tcPr>
            <w:tcW w:w="10460" w:type="dxa"/>
            <w:vAlign w:val="bottom"/>
            <w:gridSpan w:val="3"/>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vMerge w:val="continue"/>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0460" w:type="dxa"/>
            <w:vAlign w:val="bottom"/>
            <w:gridSpan w:val="3"/>
            <w:vMerge w:val="restart"/>
          </w:tcPr>
          <w:p>
            <w:pPr>
              <w:ind w:left="40"/>
              <w:spacing w:after="0"/>
              <w:rPr>
                <w:sz w:val="20"/>
                <w:szCs w:val="20"/>
                <w:color w:val="auto"/>
              </w:rPr>
            </w:pPr>
            <w:r>
              <w:rPr>
                <w:rFonts w:ascii="Arial" w:cs="Arial" w:eastAsia="Arial" w:hAnsi="Arial"/>
                <w:sz w:val="18"/>
                <w:szCs w:val="18"/>
                <w:color w:val="auto"/>
              </w:rPr>
              <w:t>4,976,000 common shares (See Item 5)</w:t>
            </w: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04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62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1046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20" w:type="dxa"/>
            <w:vAlign w:val="bottom"/>
            <w:tcBorders>
              <w:left w:val="single" w:sz="8" w:color="auto"/>
            </w:tcBorders>
          </w:tcPr>
          <w:p>
            <w:pPr>
              <w:ind w:left="400"/>
              <w:spacing w:after="0"/>
              <w:rPr>
                <w:sz w:val="20"/>
                <w:szCs w:val="20"/>
                <w:color w:val="auto"/>
              </w:rPr>
            </w:pPr>
            <w:r>
              <w:rPr>
                <w:rFonts w:ascii="Arial" w:cs="Arial" w:eastAsia="Arial" w:hAnsi="Arial"/>
                <w:sz w:val="18"/>
                <w:szCs w:val="18"/>
                <w:color w:val="auto"/>
                <w:w w:val="99"/>
              </w:rPr>
              <w:t>12</w:t>
            </w:r>
          </w:p>
        </w:tc>
        <w:tc>
          <w:tcPr>
            <w:tcW w:w="340" w:type="dxa"/>
            <w:vAlign w:val="bottom"/>
            <w:tcBorders>
              <w:right w:val="single" w:sz="8" w:color="auto"/>
            </w:tcBorders>
          </w:tcPr>
          <w:p>
            <w:pPr>
              <w:spacing w:after="0"/>
              <w:rPr>
                <w:sz w:val="22"/>
                <w:szCs w:val="22"/>
                <w:color w:val="auto"/>
              </w:rPr>
            </w:pPr>
          </w:p>
        </w:tc>
        <w:tc>
          <w:tcPr>
            <w:tcW w:w="10460" w:type="dxa"/>
            <w:vAlign w:val="bottom"/>
            <w:gridSpan w:val="3"/>
          </w:tcPr>
          <w:p>
            <w:pPr>
              <w:ind w:left="40"/>
              <w:spacing w:after="0"/>
              <w:rPr>
                <w:sz w:val="20"/>
                <w:szCs w:val="20"/>
                <w:color w:val="auto"/>
              </w:rPr>
            </w:pPr>
            <w:r>
              <w:rPr>
                <w:rFonts w:ascii="Arial" w:cs="Arial" w:eastAsia="Arial" w:hAnsi="Arial"/>
                <w:sz w:val="18"/>
                <w:szCs w:val="18"/>
                <w:color w:val="auto"/>
              </w:rPr>
              <w:t>CHECK IF THE AGGREGATE AMOUNT IN ROW (11) EXCLUDES CERTAIN SHARES (SEE INSTRUCTIONS): Not applicable.</w:t>
            </w:r>
          </w:p>
        </w:tc>
        <w:tc>
          <w:tcPr>
            <w:tcW w:w="0" w:type="dxa"/>
            <w:vAlign w:val="bottom"/>
          </w:tcPr>
          <w:p>
            <w:pPr>
              <w:spacing w:after="0"/>
              <w:rPr>
                <w:sz w:val="1"/>
                <w:szCs w:val="1"/>
                <w:color w:val="auto"/>
              </w:rPr>
            </w:pPr>
          </w:p>
        </w:tc>
      </w:tr>
      <w:tr>
        <w:trPr>
          <w:trHeight w:val="48"/>
        </w:trPr>
        <w:tc>
          <w:tcPr>
            <w:tcW w:w="62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1046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20" w:type="dxa"/>
            <w:vAlign w:val="bottom"/>
            <w:tcBorders>
              <w:left w:val="single" w:sz="8" w:color="auto"/>
            </w:tcBorders>
            <w:vMerge w:val="restart"/>
          </w:tcPr>
          <w:p>
            <w:pPr>
              <w:ind w:left="400"/>
              <w:spacing w:after="0"/>
              <w:rPr>
                <w:sz w:val="20"/>
                <w:szCs w:val="20"/>
                <w:color w:val="auto"/>
              </w:rPr>
            </w:pPr>
            <w:r>
              <w:rPr>
                <w:rFonts w:ascii="Arial" w:cs="Arial" w:eastAsia="Arial" w:hAnsi="Arial"/>
                <w:sz w:val="18"/>
                <w:szCs w:val="18"/>
                <w:color w:val="auto"/>
                <w:w w:val="99"/>
              </w:rPr>
              <w:t>13</w:t>
            </w:r>
          </w:p>
        </w:tc>
        <w:tc>
          <w:tcPr>
            <w:tcW w:w="340" w:type="dxa"/>
            <w:vAlign w:val="bottom"/>
            <w:tcBorders>
              <w:right w:val="single" w:sz="8" w:color="auto"/>
            </w:tcBorders>
          </w:tcPr>
          <w:p>
            <w:pPr>
              <w:spacing w:after="0"/>
              <w:rPr>
                <w:sz w:val="22"/>
                <w:szCs w:val="22"/>
                <w:color w:val="auto"/>
              </w:rPr>
            </w:pPr>
          </w:p>
        </w:tc>
        <w:tc>
          <w:tcPr>
            <w:tcW w:w="10460" w:type="dxa"/>
            <w:vAlign w:val="bottom"/>
            <w:gridSpan w:val="3"/>
          </w:tcPr>
          <w:p>
            <w:pPr>
              <w:ind w:left="4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vMerge w:val="continue"/>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0460" w:type="dxa"/>
            <w:vAlign w:val="bottom"/>
            <w:gridSpan w:val="3"/>
            <w:vMerge w:val="restart"/>
          </w:tcPr>
          <w:p>
            <w:pPr>
              <w:ind w:left="40"/>
              <w:spacing w:after="0"/>
              <w:rPr>
                <w:sz w:val="20"/>
                <w:szCs w:val="20"/>
                <w:color w:val="auto"/>
              </w:rPr>
            </w:pPr>
            <w:r>
              <w:rPr>
                <w:rFonts w:ascii="Arial" w:cs="Arial" w:eastAsia="Arial" w:hAnsi="Arial"/>
                <w:sz w:val="18"/>
                <w:szCs w:val="18"/>
                <w:color w:val="auto"/>
              </w:rPr>
              <w:t>36.02% of the Company’s outstanding common shares</w:t>
            </w: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04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62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1046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20" w:type="dxa"/>
            <w:vAlign w:val="bottom"/>
            <w:tcBorders>
              <w:left w:val="single" w:sz="8" w:color="auto"/>
            </w:tcBorders>
          </w:tcPr>
          <w:p>
            <w:pPr>
              <w:ind w:left="400"/>
              <w:spacing w:after="0"/>
              <w:rPr>
                <w:sz w:val="20"/>
                <w:szCs w:val="20"/>
                <w:color w:val="auto"/>
              </w:rPr>
            </w:pPr>
            <w:r>
              <w:rPr>
                <w:rFonts w:ascii="Arial" w:cs="Arial" w:eastAsia="Arial" w:hAnsi="Arial"/>
                <w:sz w:val="18"/>
                <w:szCs w:val="18"/>
                <w:color w:val="auto"/>
                <w:w w:val="99"/>
              </w:rPr>
              <w:t>14</w:t>
            </w:r>
          </w:p>
        </w:tc>
        <w:tc>
          <w:tcPr>
            <w:tcW w:w="340" w:type="dxa"/>
            <w:vAlign w:val="bottom"/>
            <w:tcBorders>
              <w:right w:val="single" w:sz="8" w:color="auto"/>
            </w:tcBorders>
          </w:tcPr>
          <w:p>
            <w:pPr>
              <w:spacing w:after="0"/>
              <w:rPr>
                <w:sz w:val="22"/>
                <w:szCs w:val="22"/>
                <w:color w:val="auto"/>
              </w:rPr>
            </w:pPr>
          </w:p>
        </w:tc>
        <w:tc>
          <w:tcPr>
            <w:tcW w:w="10460" w:type="dxa"/>
            <w:vAlign w:val="bottom"/>
            <w:gridSpan w:val="3"/>
          </w:tcPr>
          <w:p>
            <w:pPr>
              <w:ind w:left="40"/>
              <w:spacing w:after="0"/>
              <w:rPr>
                <w:sz w:val="20"/>
                <w:szCs w:val="20"/>
                <w:color w:val="auto"/>
              </w:rPr>
            </w:pPr>
            <w:r>
              <w:rPr>
                <w:rFonts w:ascii="Arial" w:cs="Arial" w:eastAsia="Arial" w:hAnsi="Arial"/>
                <w:sz w:val="18"/>
                <w:szCs w:val="18"/>
                <w:color w:val="auto"/>
              </w:rPr>
              <w:t>TYPE OF REPORTING PERSON (SEE INSTRUCTIONS): IN</w:t>
            </w:r>
          </w:p>
        </w:tc>
        <w:tc>
          <w:tcPr>
            <w:tcW w:w="0" w:type="dxa"/>
            <w:vAlign w:val="bottom"/>
          </w:tcPr>
          <w:p>
            <w:pPr>
              <w:spacing w:after="0"/>
              <w:rPr>
                <w:sz w:val="1"/>
                <w:szCs w:val="1"/>
                <w:color w:val="auto"/>
              </w:rPr>
            </w:pPr>
          </w:p>
        </w:tc>
      </w:tr>
      <w:tr>
        <w:trPr>
          <w:trHeight w:val="48"/>
        </w:trPr>
        <w:tc>
          <w:tcPr>
            <w:tcW w:w="62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2" w:name="page3"/>
    <w:bookmarkEnd w:id="2"/>
    <w:p>
      <w:pPr>
        <w:spacing w:after="0"/>
        <w:tabs>
          <w:tab w:leader="none" w:pos="120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6"/>
          <w:szCs w:val="16"/>
          <w:b w:val="1"/>
          <w:bCs w:val="1"/>
          <w:color w:val="auto"/>
        </w:rPr>
        <w:t>G31642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47853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785360"/>
                    </a:xfrm>
                    <a:prstGeom prst="rect">
                      <a:avLst/>
                    </a:prstGeom>
                    <a:noFill/>
                  </pic:spPr>
                </pic:pic>
              </a:graphicData>
            </a:graphic>
          </wp:anchor>
        </w:drawing>
      </w:r>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NAMES OF REPORTING PERSONS: </w:t>
      </w:r>
      <w:r>
        <w:rPr>
          <w:rFonts w:ascii="Arial" w:cs="Arial" w:eastAsia="Arial" w:hAnsi="Arial"/>
          <w:sz w:val="18"/>
          <w:szCs w:val="18"/>
          <w:b w:val="1"/>
          <w:bCs w:val="1"/>
          <w:color w:val="auto"/>
        </w:rPr>
        <w:t>Xiao Feng Yang</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I.R.S. IDENTIFICATION NOS. OF ABOVE PERSONS (ENTITIES ONLY):</w:t>
      </w:r>
    </w:p>
    <w:p>
      <w:pPr>
        <w:spacing w:after="0" w:line="10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CHECK THE APPROPRIATE BOX IF A MEMBER OF A GROUP (SEE INSTRUCTIONS):</w:t>
      </w:r>
    </w:p>
    <w:p>
      <w:pPr>
        <w:ind w:left="440"/>
        <w:spacing w:after="0" w:line="342" w:lineRule="exact"/>
        <w:tabs>
          <w:tab w:leader="none" w:pos="980" w:val="left"/>
          <w:tab w:leader="none" w:pos="1620" w:val="left"/>
        </w:tabs>
        <w:rPr>
          <w:sz w:val="20"/>
          <w:szCs w:val="20"/>
          <w:color w:val="auto"/>
        </w:rPr>
      </w:pPr>
      <w:r>
        <w:rPr>
          <w:rFonts w:ascii="Arial" w:cs="Arial" w:eastAsia="Arial" w:hAnsi="Arial"/>
          <w:sz w:val="36"/>
          <w:szCs w:val="36"/>
          <w:color w:val="auto"/>
          <w:vertAlign w:val="superscript"/>
        </w:rPr>
        <w:t>2</w:t>
      </w:r>
      <w:r>
        <w:rPr>
          <w:sz w:val="20"/>
          <w:szCs w:val="20"/>
          <w:color w:val="auto"/>
        </w:rPr>
        <w:tab/>
      </w:r>
      <w:r>
        <w:rPr>
          <w:rFonts w:ascii="Arial" w:cs="Arial" w:eastAsia="Arial" w:hAnsi="Arial"/>
          <w:sz w:val="18"/>
          <w:szCs w:val="18"/>
          <w:color w:val="auto"/>
        </w:rPr>
        <w:t>(a)</w:t>
      </w:r>
      <w:r>
        <w:rPr>
          <w:sz w:val="20"/>
          <w:szCs w:val="20"/>
          <w:color w:val="auto"/>
        </w:rPr>
        <w:tab/>
      </w:r>
      <w:r>
        <w:rPr>
          <w:rFonts w:ascii="MS PGothic" w:cs="MS PGothic" w:eastAsia="MS PGothic" w:hAnsi="MS PGothic"/>
          <w:sz w:val="16"/>
          <w:szCs w:val="16"/>
          <w:color w:val="auto"/>
        </w:rPr>
        <w:t>☐</w:t>
      </w:r>
    </w:p>
    <w:p>
      <w:pPr>
        <w:spacing w:after="0" w:line="109" w:lineRule="exact"/>
        <w:rPr>
          <w:sz w:val="20"/>
          <w:szCs w:val="20"/>
          <w:color w:val="auto"/>
        </w:rPr>
      </w:pPr>
    </w:p>
    <w:p>
      <w:pPr>
        <w:ind w:left="1660" w:hanging="666"/>
        <w:spacing w:after="0" w:line="207" w:lineRule="exact"/>
        <w:tabs>
          <w:tab w:leader="none" w:pos="166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8" w:lineRule="exact"/>
        <w:rPr>
          <w:sz w:val="20"/>
          <w:szCs w:val="20"/>
          <w:color w:val="auto"/>
        </w:rPr>
      </w:pPr>
    </w:p>
    <w:p>
      <w:pPr>
        <w:ind w:left="1000" w:hanging="564"/>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17" w:lineRule="exact"/>
        <w:rPr>
          <w:sz w:val="20"/>
          <w:szCs w:val="20"/>
          <w:color w:val="auto"/>
        </w:rPr>
      </w:pPr>
    </w:p>
    <w:p>
      <w:pPr>
        <w:ind w:left="1000" w:hanging="564"/>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SOURCE OF FUNDS (SEE INSTRUCTIONS): PF/OO (See Item 3)</w:t>
      </w:r>
    </w:p>
    <w:p>
      <w:pPr>
        <w:spacing w:after="0" w:line="84" w:lineRule="exact"/>
        <w:rPr>
          <w:sz w:val="20"/>
          <w:szCs w:val="20"/>
          <w:color w:val="auto"/>
        </w:rPr>
      </w:pPr>
    </w:p>
    <w:p>
      <w:pPr>
        <w:ind w:left="1000" w:hanging="564"/>
        <w:spacing w:after="0" w:line="207" w:lineRule="exact"/>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150" w:lineRule="exact"/>
        <w:rPr>
          <w:sz w:val="20"/>
          <w:szCs w:val="20"/>
          <w:color w:val="auto"/>
        </w:rPr>
      </w:pPr>
    </w:p>
    <w:p>
      <w:pPr>
        <w:ind w:left="1000" w:hanging="564"/>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 People’s Republic of China</w:t>
      </w:r>
    </w:p>
    <w:p>
      <w:pPr>
        <w:spacing w:after="0" w:line="44"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1860" w:type="dxa"/>
            <w:vAlign w:val="bottom"/>
            <w:tcBorders>
              <w:top w:val="single" w:sz="8" w:color="auto"/>
              <w:right w:val="single" w:sz="8" w:color="auto"/>
            </w:tcBorders>
            <w:gridSpan w:val="3"/>
          </w:tcPr>
          <w:p>
            <w:pPr>
              <w:ind w:left="380"/>
              <w:spacing w:after="0"/>
              <w:rPr>
                <w:sz w:val="20"/>
                <w:szCs w:val="20"/>
                <w:color w:val="auto"/>
              </w:rPr>
            </w:pPr>
            <w:r>
              <w:rPr>
                <w:rFonts w:ascii="Arial" w:cs="Arial" w:eastAsia="Arial" w:hAnsi="Arial"/>
                <w:sz w:val="18"/>
                <w:szCs w:val="18"/>
                <w:color w:val="auto"/>
              </w:rPr>
              <w:t>NUMBER OF</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86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SOLE VOTING POWER: 5,049,607 common shares</w:t>
            </w:r>
          </w:p>
        </w:tc>
        <w:tc>
          <w:tcPr>
            <w:tcW w:w="0" w:type="dxa"/>
            <w:vAlign w:val="bottom"/>
          </w:tcPr>
          <w:p>
            <w:pPr>
              <w:spacing w:after="0"/>
              <w:rPr>
                <w:sz w:val="1"/>
                <w:szCs w:val="1"/>
                <w:color w:val="auto"/>
              </w:rPr>
            </w:pPr>
          </w:p>
        </w:tc>
      </w:tr>
      <w:tr>
        <w:trPr>
          <w:trHeight w:val="197"/>
        </w:trPr>
        <w:tc>
          <w:tcPr>
            <w:tcW w:w="1860" w:type="dxa"/>
            <w:vAlign w:val="bottom"/>
            <w:tcBorders>
              <w:right w:val="single" w:sz="8" w:color="auto"/>
            </w:tcBorders>
            <w:gridSpan w:val="3"/>
          </w:tcPr>
          <w:p>
            <w:pPr>
              <w:jc w:val="center"/>
              <w:spacing w:after="0" w:line="190" w:lineRule="exact"/>
              <w:rPr>
                <w:sz w:val="20"/>
                <w:szCs w:val="20"/>
                <w:color w:val="auto"/>
              </w:rPr>
            </w:pPr>
            <w:r>
              <w:rPr>
                <w:rFonts w:ascii="Arial" w:cs="Arial" w:eastAsia="Arial" w:hAnsi="Arial"/>
                <w:sz w:val="18"/>
                <w:szCs w:val="18"/>
                <w:color w:val="auto"/>
                <w:w w:val="94"/>
              </w:rPr>
              <w:t>SHARES</w:t>
            </w:r>
          </w:p>
        </w:tc>
        <w:tc>
          <w:tcPr>
            <w:tcW w:w="920" w:type="dxa"/>
            <w:vAlign w:val="bottom"/>
            <w:tcBorders>
              <w:bottom w:val="single" w:sz="8" w:color="auto"/>
              <w:right w:val="single" w:sz="8" w:color="auto"/>
            </w:tcBorders>
          </w:tcPr>
          <w:p>
            <w:pPr>
              <w:spacing w:after="0"/>
              <w:rPr>
                <w:sz w:val="17"/>
                <w:szCs w:val="17"/>
                <w:color w:val="auto"/>
              </w:rPr>
            </w:pPr>
          </w:p>
        </w:tc>
        <w:tc>
          <w:tcPr>
            <w:tcW w:w="8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8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8</w:t>
            </w:r>
          </w:p>
        </w:tc>
        <w:tc>
          <w:tcPr>
            <w:tcW w:w="8640" w:type="dxa"/>
            <w:vAlign w:val="bottom"/>
          </w:tcPr>
          <w:p>
            <w:pPr>
              <w:ind w:left="40"/>
              <w:spacing w:after="0"/>
              <w:rPr>
                <w:sz w:val="20"/>
                <w:szCs w:val="20"/>
                <w:color w:val="auto"/>
              </w:rPr>
            </w:pPr>
            <w:r>
              <w:rPr>
                <w:rFonts w:ascii="Arial" w:cs="Arial" w:eastAsia="Arial" w:hAnsi="Arial"/>
                <w:sz w:val="18"/>
                <w:szCs w:val="18"/>
                <w:color w:val="auto"/>
              </w:rPr>
              <w:t xml:space="preserve">SHARED VOTING POWER: </w:t>
            </w:r>
            <w:r>
              <w:rPr>
                <w:rFonts w:ascii="Arial" w:cs="Arial" w:eastAsia="Arial" w:hAnsi="Arial"/>
                <w:sz w:val="18"/>
                <w:szCs w:val="18"/>
                <w:b w:val="1"/>
                <w:bCs w:val="1"/>
                <w:color w:val="auto"/>
              </w:rPr>
              <w:t>-</w:t>
            </w:r>
            <w:r>
              <w:rPr>
                <w:rFonts w:ascii="Arial" w:cs="Arial" w:eastAsia="Arial" w:hAnsi="Arial"/>
                <w:sz w:val="18"/>
                <w:szCs w:val="18"/>
                <w:color w:val="auto"/>
              </w:rPr>
              <w:t xml:space="preserve"> 0 -</w:t>
            </w:r>
          </w:p>
        </w:tc>
        <w:tc>
          <w:tcPr>
            <w:tcW w:w="0" w:type="dxa"/>
            <w:vAlign w:val="bottom"/>
          </w:tcPr>
          <w:p>
            <w:pPr>
              <w:spacing w:after="0"/>
              <w:rPr>
                <w:sz w:val="1"/>
                <w:szCs w:val="1"/>
                <w:color w:val="auto"/>
              </w:rPr>
            </w:pPr>
          </w:p>
        </w:tc>
      </w:tr>
      <w:tr>
        <w:trPr>
          <w:trHeight w:val="224"/>
        </w:trPr>
        <w:tc>
          <w:tcPr>
            <w:tcW w:w="18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OWNED BY</w:t>
            </w:r>
          </w:p>
        </w:tc>
        <w:tc>
          <w:tcPr>
            <w:tcW w:w="920" w:type="dxa"/>
            <w:vAlign w:val="bottom"/>
            <w:tcBorders>
              <w:bottom w:val="single" w:sz="8" w:color="auto"/>
              <w:right w:val="single" w:sz="8" w:color="auto"/>
            </w:tcBorders>
          </w:tcPr>
          <w:p>
            <w:pPr>
              <w:spacing w:after="0"/>
              <w:rPr>
                <w:sz w:val="19"/>
                <w:szCs w:val="19"/>
                <w:color w:val="auto"/>
              </w:rPr>
            </w:pPr>
          </w:p>
        </w:tc>
        <w:tc>
          <w:tcPr>
            <w:tcW w:w="8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1240" w:type="dxa"/>
            <w:vAlign w:val="bottom"/>
            <w:tcBorders>
              <w:right w:val="single" w:sz="8" w:color="auto"/>
            </w:tcBorders>
            <w:gridSpan w:val="2"/>
          </w:tcPr>
          <w:p>
            <w:pPr>
              <w:jc w:val="center"/>
              <w:ind w:right="570"/>
              <w:spacing w:after="0" w:line="202" w:lineRule="exact"/>
              <w:rPr>
                <w:sz w:val="20"/>
                <w:szCs w:val="20"/>
                <w:color w:val="auto"/>
              </w:rPr>
            </w:pPr>
            <w:r>
              <w:rPr>
                <w:rFonts w:ascii="Arial" w:cs="Arial" w:eastAsia="Arial" w:hAnsi="Arial"/>
                <w:sz w:val="18"/>
                <w:szCs w:val="18"/>
                <w:color w:val="auto"/>
                <w:w w:val="99"/>
              </w:rPr>
              <w:t>EACH</w:t>
            </w:r>
          </w:p>
        </w:tc>
        <w:tc>
          <w:tcPr>
            <w:tcW w:w="9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79"/>
              </w:rPr>
              <w:t>9</w:t>
            </w:r>
          </w:p>
        </w:tc>
        <w:tc>
          <w:tcPr>
            <w:tcW w:w="8640" w:type="dxa"/>
            <w:vAlign w:val="bottom"/>
          </w:tcPr>
          <w:p>
            <w:pPr>
              <w:ind w:left="40"/>
              <w:spacing w:after="0" w:line="202" w:lineRule="exact"/>
              <w:rPr>
                <w:sz w:val="20"/>
                <w:szCs w:val="20"/>
                <w:color w:val="auto"/>
              </w:rPr>
            </w:pPr>
            <w:r>
              <w:rPr>
                <w:rFonts w:ascii="Arial" w:cs="Arial" w:eastAsia="Arial" w:hAnsi="Arial"/>
                <w:sz w:val="18"/>
                <w:szCs w:val="18"/>
                <w:color w:val="auto"/>
              </w:rPr>
              <w:t>SOLE DISPOSITIVE POWERS: 5,049,607 common shares</w:t>
            </w:r>
          </w:p>
        </w:tc>
        <w:tc>
          <w:tcPr>
            <w:tcW w:w="0" w:type="dxa"/>
            <w:vAlign w:val="bottom"/>
          </w:tcPr>
          <w:p>
            <w:pPr>
              <w:spacing w:after="0"/>
              <w:rPr>
                <w:sz w:val="1"/>
                <w:szCs w:val="1"/>
                <w:color w:val="auto"/>
              </w:rPr>
            </w:pPr>
          </w:p>
        </w:tc>
      </w:tr>
      <w:tr>
        <w:trPr>
          <w:trHeight w:val="202"/>
        </w:trPr>
        <w:tc>
          <w:tcPr>
            <w:tcW w:w="1860" w:type="dxa"/>
            <w:vAlign w:val="bottom"/>
            <w:tcBorders>
              <w:right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3"/>
              </w:rPr>
              <w:t>REPORTING</w:t>
            </w:r>
          </w:p>
        </w:tc>
        <w:tc>
          <w:tcPr>
            <w:tcW w:w="920" w:type="dxa"/>
            <w:vAlign w:val="bottom"/>
            <w:tcBorders>
              <w:right w:val="single" w:sz="8" w:color="auto"/>
            </w:tcBorders>
          </w:tcPr>
          <w:p>
            <w:pPr>
              <w:spacing w:after="0"/>
              <w:rPr>
                <w:sz w:val="17"/>
                <w:szCs w:val="17"/>
                <w:color w:val="auto"/>
              </w:rPr>
            </w:pPr>
          </w:p>
        </w:tc>
        <w:tc>
          <w:tcPr>
            <w:tcW w:w="8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186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2"/>
              </w:rPr>
              <w:t>PERSON</w:t>
            </w:r>
          </w:p>
        </w:tc>
        <w:tc>
          <w:tcPr>
            <w:tcW w:w="920" w:type="dxa"/>
            <w:vAlign w:val="bottom"/>
            <w:tcBorders>
              <w:bottom w:val="single" w:sz="8" w:color="auto"/>
              <w:right w:val="single" w:sz="8" w:color="auto"/>
            </w:tcBorders>
          </w:tcPr>
          <w:p>
            <w:pPr>
              <w:spacing w:after="0"/>
              <w:rPr>
                <w:sz w:val="3"/>
                <w:szCs w:val="3"/>
                <w:color w:val="auto"/>
              </w:rPr>
            </w:pPr>
          </w:p>
        </w:tc>
        <w:tc>
          <w:tcPr>
            <w:tcW w:w="8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1860" w:type="dxa"/>
            <w:vAlign w:val="bottom"/>
            <w:tcBorders>
              <w:right w:val="single" w:sz="8" w:color="auto"/>
            </w:tcBorders>
            <w:gridSpan w:val="3"/>
            <w:vMerge w:val="continue"/>
          </w:tcPr>
          <w:p>
            <w:pPr>
              <w:spacing w:after="0"/>
              <w:rPr>
                <w:sz w:val="14"/>
                <w:szCs w:val="14"/>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10</w:t>
            </w:r>
          </w:p>
        </w:tc>
        <w:tc>
          <w:tcPr>
            <w:tcW w:w="8640" w:type="dxa"/>
            <w:vAlign w:val="bottom"/>
            <w:vMerge w:val="restart"/>
          </w:tcPr>
          <w:p>
            <w:pPr>
              <w:ind w:left="40"/>
              <w:spacing w:after="0"/>
              <w:rPr>
                <w:sz w:val="20"/>
                <w:szCs w:val="20"/>
                <w:color w:val="auto"/>
              </w:rPr>
            </w:pPr>
            <w:r>
              <w:rPr>
                <w:rFonts w:ascii="Arial" w:cs="Arial" w:eastAsia="Arial" w:hAnsi="Arial"/>
                <w:sz w:val="18"/>
                <w:szCs w:val="18"/>
                <w:color w:val="auto"/>
              </w:rPr>
              <w:t>SHARES DISPOSITIVE POWER: - 0 -</w:t>
            </w:r>
          </w:p>
        </w:tc>
        <w:tc>
          <w:tcPr>
            <w:tcW w:w="0" w:type="dxa"/>
            <w:vAlign w:val="bottom"/>
          </w:tcPr>
          <w:p>
            <w:pPr>
              <w:spacing w:after="0"/>
              <w:rPr>
                <w:sz w:val="1"/>
                <w:szCs w:val="1"/>
                <w:color w:val="auto"/>
              </w:rPr>
            </w:pPr>
          </w:p>
        </w:tc>
      </w:tr>
      <w:tr>
        <w:trPr>
          <w:trHeight w:val="95"/>
        </w:trPr>
        <w:tc>
          <w:tcPr>
            <w:tcW w:w="620" w:type="dxa"/>
            <w:vAlign w:val="bottom"/>
          </w:tcPr>
          <w:p>
            <w:pPr>
              <w:spacing w:after="0"/>
              <w:rPr>
                <w:sz w:val="8"/>
                <w:szCs w:val="8"/>
                <w:color w:val="auto"/>
              </w:rPr>
            </w:pPr>
          </w:p>
        </w:tc>
        <w:tc>
          <w:tcPr>
            <w:tcW w:w="1240" w:type="dxa"/>
            <w:vAlign w:val="bottom"/>
            <w:tcBorders>
              <w:right w:val="single" w:sz="8" w:color="auto"/>
            </w:tcBorders>
            <w:gridSpan w:val="2"/>
            <w:vMerge w:val="restart"/>
          </w:tcPr>
          <w:p>
            <w:pPr>
              <w:jc w:val="center"/>
              <w:ind w:right="530"/>
              <w:spacing w:after="0"/>
              <w:rPr>
                <w:sz w:val="20"/>
                <w:szCs w:val="20"/>
                <w:color w:val="auto"/>
              </w:rPr>
            </w:pPr>
            <w:r>
              <w:rPr>
                <w:rFonts w:ascii="Arial" w:cs="Arial" w:eastAsia="Arial" w:hAnsi="Arial"/>
                <w:sz w:val="18"/>
                <w:szCs w:val="18"/>
                <w:color w:val="auto"/>
                <w:w w:val="99"/>
              </w:rPr>
              <w:t>WITH</w:t>
            </w:r>
          </w:p>
        </w:tc>
        <w:tc>
          <w:tcPr>
            <w:tcW w:w="920" w:type="dxa"/>
            <w:vAlign w:val="bottom"/>
            <w:tcBorders>
              <w:right w:val="single" w:sz="8" w:color="auto"/>
            </w:tcBorders>
            <w:vMerge w:val="continue"/>
          </w:tcPr>
          <w:p>
            <w:pPr>
              <w:spacing w:after="0"/>
              <w:rPr>
                <w:sz w:val="8"/>
                <w:szCs w:val="8"/>
                <w:color w:val="auto"/>
              </w:rPr>
            </w:pPr>
          </w:p>
        </w:tc>
        <w:tc>
          <w:tcPr>
            <w:tcW w:w="8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1240" w:type="dxa"/>
            <w:vAlign w:val="bottom"/>
            <w:tcBorders>
              <w:right w:val="single" w:sz="8" w:color="auto"/>
            </w:tcBorders>
            <w:gridSpan w:val="2"/>
            <w:vMerge w:val="continue"/>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6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20" w:type="dxa"/>
            <w:vAlign w:val="bottom"/>
            <w:tcBorders>
              <w:left w:val="single" w:sz="8" w:color="auto"/>
            </w:tcBorders>
            <w:vMerge w:val="restart"/>
          </w:tcPr>
          <w:p>
            <w:pPr>
              <w:ind w:left="400"/>
              <w:spacing w:after="0"/>
              <w:rPr>
                <w:sz w:val="20"/>
                <w:szCs w:val="20"/>
                <w:color w:val="auto"/>
              </w:rPr>
            </w:pPr>
            <w:r>
              <w:rPr>
                <w:rFonts w:ascii="Arial" w:cs="Arial" w:eastAsia="Arial" w:hAnsi="Arial"/>
                <w:sz w:val="18"/>
                <w:szCs w:val="18"/>
                <w:color w:val="auto"/>
                <w:w w:val="99"/>
              </w:rPr>
              <w:t>11</w:t>
            </w:r>
          </w:p>
        </w:tc>
        <w:tc>
          <w:tcPr>
            <w:tcW w:w="340" w:type="dxa"/>
            <w:vAlign w:val="bottom"/>
            <w:tcBorders>
              <w:right w:val="single" w:sz="8" w:color="auto"/>
            </w:tcBorders>
          </w:tcPr>
          <w:p>
            <w:pPr>
              <w:spacing w:after="0"/>
              <w:rPr>
                <w:sz w:val="22"/>
                <w:szCs w:val="22"/>
                <w:color w:val="auto"/>
              </w:rPr>
            </w:pPr>
          </w:p>
        </w:tc>
        <w:tc>
          <w:tcPr>
            <w:tcW w:w="10460" w:type="dxa"/>
            <w:vAlign w:val="bottom"/>
            <w:gridSpan w:val="3"/>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vMerge w:val="continue"/>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0460" w:type="dxa"/>
            <w:vAlign w:val="bottom"/>
            <w:gridSpan w:val="3"/>
            <w:vMerge w:val="restart"/>
          </w:tcPr>
          <w:p>
            <w:pPr>
              <w:ind w:left="40"/>
              <w:spacing w:after="0"/>
              <w:rPr>
                <w:sz w:val="20"/>
                <w:szCs w:val="20"/>
                <w:color w:val="auto"/>
              </w:rPr>
            </w:pPr>
            <w:r>
              <w:rPr>
                <w:rFonts w:ascii="Arial" w:cs="Arial" w:eastAsia="Arial" w:hAnsi="Arial"/>
                <w:sz w:val="18"/>
                <w:szCs w:val="18"/>
                <w:color w:val="auto"/>
              </w:rPr>
              <w:t>5,049,607 common shares (See Item 5)</w:t>
            </w: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04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62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1046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20" w:type="dxa"/>
            <w:vAlign w:val="bottom"/>
            <w:tcBorders>
              <w:left w:val="single" w:sz="8" w:color="auto"/>
            </w:tcBorders>
          </w:tcPr>
          <w:p>
            <w:pPr>
              <w:ind w:left="400"/>
              <w:spacing w:after="0"/>
              <w:rPr>
                <w:sz w:val="20"/>
                <w:szCs w:val="20"/>
                <w:color w:val="auto"/>
              </w:rPr>
            </w:pPr>
            <w:r>
              <w:rPr>
                <w:rFonts w:ascii="Arial" w:cs="Arial" w:eastAsia="Arial" w:hAnsi="Arial"/>
                <w:sz w:val="18"/>
                <w:szCs w:val="18"/>
                <w:color w:val="auto"/>
                <w:w w:val="99"/>
              </w:rPr>
              <w:t>12</w:t>
            </w:r>
          </w:p>
        </w:tc>
        <w:tc>
          <w:tcPr>
            <w:tcW w:w="340" w:type="dxa"/>
            <w:vAlign w:val="bottom"/>
            <w:tcBorders>
              <w:right w:val="single" w:sz="8" w:color="auto"/>
            </w:tcBorders>
          </w:tcPr>
          <w:p>
            <w:pPr>
              <w:spacing w:after="0"/>
              <w:rPr>
                <w:sz w:val="22"/>
                <w:szCs w:val="22"/>
                <w:color w:val="auto"/>
              </w:rPr>
            </w:pPr>
          </w:p>
        </w:tc>
        <w:tc>
          <w:tcPr>
            <w:tcW w:w="10460" w:type="dxa"/>
            <w:vAlign w:val="bottom"/>
            <w:gridSpan w:val="3"/>
          </w:tcPr>
          <w:p>
            <w:pPr>
              <w:ind w:left="40"/>
              <w:spacing w:after="0"/>
              <w:rPr>
                <w:sz w:val="20"/>
                <w:szCs w:val="20"/>
                <w:color w:val="auto"/>
              </w:rPr>
            </w:pPr>
            <w:r>
              <w:rPr>
                <w:rFonts w:ascii="Arial" w:cs="Arial" w:eastAsia="Arial" w:hAnsi="Arial"/>
                <w:sz w:val="18"/>
                <w:szCs w:val="18"/>
                <w:color w:val="auto"/>
              </w:rPr>
              <w:t>CHECK IF THE AGGREGATE AMOUNT IN ROW (11) EXCLUDES CERTAIN SHARES (SEE INSTRUCTIONS): Not applicable.</w:t>
            </w:r>
          </w:p>
        </w:tc>
        <w:tc>
          <w:tcPr>
            <w:tcW w:w="0" w:type="dxa"/>
            <w:vAlign w:val="bottom"/>
          </w:tcPr>
          <w:p>
            <w:pPr>
              <w:spacing w:after="0"/>
              <w:rPr>
                <w:sz w:val="1"/>
                <w:szCs w:val="1"/>
                <w:color w:val="auto"/>
              </w:rPr>
            </w:pPr>
          </w:p>
        </w:tc>
      </w:tr>
      <w:tr>
        <w:trPr>
          <w:trHeight w:val="48"/>
        </w:trPr>
        <w:tc>
          <w:tcPr>
            <w:tcW w:w="62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1046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20" w:type="dxa"/>
            <w:vAlign w:val="bottom"/>
            <w:tcBorders>
              <w:left w:val="single" w:sz="8" w:color="auto"/>
            </w:tcBorders>
            <w:vMerge w:val="restart"/>
          </w:tcPr>
          <w:p>
            <w:pPr>
              <w:ind w:left="400"/>
              <w:spacing w:after="0"/>
              <w:rPr>
                <w:sz w:val="20"/>
                <w:szCs w:val="20"/>
                <w:color w:val="auto"/>
              </w:rPr>
            </w:pPr>
            <w:r>
              <w:rPr>
                <w:rFonts w:ascii="Arial" w:cs="Arial" w:eastAsia="Arial" w:hAnsi="Arial"/>
                <w:sz w:val="18"/>
                <w:szCs w:val="18"/>
                <w:color w:val="auto"/>
                <w:w w:val="99"/>
              </w:rPr>
              <w:t>13</w:t>
            </w:r>
          </w:p>
        </w:tc>
        <w:tc>
          <w:tcPr>
            <w:tcW w:w="340" w:type="dxa"/>
            <w:vAlign w:val="bottom"/>
            <w:tcBorders>
              <w:right w:val="single" w:sz="8" w:color="auto"/>
            </w:tcBorders>
          </w:tcPr>
          <w:p>
            <w:pPr>
              <w:spacing w:after="0"/>
              <w:rPr>
                <w:sz w:val="22"/>
                <w:szCs w:val="22"/>
                <w:color w:val="auto"/>
              </w:rPr>
            </w:pPr>
          </w:p>
        </w:tc>
        <w:tc>
          <w:tcPr>
            <w:tcW w:w="10460" w:type="dxa"/>
            <w:vAlign w:val="bottom"/>
            <w:gridSpan w:val="3"/>
          </w:tcPr>
          <w:p>
            <w:pPr>
              <w:ind w:left="4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vMerge w:val="continue"/>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0460" w:type="dxa"/>
            <w:vAlign w:val="bottom"/>
            <w:gridSpan w:val="3"/>
            <w:vMerge w:val="restart"/>
          </w:tcPr>
          <w:p>
            <w:pPr>
              <w:ind w:left="40"/>
              <w:spacing w:after="0"/>
              <w:rPr>
                <w:sz w:val="20"/>
                <w:szCs w:val="20"/>
                <w:color w:val="auto"/>
              </w:rPr>
            </w:pPr>
            <w:r>
              <w:rPr>
                <w:rFonts w:ascii="Arial" w:cs="Arial" w:eastAsia="Arial" w:hAnsi="Arial"/>
                <w:sz w:val="18"/>
                <w:szCs w:val="18"/>
                <w:color w:val="auto"/>
              </w:rPr>
              <w:t>36.55% of the Company’s outstanding common shares</w:t>
            </w: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04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62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1046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20" w:type="dxa"/>
            <w:vAlign w:val="bottom"/>
            <w:tcBorders>
              <w:left w:val="single" w:sz="8" w:color="auto"/>
            </w:tcBorders>
          </w:tcPr>
          <w:p>
            <w:pPr>
              <w:ind w:left="400"/>
              <w:spacing w:after="0"/>
              <w:rPr>
                <w:sz w:val="20"/>
                <w:szCs w:val="20"/>
                <w:color w:val="auto"/>
              </w:rPr>
            </w:pPr>
            <w:r>
              <w:rPr>
                <w:rFonts w:ascii="Arial" w:cs="Arial" w:eastAsia="Arial" w:hAnsi="Arial"/>
                <w:sz w:val="18"/>
                <w:szCs w:val="18"/>
                <w:color w:val="auto"/>
                <w:w w:val="99"/>
              </w:rPr>
              <w:t>14</w:t>
            </w:r>
          </w:p>
        </w:tc>
        <w:tc>
          <w:tcPr>
            <w:tcW w:w="340" w:type="dxa"/>
            <w:vAlign w:val="bottom"/>
            <w:tcBorders>
              <w:right w:val="single" w:sz="8" w:color="auto"/>
            </w:tcBorders>
          </w:tcPr>
          <w:p>
            <w:pPr>
              <w:spacing w:after="0"/>
              <w:rPr>
                <w:sz w:val="22"/>
                <w:szCs w:val="22"/>
                <w:color w:val="auto"/>
              </w:rPr>
            </w:pPr>
          </w:p>
        </w:tc>
        <w:tc>
          <w:tcPr>
            <w:tcW w:w="10460" w:type="dxa"/>
            <w:vAlign w:val="bottom"/>
            <w:gridSpan w:val="3"/>
          </w:tcPr>
          <w:p>
            <w:pPr>
              <w:ind w:left="40"/>
              <w:spacing w:after="0"/>
              <w:rPr>
                <w:sz w:val="20"/>
                <w:szCs w:val="20"/>
                <w:color w:val="auto"/>
              </w:rPr>
            </w:pPr>
            <w:r>
              <w:rPr>
                <w:rFonts w:ascii="Arial" w:cs="Arial" w:eastAsia="Arial" w:hAnsi="Arial"/>
                <w:sz w:val="18"/>
                <w:szCs w:val="18"/>
                <w:color w:val="auto"/>
              </w:rPr>
              <w:t>TYPE OF REPORTING PERSON (SEE INSTRUCTIONS): OO</w:t>
            </w:r>
          </w:p>
        </w:tc>
        <w:tc>
          <w:tcPr>
            <w:tcW w:w="0" w:type="dxa"/>
            <w:vAlign w:val="bottom"/>
          </w:tcPr>
          <w:p>
            <w:pPr>
              <w:spacing w:after="0"/>
              <w:rPr>
                <w:sz w:val="1"/>
                <w:szCs w:val="1"/>
                <w:color w:val="auto"/>
              </w:rPr>
            </w:pPr>
          </w:p>
        </w:tc>
      </w:tr>
      <w:tr>
        <w:trPr>
          <w:trHeight w:val="48"/>
        </w:trPr>
        <w:tc>
          <w:tcPr>
            <w:tcW w:w="62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3" w:name="page4"/>
    <w:bookmarkEnd w:id="3"/>
    <w:p>
      <w:pPr>
        <w:ind w:left="20"/>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Security and Issuer.</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title and class of equity securities to which this Schedule 13D relates is the common shares, par value $0.0001 per share (“Common Shares”), of CLPS Incorporation, a Cayman Islands corporation (the “Company”). The Company’s principal executive office is located at c/o 2nd Floor, Building 18, Shanghai Pudong Software Park, 498 Guoshoujing Road, Pudong, Shanghai 201203, People’s Republic of China.</w:t>
      </w:r>
    </w:p>
    <w:p>
      <w:pPr>
        <w:spacing w:after="0" w:line="162"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(a)-(c) This report is being filed by Qinrui Ltd. and Xiao Feng Yang (together, the “Reporting Persons”). Xiao Feng Yang is Chairman and President of the Company. His business address is c/o 2nd Floor, Building 18, Shanghai Pudong Software Park, 498 Guoshoujing Road, Pudong, Shanghai 201203, People’s Republic of China.</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Qinrui Ltd. is a holding company formed under the laws of the British Virgin Islands. The principal business of Qinrui Ltd. is managing Xiao Feng Yang’s personal assets and investments. Qinrui Ltd.’s mailing address is c/o Vistra Corporate Services Centre, Wickham’s Cay II, Road Town, Tortola, VG 1110, British Virgin Islands. Xiao Feng Yang is the sole owner of Qinrui Ltd.</w:t>
      </w:r>
    </w:p>
    <w:p>
      <w:pPr>
        <w:spacing w:after="0" w:line="18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(d)-(e) Neither Xiao Feng Yang nor Qinrui Ltd. has, during the last five years, (i) been convicted in a criminal proceeding (excluding traffic violations or similar misdemeanors) or (ii) been a party to a civil proceeding of a judicial or administrative body of competent jurisdiction and as a result of such proceeding was or is subject to a judgment, decree or final order enjoining future violations of, or prohibiting activities subject to, federal or state securities laws or finding any violation of such laws.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 Xiao Feng Yang is a citizen of the People’s Republic of China. Qinrui Ltd. is a British Virgin Islands corporation.</w:t>
      </w:r>
    </w:p>
    <w:p>
      <w:pPr>
        <w:spacing w:after="0" w:line="221"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Qinrui Ltd. is a company formed under the laws of the British Virgin Islands. Its principal business is managing Xiao Feng Yang’s personal assets and investments. Qinrui Ltd. is also one of the original shareholders in the Company. The Board of Directors of the Company approved the sale and issuance of 5,000,000 shares to Qinrui Ltd., among other investors, on December 7, 2017. Also included in the beneficial ownership calculation is the vested portion of the restricted stock granted by the Company to Xiao Feng Yang under the terms and provisions of the Company’s equity incentive plan and dated as of July 12, 2018. The total grant of 220,823 common shares vests in three equal installments, with the first installment vesting upon grant, and the second and third – on the first and second anniversary of the grant. For more detail see Item 5.</w:t>
      </w:r>
    </w:p>
    <w:p>
      <w:pPr>
        <w:spacing w:after="0" w:line="174"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Information set forth in Items 3 and 5 is incorporated herein by reference.</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Reporting Persons beneficially hold the common shares described herein for investment purposes as described in Item 3 above. Xiao Feng Yang may make additional purchases for investment purposes from time to time, through Qinrui Ltd. or directly. In addition, he is the Chairman and President of the Company and therefore will continue to participate in incentive programs available to persons. As the Company’s executive, Xiao Feng Yang has a continuing role in the governance of the Company, and in this role he may in the future make proposals or offer input on proposals with respect to the matters set forth in (a) through (j) of Item 4 of Schedule 13D. Except as set forth above, neither Xiao Feng Yang nor Qinrui Ltd. has any current plans or proposals with respect to any of the matters set forth in paragraphs (a) through (j) of Item 4 of Schedule 13D.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ind w:left="20"/>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 in Securities of the Issuer.</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(a)-(d) The calculations in this Item are based upon 13,813,821 common shares issued and outstanding as of January 14, 2019. The foregoing calculation is made pursuant to Rule l3d-3 promulgated under the Securities Act of 1933, as amended to date.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Amount of</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Shared Power to</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Sole Power to</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0"/>
              </w:rPr>
              <w:t>Shared Power to</w:t>
            </w: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Securities</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Percentage of</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Sole Power to Vote</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Vote or Direct the</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Dispose or to Direct</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8"/>
              </w:rPr>
              <w:t>Dispose or to Direct</w:t>
            </w:r>
          </w:p>
        </w:tc>
      </w:tr>
      <w:tr>
        <w:trPr>
          <w:trHeight w:val="241"/>
        </w:trPr>
        <w:tc>
          <w:tcPr>
            <w:tcW w:w="1740" w:type="dxa"/>
            <w:vAlign w:val="bottom"/>
            <w:gridSpan w:val="2"/>
          </w:tcPr>
          <w:p>
            <w:pPr>
              <w:ind w:left="140"/>
              <w:spacing w:after="0"/>
              <w:rPr>
                <w:sz w:val="20"/>
                <w:szCs w:val="20"/>
                <w:color w:val="auto"/>
              </w:rPr>
            </w:pPr>
            <w:r>
              <w:rPr>
                <w:rFonts w:ascii="Arial" w:cs="Arial" w:eastAsia="Arial" w:hAnsi="Arial"/>
                <w:sz w:val="18"/>
                <w:szCs w:val="18"/>
                <w:b w:val="1"/>
                <w:bCs w:val="1"/>
                <w:color w:val="auto"/>
              </w:rPr>
              <w:t>Reporting Person</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Beneficially Owned</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Class</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or Direct the Vote</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Vote</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the Disposition</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7"/>
              </w:rPr>
              <w:t>the Disposition</w:t>
            </w:r>
          </w:p>
        </w:tc>
      </w:tr>
      <w:tr>
        <w:trPr>
          <w:trHeight w:val="202"/>
        </w:trPr>
        <w:tc>
          <w:tcPr>
            <w:tcW w:w="16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Xiao Feng Yang</w:t>
            </w:r>
          </w:p>
        </w:tc>
        <w:tc>
          <w:tcPr>
            <w:tcW w:w="12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5,049,607 common</w:t>
            </w:r>
          </w:p>
        </w:tc>
        <w:tc>
          <w:tcPr>
            <w:tcW w:w="1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36.55%</w:t>
            </w: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5,049,607 common</w:t>
            </w: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5,049,607 common</w:t>
            </w: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w:t>
            </w:r>
          </w:p>
        </w:tc>
      </w:tr>
      <w:tr>
        <w:trPr>
          <w:trHeight w:val="230"/>
        </w:trPr>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shares*</w:t>
            </w: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1"/>
              </w:rPr>
              <w:t>shares</w:t>
            </w: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1"/>
              </w:rPr>
              <w:t>shares</w:t>
            </w:r>
          </w:p>
        </w:tc>
        <w:tc>
          <w:tcPr>
            <w:tcW w:w="1600" w:type="dxa"/>
            <w:vAlign w:val="bottom"/>
            <w:shd w:val="clear" w:color="auto" w:fill="CCEEFF"/>
          </w:tcPr>
          <w:p>
            <w:pPr>
              <w:spacing w:after="0"/>
              <w:rPr>
                <w:sz w:val="20"/>
                <w:szCs w:val="20"/>
                <w:color w:val="auto"/>
              </w:rPr>
            </w:pPr>
          </w:p>
        </w:tc>
      </w:tr>
      <w:tr>
        <w:trPr>
          <w:trHeight w:val="202"/>
        </w:trPr>
        <w:tc>
          <w:tcPr>
            <w:tcW w:w="1740" w:type="dxa"/>
            <w:vAlign w:val="bottom"/>
            <w:gridSpan w:val="2"/>
          </w:tcPr>
          <w:p>
            <w:pPr>
              <w:spacing w:after="0" w:line="201" w:lineRule="exact"/>
              <w:rPr>
                <w:sz w:val="20"/>
                <w:szCs w:val="20"/>
                <w:color w:val="auto"/>
              </w:rPr>
            </w:pPr>
            <w:r>
              <w:rPr>
                <w:rFonts w:ascii="Arial" w:cs="Arial" w:eastAsia="Arial" w:hAnsi="Arial"/>
                <w:sz w:val="18"/>
                <w:szCs w:val="18"/>
                <w:color w:val="auto"/>
              </w:rPr>
              <w:t>Qinrui Ltd.</w:t>
            </w:r>
          </w:p>
        </w:tc>
        <w:tc>
          <w:tcPr>
            <w:tcW w:w="172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0"/>
              </w:rPr>
              <w:t>4,976,000 common</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1"/>
              </w:rPr>
              <w:t>36.02%</w:t>
            </w:r>
          </w:p>
        </w:tc>
        <w:tc>
          <w:tcPr>
            <w:tcW w:w="100" w:type="dxa"/>
            <w:vAlign w:val="bottom"/>
          </w:tcPr>
          <w:p>
            <w:pPr>
              <w:spacing w:after="0"/>
              <w:rPr>
                <w:sz w:val="17"/>
                <w:szCs w:val="17"/>
                <w:color w:val="auto"/>
              </w:rPr>
            </w:pPr>
          </w:p>
        </w:tc>
        <w:tc>
          <w:tcPr>
            <w:tcW w:w="160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0"/>
              </w:rPr>
              <w:t>4,976,000 common</w:t>
            </w:r>
          </w:p>
        </w:tc>
        <w:tc>
          <w:tcPr>
            <w:tcW w:w="160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1600" w:type="dxa"/>
            <w:vAlign w:val="bottom"/>
          </w:tcPr>
          <w:p>
            <w:pPr>
              <w:jc w:val="center"/>
              <w:spacing w:after="0" w:line="201" w:lineRule="exact"/>
              <w:rPr>
                <w:sz w:val="20"/>
                <w:szCs w:val="20"/>
                <w:color w:val="auto"/>
              </w:rPr>
            </w:pPr>
            <w:r>
              <w:rPr>
                <w:rFonts w:ascii="Arial" w:cs="Arial" w:eastAsia="Arial" w:hAnsi="Arial"/>
                <w:sz w:val="18"/>
                <w:szCs w:val="18"/>
                <w:color w:val="auto"/>
                <w:w w:val="90"/>
              </w:rPr>
              <w:t>4,976,000 common</w:t>
            </w:r>
          </w:p>
        </w:tc>
      </w:tr>
      <w:tr>
        <w:trPr>
          <w:trHeight w:val="230"/>
        </w:trPr>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81"/>
              </w:rPr>
              <w:t>shares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81"/>
              </w:rPr>
              <w:t>shares</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1"/>
              </w:rPr>
              <w:t>shares</w:t>
            </w:r>
          </w:p>
        </w:tc>
      </w:tr>
    </w:tbl>
    <w:p>
      <w:pPr>
        <w:spacing w:after="0" w:line="229" w:lineRule="exact"/>
        <w:rPr>
          <w:sz w:val="20"/>
          <w:szCs w:val="20"/>
          <w:color w:val="auto"/>
        </w:rPr>
      </w:pPr>
    </w:p>
    <w:p>
      <w:pPr>
        <w:ind w:left="220" w:right="660" w:hanging="212"/>
        <w:spacing w:after="0" w:line="342" w:lineRule="auto"/>
        <w:tabs>
          <w:tab w:leader="none" w:pos="2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the vested portion of the restricted stock granted dated as of July 12, 2018. The total grant of 220,823 common shares vests in three equal installments, with the first installment vesting upon grant, and the second and third – on the first and second anniversary of the grant.</w:t>
      </w:r>
    </w:p>
    <w:p>
      <w:pPr>
        <w:spacing w:after="0" w:line="12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Because Xiao Feng Yang controls all of the voting and disposition interests of Qinrui Ltd. with respect to the securities, he may be deemed to have indirect beneficial ownership of the common shares directly beneficially owned by Qinrui Ltd. Neither Xiao Feng Yang nor Qinrui Ltd. has effected any transactions in the securities of the Company in the past sixty days. The Reporting Persons affirm that no other person has the right to receive or the power to direct the receipt of dividends from, or the proceeds from the sale of, the common shares beneficially owned by the Reporting Persons reported herein.</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 Not applicable.</w:t>
      </w:r>
    </w:p>
    <w:p>
      <w:pPr>
        <w:spacing w:after="0" w:line="221"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Contracts, Arrangements, Understandings or Relationships with Respect to Securities of the Issuer.</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Other than as described above, there are no contracts, arrangements, understandings or relationships (legal or otherwise) between the Reporting Persons and any other person with respect to any securities of the Company, including, but not limited to, the transfer or voting of any of the securities, finder’s fees, joint ventures, loan or option arrangements, puts or calls, guarantees of profits, division of profits or loss, or the giving or withholding of proxies or any pledge or contingency, the occurrence of which would give another person voting or investment power over the securities of the Company.</w:t>
      </w:r>
    </w:p>
    <w:p>
      <w:pPr>
        <w:spacing w:after="0" w:line="150"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25, 2019</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Xiao Feng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23495</wp:posOffset>
            </wp:positionV>
            <wp:extent cx="289877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Xiao Feng Yang</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Qinrui Ltd.</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Xiao Feng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23495</wp:posOffset>
            </wp:positionV>
            <wp:extent cx="289877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Xiao Feng Yang</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Sole Director</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Qinrui Ltd., a British Virgin Islands corporation and Xiao Feng Yang (the “Filing Persons”), hereby agree to file jointly a Schedule 13D and any amendments thereto relating to the aggregate ownership by each of the Filing Persons of any voting equity security of a class which is registered pursuant to Section 12 of the Securities Exchange act of 1934, as amended, as required by Rule 13d-1 and Rule 13d-2 promulgated under the Securities Exchange Act of 1934. Each of the Filing Persons agrees that the information set forth in such Schedule 13D and any amendments thereto with respect to such Filing Person will be true, complete and correct as of the date of such Schedule 13D or such amendment, to the best of such Filing Person’s knowledge and belief, after reasonable inquiry. Each of the Filing Persons makes no representation as to the accuracy or adequacy of the information set forth in the Schedule 13D or any amendments thereto shall become inaccurate in any material respect or if said person learns of information that would require an amendment to the Schedule 13D.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set their hands this 25th day of February, 2019.</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Xiao Feng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23495</wp:posOffset>
            </wp:positionV>
            <wp:extent cx="289877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Xiao Feng Yang</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Qinrui Ltd.</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Xiao Feng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23495</wp:posOffset>
            </wp:positionV>
            <wp:extent cx="289877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Xiao Feng Yang</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Sole Director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2"/>
    </w:lvl>
  </w:abstractNum>
  <w:abstractNum w:abstractNumId="2">
    <w:nsid w:val="79E2A9E3"/>
    <w:multiLevelType w:val="hybridMultilevel"/>
    <w:lvl w:ilvl="0">
      <w:lvlJc w:val="left"/>
      <w:lvlText w:val="3"/>
      <w:numFmt w:val="bullet"/>
      <w:start w:val="1"/>
    </w:lvl>
  </w:abstractNum>
  <w:abstractNum w:abstractNumId="3">
    <w:nsid w:val="7545E146"/>
    <w:multiLevelType w:val="hybridMultilevel"/>
    <w:lvl w:ilvl="0">
      <w:lvlJc w:val="left"/>
      <w:lvlText w:val="4"/>
      <w:numFmt w:val="bullet"/>
      <w:start w:val="1"/>
    </w:lvl>
  </w:abstractNum>
  <w:abstractNum w:abstractNumId="4">
    <w:nsid w:val="515F007C"/>
    <w:multiLevelType w:val="hybridMultilevel"/>
    <w:lvl w:ilvl="0">
      <w:lvlJc w:val="left"/>
      <w:lvlText w:val="5"/>
      <w:numFmt w:val="bullet"/>
      <w:start w:val="1"/>
    </w:lvl>
  </w:abstractNum>
  <w:abstractNum w:abstractNumId="5">
    <w:nsid w:val="5BD062C2"/>
    <w:multiLevelType w:val="hybridMultilevel"/>
    <w:lvl w:ilvl="0">
      <w:lvlJc w:val="left"/>
      <w:lvlText w:val="6"/>
      <w:numFmt w:val="bullet"/>
      <w:start w:val="1"/>
    </w:lvl>
  </w:abstractNum>
  <w:abstractNum w:abstractNumId="6">
    <w:nsid w:val="12200854"/>
    <w:multiLevelType w:val="hybridMultilevel"/>
    <w:lvl w:ilvl="0">
      <w:lvlJc w:val="left"/>
      <w:lvlText w:val="(%1)"/>
      <w:numFmt w:val="lowerLetter"/>
      <w:start w:val="2"/>
    </w:lvl>
  </w:abstractNum>
  <w:abstractNum w:abstractNumId="7">
    <w:nsid w:val="4DB127F8"/>
    <w:multiLevelType w:val="hybridMultilevel"/>
    <w:lvl w:ilvl="0">
      <w:lvlJc w:val="left"/>
      <w:lvlText w:val="3"/>
      <w:numFmt w:val="bullet"/>
      <w:start w:val="1"/>
    </w:lvl>
  </w:abstractNum>
  <w:abstractNum w:abstractNumId="8">
    <w:nsid w:val="216231B"/>
    <w:multiLevelType w:val="hybridMultilevel"/>
    <w:lvl w:ilvl="0">
      <w:lvlJc w:val="left"/>
      <w:lvlText w:val="4"/>
      <w:numFmt w:val="bullet"/>
      <w:start w:val="1"/>
    </w:lvl>
  </w:abstractNum>
  <w:abstractNum w:abstractNumId="9">
    <w:nsid w:val="1F16E9E8"/>
    <w:multiLevelType w:val="hybridMultilevel"/>
    <w:lvl w:ilvl="0">
      <w:lvlJc w:val="left"/>
      <w:lvlText w:val="5"/>
      <w:numFmt w:val="bullet"/>
      <w:start w:val="1"/>
    </w:lvl>
  </w:abstractNum>
  <w:abstractNum w:abstractNumId="10">
    <w:nsid w:val="1190CDE7"/>
    <w:multiLevelType w:val="hybridMultilevel"/>
    <w:lvl w:ilvl="0">
      <w:lvlJc w:val="left"/>
      <w:lvlText w:val="6"/>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2019-12-21T02:26:25Z</dcterms:created>
  <dcterms:modified xsi:type="dcterms:W3CDTF">2019-12-21T02:26:25Z</dcterms:modified>
</cp:coreProperties>
</file>