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People’s Republic of China</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May 22,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4400" w:type="dxa"/>
            <w:vAlign w:val="bottom"/>
          </w:tcPr>
          <w:p>
            <w:pPr>
              <w:ind w:left="200"/>
              <w:spacing w:after="0"/>
              <w:rPr>
                <w:sz w:val="20"/>
                <w:szCs w:val="20"/>
                <w:color w:val="auto"/>
              </w:rPr>
            </w:pPr>
            <w:r>
              <w:rPr>
                <w:rFonts w:ascii="Arial" w:cs="Arial" w:eastAsia="Arial" w:hAnsi="Arial"/>
                <w:sz w:val="18"/>
                <w:szCs w:val="18"/>
                <w:color w:val="auto"/>
              </w:rPr>
              <w:t>Katherine Wray, Attorney-Advisor</w:t>
            </w:r>
          </w:p>
        </w:tc>
      </w:tr>
      <w:tr>
        <w:trPr>
          <w:trHeight w:val="237"/>
        </w:trPr>
        <w:tc>
          <w:tcPr>
            <w:tcW w:w="68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Edwin S. Kim, Staff Attorney</w:t>
            </w:r>
          </w:p>
        </w:tc>
      </w:tr>
      <w:tr>
        <w:trPr>
          <w:trHeight w:val="418"/>
        </w:trPr>
        <w:tc>
          <w:tcPr>
            <w:tcW w:w="1100" w:type="dxa"/>
            <w:vAlign w:val="bottom"/>
            <w:gridSpan w:val="2"/>
          </w:tcPr>
          <w:p>
            <w:pPr>
              <w:ind w:left="660"/>
              <w:spacing w:after="0"/>
              <w:rPr>
                <w:sz w:val="20"/>
                <w:szCs w:val="20"/>
                <w:color w:val="auto"/>
              </w:rPr>
            </w:pPr>
            <w:r>
              <w:rPr>
                <w:rFonts w:ascii="Arial" w:cs="Arial" w:eastAsia="Arial" w:hAnsi="Arial"/>
                <w:sz w:val="18"/>
                <w:szCs w:val="18"/>
                <w:color w:val="auto"/>
              </w:rPr>
              <w:t>Re:</w:t>
            </w:r>
          </w:p>
        </w:tc>
        <w:tc>
          <w:tcPr>
            <w:tcW w:w="4400" w:type="dxa"/>
            <w:vAlign w:val="bottom"/>
          </w:tcPr>
          <w:p>
            <w:pPr>
              <w:ind w:left="200"/>
              <w:spacing w:after="0"/>
              <w:rPr>
                <w:sz w:val="20"/>
                <w:szCs w:val="20"/>
                <w:color w:val="auto"/>
              </w:rPr>
            </w:pPr>
            <w:r>
              <w:rPr>
                <w:rFonts w:ascii="Arial" w:cs="Arial" w:eastAsia="Arial" w:hAnsi="Arial"/>
                <w:sz w:val="18"/>
                <w:szCs w:val="18"/>
                <w:color w:val="auto"/>
              </w:rPr>
              <w:t>Request for Acceleration</w:t>
            </w: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w w:val="90"/>
              </w:rPr>
              <w:t>CLPS Incorporation - Registration Statement on Form F-1</w:t>
            </w: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SEC File No. 333-223956</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Rule 461 of the Securities Act of 1933, as amended (the “Securities Act”), CLPS Incorporation (the “Company”), respectfully requests that the effective date of its Registration Statement on Form F-1 (File No. 333-223956) (“Registration Statement”) be accelerated and that such Registration Statement become effective at 5:00P.M., Washington, D.C. time, on May 23, 2018, or as soon thereafter as practicable.</w:t>
      </w:r>
    </w:p>
    <w:p>
      <w:pPr>
        <w:spacing w:after="0" w:line="16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Raymond Ming Hui Lin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2019-12-08T18:22:39Z</dcterms:created>
  <dcterms:modified xsi:type="dcterms:W3CDTF">2019-12-08T18:22:39Z</dcterms:modified>
</cp:coreProperties>
</file>