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August 18, 2022</w:t>
      </w:r>
    </w:p>
    <w:p>
      <w:pPr>
        <w:spacing w:after="0" w:line="23"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CLPS Incorporation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Nussbaum,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Tahra Wright,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FF0000"/>
        </w:rPr>
        <w:t>SUBJECT TO COMPLETION, DATED</w:t>
        <w:tab/>
        <w:t>,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89420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US$80,000,000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August 17, 2022 the closing price of our shares on the NASDAQ Stock Market was US$1.76 per share. </w:t>
      </w:r>
      <w:r>
        <w:rPr>
          <w:rFonts w:ascii="Times New Roman" w:cs="Times New Roman" w:eastAsia="Times New Roman" w:hAnsi="Times New Roman"/>
          <w:sz w:val="18"/>
          <w:szCs w:val="18"/>
          <w:b w:val="1"/>
          <w:bCs w:val="1"/>
          <w:color w:val="auto"/>
        </w:rPr>
        <w:t>There is currently no established trading market through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US$24 million as of August 17, 2022. We have not sold any securities pursuant to General Instruction I.B.5 of Form F-3 during the prior 12 calendar month period that ends on and includes the date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August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5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072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307276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 SEC at 1-800-SEC-0330.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471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800" w:hanging="145"/>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years ended June 30, 2021;</w:t>
      </w:r>
    </w:p>
    <w:p>
      <w:pPr>
        <w:spacing w:after="0" w:line="225" w:lineRule="exact"/>
        <w:rPr>
          <w:rFonts w:ascii="Times New Roman" w:cs="Times New Roman" w:eastAsia="Times New Roman" w:hAnsi="Times New Roman"/>
          <w:sz w:val="18"/>
          <w:szCs w:val="18"/>
          <w:color w:val="auto"/>
        </w:rPr>
      </w:pPr>
    </w:p>
    <w:p>
      <w:pPr>
        <w:jc w:val="both"/>
        <w:ind w:firstLine="655"/>
        <w:spacing w:after="0" w:line="266" w:lineRule="auto"/>
        <w:tabs>
          <w:tab w:leader="none" w:pos="8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w:t>
      </w:r>
      <w:hyperlink r:id="rId22">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including any amendment or report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940" w:hanging="204"/>
        <w:spacing w:after="0"/>
        <w:tabs>
          <w:tab w:leader="none" w:pos="9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of Foreign Private Issuer on Form 6-K furnished to the SEC on </w:t>
      </w:r>
      <w:hyperlink r:id="rId24">
        <w:r>
          <w:rPr>
            <w:rFonts w:ascii="Times New Roman" w:cs="Times New Roman" w:eastAsia="Times New Roman" w:hAnsi="Times New Roman"/>
            <w:sz w:val="18"/>
            <w:szCs w:val="18"/>
            <w:u w:val="single" w:color="auto"/>
            <w:color w:val="0000EE"/>
          </w:rPr>
          <w:t>December 15, 2021</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April 7</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May 23, 2022</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w:t>
      </w:r>
    </w:p>
    <w:p>
      <w:pPr>
        <w:spacing w:after="0" w:line="207"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1102, 11th Floor, Millennium City III, 370 Kwun Tong Road, Kwun Tong, Kowloon, Hong Kong SAR.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219075</wp:posOffset>
            </wp:positionH>
            <wp:positionV relativeFrom="page">
              <wp:posOffset>588010</wp:posOffset>
            </wp:positionV>
            <wp:extent cx="7118985" cy="471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18985" cy="4718685"/>
                    </a:xfrm>
                    <a:prstGeom prst="rect">
                      <a:avLst/>
                    </a:prstGeom>
                    <a:noFill/>
                  </pic:spPr>
                </pic:pic>
              </a:graphicData>
            </a:graphic>
          </wp:anchor>
        </w:drawing>
        <w:t>SUMMARY</w:t>
      </w:r>
    </w:p>
    <w:p>
      <w:pPr>
        <w:spacing w:after="0" w:line="22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w:t>
      </w:r>
    </w:p>
    <w:p>
      <w:pPr>
        <w:spacing w:after="0" w:line="180"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information technology in the banking, wealth management, e-commerce, and automotive industries, among others, through the utilization of innovative technology to achieve our client’s goals. We maintain 19 delivery and/or R&amp;D centers, of which 11 are located in Mainland China (Shanghai, Beijing, Dalian, Tianjin, Baoding, Xi’an, Chengdu, Guangzhou, Shenzhen, Hangzhou, and Hainan) and eight are located globally (Hong Kong SAR, the United States,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(851)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5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2021,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Holding Foreign Companies Accountable Act could result in delisting of our common stock from Nasdaq Capital Market and lack of a readily available market for our common stock.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2021 fiscal year audit and currently our public auditor is a Listed Auditor. Our Auditor is located in China.</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intends to engage an auditor who is audited and investigated completely by the PCAOB in prior to fiscal year 2023, the Company has not engaged such an auditor as of the date of Form F-3.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Efforts to increase U.S. Regulatory access to information about companies in China or Hong Kong SAR in order to enhance transparency for investors in U.S. corporations traded on U.S. stock markets but with substantial operations in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Form F-3 of when and if the Proposed Law will become law and applicable to public companies like our company.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we face risks associated with regulatory approvals on offshore offerings, anti-monopoly regulatory actions, and oversight on cybersecurity and data privacy,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go through cybersecurity review by the Cyberspace Administration of China, or the CAC, and (iii) have not been asked to obtain such permissions by any PRC authority.</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F-3,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F-3, the Draft Confidentiality and Archives Management Provisions were released for public comments only and the final version and effective date of such regulations are subject to change with substantial uncertainty.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 China are subject to restrictions on paying dividends and making other payments to our holding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CLPS Incorporation is our holding company incorporated in the Cayman Islands. As a result of the holding company structure, it currently relies on dividend payments from our subsidiaries in China. However, PRC regulations currently permit payment of dividends only out of accumulated profits, as determined in accordance with PRC accounting standards and regulations. Our subsidiaries in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China.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China are unable to pay dividends or make other payments to us, we may be unable to pay dividends on our shares.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through Our Organization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For the years ended June 30, 2019, 2020 and 2021, CLPS Incorporation provided no loans to its PRC subsidiaries. For the years ended June 30, 2019, 2020 and 2021, the PRC subsidiaries of CLPS Incorporation provided no loans to CLPS Incorporation. CLPS Incorporation has not declared or paid any cash dividends to pay any cash dividends on its ordinary shares. For the years ended June 30, 2019, 2020 and 2021, cash and cash equivalents of PRC companies were RMB12.99 million (US$1.89 million), 77.91 million (US$11.03 million), 62.66 million (US$9.71 million).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August 12, 2022, the buying rate announced by the Federal Reserve Statistical Release was RMB 6.7425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Spot Exchange Rate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6.9618</w:t>
            </w: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7.1786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6.5250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6.9043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7.1681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6.3726</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6.6080</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6.4310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6.3590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6.6243</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6.6715</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6.6990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6.6079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6.7880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6.6981</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6.6534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6.7530</w:t>
            </w: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6.7433</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6.7352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6.6945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6.7655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1st Quarter ended September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Quarter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3rd Quarter ended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Quarter ended June 30,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20" w:type="dxa"/>
            <w:vAlign w:val="bottom"/>
          </w:tcPr>
          <w:p>
            <w:pPr>
              <w:spacing w:after="0"/>
              <w:rPr>
                <w:sz w:val="21"/>
                <w:szCs w:val="21"/>
                <w:color w:val="auto"/>
              </w:rPr>
            </w:pPr>
          </w:p>
        </w:tc>
      </w:tr>
      <w:tr>
        <w:trPr>
          <w:trHeight w:val="234"/>
        </w:trPr>
        <w:tc>
          <w:tcPr>
            <w:tcW w:w="11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3"/>
              </w:rPr>
              <w:t>10.84</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20"/>
                <w:szCs w:val="20"/>
                <w:color w:val="auto"/>
              </w:rPr>
            </w:pPr>
          </w:p>
        </w:tc>
      </w:tr>
      <w:tr>
        <w:trPr>
          <w:trHeight w:val="434"/>
        </w:trPr>
        <w:tc>
          <w:tcPr>
            <w:tcW w:w="24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20" w:type="dxa"/>
            <w:vAlign w:val="bottom"/>
          </w:tcPr>
          <w:p>
            <w:pPr>
              <w:spacing w:after="0"/>
              <w:rPr>
                <w:sz w:val="20"/>
                <w:szCs w:val="20"/>
                <w:color w:val="auto"/>
              </w:rPr>
            </w:pPr>
          </w:p>
        </w:tc>
      </w:tr>
      <w:tr>
        <w:trPr>
          <w:trHeight w:val="198"/>
        </w:trPr>
        <w:tc>
          <w:tcPr>
            <w:tcW w:w="1120" w:type="dxa"/>
            <w:vAlign w:val="bottom"/>
            <w:tcBorders>
              <w:top w:val="single" w:sz="8" w:color="auto"/>
            </w:tcBorders>
          </w:tcPr>
          <w:p>
            <w:pPr>
              <w:ind w:left="820"/>
              <w:spacing w:after="0" w:line="198" w:lineRule="exact"/>
              <w:rPr>
                <w:sz w:val="20"/>
                <w:szCs w:val="20"/>
                <w:color w:val="auto"/>
              </w:rPr>
            </w:pPr>
            <w:r>
              <w:rPr>
                <w:rFonts w:ascii="Times New Roman" w:cs="Times New Roman" w:eastAsia="Times New Roman" w:hAnsi="Times New Roman"/>
                <w:sz w:val="18"/>
                <w:szCs w:val="18"/>
                <w:color w:val="auto"/>
                <w:w w:val="88"/>
              </w:rPr>
              <w:t>4.26</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7"/>
                <w:szCs w:val="17"/>
                <w:color w:val="auto"/>
              </w:rPr>
            </w:pPr>
          </w:p>
        </w:tc>
      </w:tr>
      <w:tr>
        <w:trPr>
          <w:trHeight w:val="216"/>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consists of 100,000,000 common shares with a par value of US$0.0001 per share. As of August 17, 2022, there were 22,446,822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 representing the common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our board of directors may declare and pay dividends if justified by our financial position and permitted by law.</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 one vote. Voting at any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 transfer all or any of his or her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Act and our memorandum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 articles of association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 See “Where You Can Find Additional Information.”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common shares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provides for the merger or consolidation of two or more companies into a single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the liquidation preference per share and the offering price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shares will accumulate;</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will be convertible into common shares, including the conversion price (or manner of calculation) and conversion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upon the liquidation, dissolution or winding up of our affairs;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shares will be set forth in the applicable prospectus supplement.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tax consequences of owning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960" w:hanging="30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62"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162" w:lineRule="exact"/>
        <w:rPr>
          <w:sz w:val="20"/>
          <w:szCs w:val="20"/>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162" w:lineRule="exact"/>
        <w:rPr>
          <w:sz w:val="20"/>
          <w:szCs w:val="20"/>
          <w:color w:val="auto"/>
        </w:rPr>
      </w:pPr>
    </w:p>
    <w:p>
      <w:pPr>
        <w:ind w:left="960" w:hanging="30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225" w:lineRule="exact"/>
        <w:rPr>
          <w:sz w:val="20"/>
          <w:szCs w:val="20"/>
          <w:color w:val="auto"/>
        </w:rPr>
      </w:pPr>
    </w:p>
    <w:p>
      <w:pPr>
        <w:jc w:val="both"/>
        <w:ind w:firstLine="656"/>
        <w:spacing w:after="0" w:line="261" w:lineRule="auto"/>
        <w:tabs>
          <w:tab w:leader="none" w:pos="9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0"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62"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(Form 20-F) for the year ended June 30, 2021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Opinion of Loeb &amp; Loeb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Young Hua Ming LLP</w:t>
            </w:r>
          </w:p>
        </w:tc>
        <w:tc>
          <w:tcPr>
            <w:tcW w:w="722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Consent of Ogier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Loeb &amp; Loeb LLP (included in Exhibit 5.2)</w:t>
            </w:r>
          </w:p>
        </w:tc>
        <w:tc>
          <w:tcPr>
            <w:tcW w:w="612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(included on the signature pages to this registration statement)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bl>
    <w:p>
      <w:pPr>
        <w:ind w:left="1140" w:hanging="113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207" w:lineRule="exact"/>
        <w:rPr>
          <w:sz w:val="20"/>
          <w:szCs w:val="20"/>
          <w:color w:val="auto"/>
        </w:rPr>
      </w:pPr>
    </w:p>
    <w:p>
      <w:pPr>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on Form 6-K under the Exchange Act and incorporated herein by reference.</w:t>
      </w: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be filed as a 305B2 filing in connection with an offering of debt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(a)(1)(i), (a)(1)(ii) and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6" w:gutter="0" w:footer="0" w:header="0"/>
        </w:sectPr>
      </w:pPr>
    </w:p>
    <w:bookmarkStart w:id="38" w:name="page39"/>
    <w:bookmarkEnd w:id="38"/>
    <w:p>
      <w:pPr>
        <w:jc w:val="both"/>
        <w:ind w:firstLine="656"/>
        <w:spacing w:after="0" w:line="266"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1"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firstLine="656"/>
        <w:spacing w:after="0" w:line="258" w:lineRule="auto"/>
        <w:tabs>
          <w:tab w:leader="none" w:pos="9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61" w:lineRule="auto"/>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August 18,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Raymond Ming Hui Lin as his or her true and lawful attorneys-in-fact and agents with full powers of substitution and resubstitution, for him or her and in his or her name, place and stead, in any and all capacities, to sign any or all amendments to this registration statement, including post-effective amendments,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 This Power of Attorney may be executed in multiple counterparts, each of which shall be deemed an original, but which taken together shall constitute one instrument. Pursuant to the requirements of the Securities Act of 1933, this registration statement has been signed by the following persons in the capacities indicated on August 18, 2022.</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Feng Yang</w:t>
            </w:r>
          </w:p>
        </w:tc>
        <w:tc>
          <w:tcPr>
            <w:tcW w:w="24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President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c>
          <w:tcPr>
            <w:tcW w:w="24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240" w:type="dxa"/>
            <w:vAlign w:val="bottom"/>
          </w:tcPr>
          <w:p>
            <w:pPr>
              <w:spacing w:after="0"/>
              <w:rPr>
                <w:sz w:val="20"/>
                <w:szCs w:val="20"/>
                <w:color w:val="auto"/>
              </w:rPr>
            </w:pP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Rui Yang</w:t>
            </w:r>
          </w:p>
        </w:tc>
        <w:tc>
          <w:tcPr>
            <w:tcW w:w="240" w:type="dxa"/>
            <w:vAlign w:val="bottom"/>
          </w:tcPr>
          <w:p>
            <w:pPr>
              <w:spacing w:after="0"/>
              <w:rPr>
                <w:sz w:val="24"/>
                <w:szCs w:val="24"/>
                <w:color w:val="auto"/>
              </w:rPr>
            </w:pP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Rui Yang</w:t>
            </w:r>
          </w:p>
        </w:tc>
        <w:tc>
          <w:tcPr>
            <w:tcW w:w="240" w:type="dxa"/>
            <w:vAlign w:val="bottom"/>
          </w:tcPr>
          <w:p>
            <w:pPr>
              <w:spacing w:after="0"/>
              <w:rPr>
                <w:sz w:val="20"/>
                <w:szCs w:val="20"/>
                <w:color w:val="auto"/>
              </w:rPr>
            </w:pP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48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Zhaohui Feng</w:t>
            </w:r>
          </w:p>
        </w:tc>
        <w:tc>
          <w:tcPr>
            <w:tcW w:w="24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Zhaohui Feng</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Chong Seng Kee</w:t>
            </w:r>
          </w:p>
        </w:tc>
        <w:tc>
          <w:tcPr>
            <w:tcW w:w="24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Chong Seng Kee</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 He Shao</w:t>
            </w:r>
          </w:p>
        </w:tc>
        <w:tc>
          <w:tcPr>
            <w:tcW w:w="240" w:type="dxa"/>
            <w:vAlign w:val="bottom"/>
          </w:tcPr>
          <w:p>
            <w:pPr>
              <w:spacing w:after="0"/>
              <w:rPr>
                <w:sz w:val="24"/>
                <w:szCs w:val="24"/>
                <w:color w:val="auto"/>
              </w:rPr>
            </w:pP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2022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Jin He Shao</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37"/>
        </w:trPr>
        <w:tc>
          <w:tcPr>
            <w:tcW w:w="4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II-3</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175895</wp:posOffset>
            </wp:positionV>
            <wp:extent cx="1019810"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019810" cy="42037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 Ogier Global (Cayman)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6061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florence.chan@ogier.com</w:t>
      </w:r>
    </w:p>
    <w:p>
      <w:pPr>
        <w:spacing w:after="0" w:line="9" w:lineRule="exact"/>
        <w:rPr>
          <w:sz w:val="20"/>
          <w:szCs w:val="20"/>
          <w:color w:val="auto"/>
        </w:rPr>
      </w:pPr>
    </w:p>
    <w:p>
      <w:pPr>
        <w:sectPr>
          <w:pgSz w:w="11900" w:h="16838" w:orient="portrait"/>
          <w:cols w:equalWidth="0" w:num="2">
            <w:col w:w="6040" w:space="720"/>
            <w:col w:w="44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89 Nexus Way, Camana Bay</w:t>
      </w:r>
    </w:p>
    <w:p>
      <w:pPr>
        <w:sectPr>
          <w:pgSz w:w="11900" w:h="16838" w:orient="portrait"/>
          <w:cols w:equalWidth="0" w:num="1">
            <w:col w:w="11240"/>
          </w:cols>
          <w:pgMar w:left="320" w:top="10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FYC/JNG/173339.00006</w:t>
      </w:r>
    </w:p>
    <w:p>
      <w:pPr>
        <w:spacing w:after="0" w:line="20" w:lineRule="exact"/>
        <w:rPr>
          <w:sz w:val="20"/>
          <w:szCs w:val="20"/>
          <w:color w:val="auto"/>
        </w:rPr>
      </w:pPr>
    </w:p>
    <w:p>
      <w:pPr>
        <w:sectPr>
          <w:pgSz w:w="11900" w:h="16838" w:orient="portrait"/>
          <w:cols w:equalWidth="0" w:num="2">
            <w:col w:w="6040" w:space="720"/>
            <w:col w:w="44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August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 (the Company)</w:t>
      </w:r>
    </w:p>
    <w:p>
      <w:pPr>
        <w:sectPr>
          <w:pgSz w:w="11900" w:h="16838" w:orient="portrait"/>
          <w:cols w:equalWidth="0" w:num="1">
            <w:col w:w="11240"/>
          </w:cols>
          <w:pgMar w:left="320" w:top="108" w:right="339" w:bottom="1440" w:gutter="0" w:footer="0" w:header="0"/>
          <w:type w:val="continuous"/>
        </w:sect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Company's preparation of the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on or about the date hereof. The Registration Statement relates to the offering and sale from time to time, as set forth in the Registration Statement, the form of prospectus contained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the following securities (the</w:t>
      </w:r>
      <w:r>
        <w:rPr>
          <w:rFonts w:ascii="Times New Roman" w:cs="Times New Roman" w:eastAsia="Times New Roman" w:hAnsi="Times New Roman"/>
          <w:sz w:val="18"/>
          <w:szCs w:val="18"/>
          <w:b w:val="1"/>
          <w:bCs w:val="1"/>
          <w:color w:val="auto"/>
        </w:rPr>
        <w:t xml:space="preserve"> Securities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US$0.0001 par value each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classes of the Company's preferred shares to be created by the Company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together with the Common Shares,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warrants to be issued to purchase the Common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securities to be issued pursuant to the applicable indenture to be entered into by the Company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to purchase common stock, preferred stock, debt securities, other securities or any combination of those securities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depositary shares representing a fraction of a Common Share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and/or</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comprising any combination of Common Shares, Preferred Shares, Warrants, Debt Securities, Rights, Depositary Shares or any combination of the foregoing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advised that the Securities may be issued and sold or delivered from time to time as set forth in the Registration Statement, any amendment thereto and the Prospectus contained therein pursuant to Rule 462(b) under the Act and that this opinion is required to be furnished in accordance with the requirements of Item 601(b)(5) of Regulation S-K under the Act. No opinion is expressed herein as to any matter pertaining to the contents of the Registration Statement or related applicable Prospectus other than as expressly stated herein with respect to the issue of the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w:t>
            </w:r>
          </w:p>
        </w:tc>
        <w:tc>
          <w:tcPr>
            <w:tcW w:w="2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 Cayman Islands, Guernsey, Jersey and Luxembourg</w:t>
            </w:r>
          </w:p>
        </w:tc>
        <w:tc>
          <w:tcPr>
            <w:tcW w:w="2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practitioners</w:t>
            </w:r>
          </w:p>
        </w:tc>
        <w:tc>
          <w:tcPr>
            <w:tcW w:w="2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Floor 11 Central Tower</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28 Queen’s Road Central</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Nicholas Plowman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Justin Davis</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Central</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Nathan Powell</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Florence Chan</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Anthony Oakes</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Lin Han</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Oliver Payne</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Cecilia Li</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 +852 3656 6000</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Kate Hodson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James Bergstrom</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 +852 3656 6001</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David Nelson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Marcus Leese</w:t>
            </w:r>
          </w:p>
        </w:tc>
        <w:tc>
          <w:tcPr>
            <w:tcW w:w="0" w:type="dxa"/>
            <w:vAlign w:val="bottom"/>
          </w:tcPr>
          <w:p>
            <w:pPr>
              <w:spacing w:after="0"/>
              <w:rPr>
                <w:sz w:val="1"/>
                <w:szCs w:val="1"/>
                <w:color w:val="auto"/>
              </w:rPr>
            </w:pPr>
          </w:p>
        </w:tc>
      </w:tr>
      <w:tr>
        <w:trPr>
          <w:trHeight w:val="234"/>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Michael Snape</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5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21"/>
          <w:szCs w:val="21"/>
          <w:b w:val="1"/>
          <w:bCs w:val="1"/>
          <w:color w:val="auto"/>
        </w:rPr>
        <w:t>7</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280" w:hanging="638"/>
        <w:spacing w:after="0" w:line="282" w:lineRule="auto"/>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11 May 2017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memorandum and articles of association of the Company adopted by special resolutions of the Company dated 7 December 2017 (respectively,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8 August 2022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register of directors of the Company as at 17 December 2020 (the </w:t>
      </w:r>
      <w:r>
        <w:rPr>
          <w:rFonts w:ascii="Times New Roman" w:cs="Times New Roman" w:eastAsia="Times New Roman" w:hAnsi="Times New Roman"/>
          <w:sz w:val="18"/>
          <w:szCs w:val="18"/>
          <w:b w:val="1"/>
          <w:bCs w:val="1"/>
          <w:color w:val="auto"/>
        </w:rPr>
        <w:t>ROD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extract copy of the listed register of members of the Company as at 8 August 2022 and provided to us by the Company on 8 August 2022 (the </w:t>
      </w:r>
      <w:r>
        <w:rPr>
          <w:rFonts w:ascii="Times New Roman" w:cs="Times New Roman" w:eastAsia="Times New Roman" w:hAnsi="Times New Roman"/>
          <w:sz w:val="18"/>
          <w:szCs w:val="18"/>
          <w:b w:val="1"/>
          <w:bCs w:val="1"/>
          <w:color w:val="auto"/>
        </w:rPr>
        <w:t>ROM</w:t>
      </w:r>
      <w:r>
        <w:rPr>
          <w:rFonts w:ascii="Times New Roman" w:cs="Times New Roman" w:eastAsia="Times New Roman" w:hAnsi="Times New Roman"/>
          <w:sz w:val="18"/>
          <w:szCs w:val="18"/>
          <w:color w:val="auto"/>
        </w:rPr>
        <w:t xml:space="preserve">, and together with the ROD,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18 August 2022 as to certain matters of fact signed by a director of the Company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board of directors dated 18 August 2022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21"/>
          <w:szCs w:val="21"/>
          <w:b w:val="1"/>
          <w:bCs w:val="1"/>
          <w:color w:val="auto"/>
        </w:rPr>
        <w:t>7</w:t>
      </w:r>
    </w:p>
    <w:p>
      <w:pPr>
        <w:spacing w:after="0" w:line="231" w:lineRule="exact"/>
        <w:rPr>
          <w:sz w:val="20"/>
          <w:szCs w:val="20"/>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Director's Certificate and the Registers is accurate and complete as at the date of this opinion;</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provided to you are in full force and effect and have not been amended, varied, supplemented or revoked in any respect;</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58"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Board Resolutions and no director has a financial interest in or other relationship to a party of the transactions contemplated therein which has not been properly disclosed in the Board Resolutions;</w:t>
      </w:r>
    </w:p>
    <w:p>
      <w:pPr>
        <w:spacing w:after="0" w:line="183"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the Securities in furtherance of its objects as set out in its Memorandum;</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sufficient authorised share capital to effect the issue of any of the Common Shares and/or the Preferred Shares at the time of issuance, whether as a principal issue or on the conversion, exchange or exercise of any Securities;</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58"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terms of any and all Securities (including, without limitation, the designation, powers, preferences, rights, qualifications, limitations and restrictions of Preferred Shares),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nor any applicable law, regulation, order or decree in the Cayman Islands;</w:t>
      </w:r>
    </w:p>
    <w:p>
      <w:pPr>
        <w:spacing w:after="0" w:line="179" w:lineRule="exact"/>
        <w:rPr>
          <w:rFonts w:ascii="Times New Roman" w:cs="Times New Roman" w:eastAsia="Times New Roman" w:hAnsi="Times New Roman"/>
          <w:sz w:val="18"/>
          <w:szCs w:val="18"/>
          <w:color w:val="auto"/>
        </w:rPr>
      </w:pPr>
    </w:p>
    <w:p>
      <w:pPr>
        <w:jc w:val="both"/>
        <w:ind w:left="1280" w:hanging="638"/>
        <w:spacing w:after="0" w:line="257"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Common Shares to be issued underlying the Depositary Shares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xml:space="preserve">), we have further assumed that (i) the Underlying Shares will be issued pursuant to a deposit agreement relating to the Depositary Shares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xml:space="preserve">) to be entered into between the Company and an entity selected by the Company to act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(ii) the Deposit Agreement will be governed by and construed in accordance with the laws of New York and will constitute a valid and binding obligation of each party thereto; and (iii) the execution and delivery of the Deposit Agreement has been duly authorised by the Company and does not contravene the memorandum and articles of association then in effect or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21"/>
          <w:szCs w:val="21"/>
          <w:b w:val="1"/>
          <w:bCs w:val="1"/>
          <w:color w:val="auto"/>
        </w:rPr>
        <w:t>7</w:t>
      </w:r>
    </w:p>
    <w:p>
      <w:pPr>
        <w:spacing w:after="0" w:line="231" w:lineRule="exact"/>
        <w:rPr>
          <w:sz w:val="20"/>
          <w:szCs w:val="20"/>
          <w:color w:val="auto"/>
        </w:rPr>
      </w:pPr>
    </w:p>
    <w:p>
      <w:pPr>
        <w:ind w:left="1280" w:right="20" w:hanging="638"/>
        <w:spacing w:after="0" w:line="28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Security and none of the Securities have been offered or issued to residents of the Cayman Islands;</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58"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will be taken to authorise and approve any issuance of Securities (including, if Preferred Shares are to be issued, all necessary corporate action to establish one or more series of Preferred Shares and fix the designation, powers, preferences, rights, qualifications, limitations and restrictions thereof) and the terms of the offering of such Securities thereof and ant other related matters and that the applicable definitive purchase, underwriting or similar agreement will be duly approved, executed and delivered by or on behalf of the Company and all other parties thereto;</w:t>
      </w:r>
    </w:p>
    <w:p>
      <w:pPr>
        <w:spacing w:after="0" w:line="183"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issue of any Common Shares and/or Preferred Shares, the Company will receive consideration for the full issue price thereof which shall be equal to at least the par value thereof;</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capacity, power and authority of all parties other than the Company to enter into and perform their obligations under any and all documents entered into by such parties in connection with the issuance of the Securities, and the due execution and delivery thereof by each party thereto;</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after the allotment (where applicable) and issuance of any Security will be, able to pay its liabilities as they fall due; and</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0"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Opinions</w:t>
      </w:r>
    </w:p>
    <w:p>
      <w:pPr>
        <w:spacing w:after="0" w:line="225" w:lineRule="exact"/>
        <w:rPr>
          <w:rFonts w:ascii="Times New Roman" w:cs="Times New Roman" w:eastAsia="Times New Roman" w:hAnsi="Times New Roman"/>
          <w:sz w:val="19"/>
          <w:szCs w:val="19"/>
          <w:b w:val="1"/>
          <w:bCs w:val="1"/>
          <w:color w:val="auto"/>
        </w:rPr>
      </w:pPr>
    </w:p>
    <w:p>
      <w:pPr>
        <w:ind w:left="640"/>
        <w:spacing w:after="0" w:line="28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limitations and qualifications set forth in paragraph 4 below, we are of the opinion that:</w:t>
      </w:r>
    </w:p>
    <w:p>
      <w:pPr>
        <w:spacing w:after="0" w:line="157" w:lineRule="exact"/>
        <w:rPr>
          <w:rFonts w:ascii="Times New Roman" w:cs="Times New Roman" w:eastAsia="Times New Roman" w:hAnsi="Times New Roman"/>
          <w:sz w:val="19"/>
          <w:szCs w:val="19"/>
          <w:b w:val="1"/>
          <w:bCs w:val="1"/>
          <w:color w:val="auto"/>
        </w:rPr>
      </w:pPr>
    </w:p>
    <w:p>
      <w:pPr>
        <w:ind w:left="6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sz w:val="20"/>
          <w:szCs w:val="20"/>
          <w:color w:val="auto"/>
        </w:rPr>
      </w:pPr>
    </w:p>
    <w:p>
      <w:pPr>
        <w:ind w:left="1280" w:hanging="638"/>
        <w:spacing w:after="0" w:line="282"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Valid Issuance of Common Shares and Preferred Shares</w:t>
      </w:r>
    </w:p>
    <w:p>
      <w:pPr>
        <w:spacing w:after="0" w:line="226" w:lineRule="exact"/>
        <w:rPr>
          <w:sz w:val="20"/>
          <w:szCs w:val="20"/>
          <w:color w:val="auto"/>
        </w:rPr>
      </w:pPr>
    </w:p>
    <w:p>
      <w:pPr>
        <w:ind w:left="1280" w:hanging="638"/>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Shares, when</w:t>
      </w:r>
    </w:p>
    <w:p>
      <w:pPr>
        <w:spacing w:after="0" w:line="221" w:lineRule="exact"/>
        <w:rPr>
          <w:rFonts w:ascii="Times New Roman" w:cs="Times New Roman" w:eastAsia="Times New Roman" w:hAnsi="Times New Roman"/>
          <w:sz w:val="18"/>
          <w:szCs w:val="18"/>
          <w:color w:val="auto"/>
        </w:rPr>
      </w:pPr>
    </w:p>
    <w:p>
      <w:pPr>
        <w:ind w:left="1920" w:hanging="643"/>
        <w:spacing w:after="0" w:line="286" w:lineRule="auto"/>
        <w:tabs>
          <w:tab w:leader="none" w:pos="1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necessary corporate action to approve the issuance and allotment of the Common Shares, the terms of the offering of the Common Shares and any other related matters;</w:t>
      </w:r>
    </w:p>
    <w:p>
      <w:pPr>
        <w:spacing w:after="0" w:line="158" w:lineRule="exact"/>
        <w:rPr>
          <w:rFonts w:ascii="Times New Roman" w:cs="Times New Roman" w:eastAsia="Times New Roman" w:hAnsi="Times New Roman"/>
          <w:sz w:val="18"/>
          <w:szCs w:val="18"/>
          <w:color w:val="auto"/>
        </w:rPr>
      </w:pPr>
    </w:p>
    <w:p>
      <w:pPr>
        <w:jc w:val="both"/>
        <w:ind w:left="1920" w:hanging="643"/>
        <w:spacing w:after="0" w:line="256" w:lineRule="auto"/>
        <w:tabs>
          <w:tab w:leader="none" w:pos="1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provisions of the applicable definitive purchase, underwriting or similar agreement approved by the Board have been satisfied and payment of the consideration specified therein (being not less than the par value of the Common Shares) has been made, or (B) if such Common Shares are issuable upon conversion, exchange, redemption, repurchase or exercise of any other security, the terms of such security, the Memorandum and Articles or the instrument governing such security providing for such conversion, exchange, redemption, repurchase or exercise for Common Shares, as approved by the Board, have been satisfied and the consideration approved by the Board (being not less than the par value of the Common Shares) received;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21"/>
          <w:szCs w:val="21"/>
          <w:b w:val="1"/>
          <w:bCs w:val="1"/>
          <w:color w:val="auto"/>
        </w:rPr>
        <w:t>7</w:t>
      </w:r>
    </w:p>
    <w:p>
      <w:pPr>
        <w:spacing w:after="0" w:line="231" w:lineRule="exact"/>
        <w:rPr>
          <w:sz w:val="20"/>
          <w:szCs w:val="20"/>
          <w:color w:val="auto"/>
        </w:rPr>
      </w:pPr>
    </w:p>
    <w:p>
      <w:pPr>
        <w:ind w:left="1920" w:hanging="643"/>
        <w:spacing w:after="0" w:line="282" w:lineRule="auto"/>
        <w:tabs>
          <w:tab w:leader="none" w:pos="1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have been made in the register of members of the Company reflecting such issuance of Common Shares, in each case in accordance with the Memorandum and Articles,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the Common Shares will be recognised as having been duly authorised and validly issued, fully paid and non-assessable.</w:t>
      </w:r>
    </w:p>
    <w:p>
      <w:pPr>
        <w:spacing w:after="0" w:line="214" w:lineRule="exact"/>
        <w:rPr>
          <w:sz w:val="20"/>
          <w:szCs w:val="20"/>
          <w:color w:val="auto"/>
        </w:rPr>
      </w:pPr>
    </w:p>
    <w:p>
      <w:pPr>
        <w:ind w:left="1280" w:hanging="638"/>
        <w:spacing w:after="0"/>
        <w:tabs>
          <w:tab w:leader="none" w:pos="128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Preferred Shares, when:</w:t>
      </w:r>
    </w:p>
    <w:p>
      <w:pPr>
        <w:spacing w:after="0" w:line="217" w:lineRule="exact"/>
        <w:rPr>
          <w:rFonts w:ascii="Times New Roman" w:cs="Times New Roman" w:eastAsia="Times New Roman" w:hAnsi="Times New Roman"/>
          <w:sz w:val="19"/>
          <w:szCs w:val="19"/>
          <w:color w:val="auto"/>
        </w:rPr>
      </w:pPr>
    </w:p>
    <w:p>
      <w:pPr>
        <w:jc w:val="both"/>
        <w:ind w:left="1920" w:hanging="643"/>
        <w:spacing w:after="0" w:line="259" w:lineRule="auto"/>
        <w:tabs>
          <w:tab w:leader="none" w:pos="19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and the Company has taken all necessary corporate action to approve the creation, issuance and the terms of the Preferred Shares, the terms of the offering of the Preferred Shares and other any related matters, including, without limitation, the amendment to the authorised share capital of the Company by the creation of the Preferred Shares and the amendment to the Memorandum and Articles reflecting the creation of such Preferred Shares and setting out the terms, rights and obligations of such Preferred Shares (the </w:t>
      </w:r>
      <w:r>
        <w:rPr>
          <w:rFonts w:ascii="Times New Roman" w:cs="Times New Roman" w:eastAsia="Times New Roman" w:hAnsi="Times New Roman"/>
          <w:sz w:val="18"/>
          <w:szCs w:val="18"/>
          <w:b w:val="1"/>
          <w:bCs w:val="1"/>
          <w:color w:val="auto"/>
        </w:rPr>
        <w:t>Amended Memorandum and Articles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920" w:hanging="643"/>
        <w:spacing w:after="0" w:line="255" w:lineRule="auto"/>
        <w:tabs>
          <w:tab w:leader="none" w:pos="19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provisions of the applicable definitive purchase, underwriting or similar agreement approved by the Board have been satisfied and payment of the consideration specified therein (being not less than the par value of the Preferred Shares) has been made, or (B) if such Preferred Shares are issuable upon conversion, exchange, redemption, repurchase or exercise of any other security, the terms of such security, the Amended Memorandum and Articles or the instrument governing such security providing for such conversion, exchange, redemption, repurchase or exercise for Preferred Shares, as approved by the Board, have been satisfied and the consideration approved by the Board (being not less than the par value of the Preferred Shares) received; and</w:t>
      </w:r>
    </w:p>
    <w:p>
      <w:pPr>
        <w:spacing w:after="0" w:line="188"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have been made in the register of members of the Company reflecting such issuance of Preferred Shares, in each case in accordance with the Amended Memorandum and Articles,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the Preferred Shares will be recognised as having been duly authorised and validly issued, fully paid and non-assessable.</w:t>
      </w:r>
    </w:p>
    <w:p>
      <w:pPr>
        <w:spacing w:after="0" w:line="222" w:lineRule="exact"/>
        <w:rPr>
          <w:sz w:val="20"/>
          <w:szCs w:val="20"/>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Underlying Shares to be issued, when:</w:t>
      </w:r>
    </w:p>
    <w:p>
      <w:pPr>
        <w:spacing w:after="0" w:line="221" w:lineRule="exact"/>
        <w:rPr>
          <w:rFonts w:ascii="Times New Roman" w:cs="Times New Roman" w:eastAsia="Times New Roman" w:hAnsi="Times New Roman"/>
          <w:sz w:val="18"/>
          <w:szCs w:val="18"/>
          <w:color w:val="auto"/>
        </w:rPr>
      </w:pPr>
    </w:p>
    <w:p>
      <w:pPr>
        <w:jc w:val="both"/>
        <w:ind w:left="1920" w:hanging="643"/>
        <w:spacing w:after="0" w:line="262" w:lineRule="auto"/>
        <w:tabs>
          <w:tab w:leader="none" w:pos="19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 Company has taken all necessary corporate action to approve the issuance of the Underlying Shares, the terms of the issuance of the Underlying Shares and other any related matters, including, without limitation, any amendment to the Memorandum and Articles reflecting the terms, rights and obligations of such Underlying Shares as maybe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31" w:lineRule="exact"/>
        <w:rPr>
          <w:sz w:val="20"/>
          <w:szCs w:val="20"/>
          <w:color w:val="auto"/>
        </w:rPr>
      </w:pPr>
    </w:p>
    <w:p>
      <w:pPr>
        <w:ind w:left="1920" w:hanging="643"/>
        <w:spacing w:after="0" w:line="282" w:lineRule="auto"/>
        <w:tabs>
          <w:tab w:leader="none" w:pos="1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Deposit Agreement approved by the Board have been satisfied and payment of the consideration specified therein (being not less than the par value of the Underlying Shares) has been made; and</w:t>
      </w:r>
    </w:p>
    <w:p>
      <w:pPr>
        <w:spacing w:after="0" w:line="161"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have been made in the register of members of the Company reflecting such issuance of Underlying Shares to the Depositary, in each case in accordance with the Amended Memorandum and Articles,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the Underlying Shares will be recognised as having been duly authorised and validly issued, fully paid and non-assessable.</w:t>
      </w:r>
    </w:p>
    <w:p>
      <w:pPr>
        <w:spacing w:after="0" w:line="218"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280" w:hanging="638"/>
        <w:spacing w:after="0" w:line="266" w:lineRule="auto"/>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 or</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p>
      <w:pPr>
        <w:spacing w:after="0" w:line="176"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Act (Revised)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w:t>
      </w:r>
    </w:p>
    <w:p>
      <w:pPr>
        <w:spacing w:after="0" w:line="225" w:lineRule="exact"/>
        <w:rPr>
          <w:sz w:val="20"/>
          <w:szCs w:val="20"/>
          <w:color w:val="auto"/>
        </w:rPr>
      </w:pPr>
    </w:p>
    <w:p>
      <w:pPr>
        <w:ind w:left="1280" w:hanging="638"/>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Page 7 of 7</w:t>
      </w:r>
    </w:p>
    <w:p>
      <w:pPr>
        <w:spacing w:after="0" w:line="229" w:lineRule="exact"/>
        <w:rPr>
          <w:sz w:val="20"/>
          <w:szCs w:val="20"/>
          <w:color w:val="auto"/>
        </w:rPr>
      </w:pPr>
    </w:p>
    <w:p>
      <w:pPr>
        <w:ind w:left="1280" w:hanging="638"/>
        <w:spacing w:after="0"/>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rFonts w:ascii="Times New Roman" w:cs="Times New Roman" w:eastAsia="Times New Roman" w:hAnsi="Times New Roman"/>
          <w:sz w:val="18"/>
          <w:szCs w:val="18"/>
          <w:b w:val="1"/>
          <w:bCs w:val="1"/>
          <w:color w:val="auto"/>
        </w:rPr>
      </w:pPr>
    </w:p>
    <w:p>
      <w:pPr>
        <w:jc w:val="both"/>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headings “</w:t>
      </w: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7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may be used only in connection with the offer and sale of the Equity Securities while the Registration Statement is effective.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85875" cy="61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2858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028700" cy="1028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27" w:lineRule="exact"/>
        <w:rPr>
          <w:sz w:val="20"/>
          <w:szCs w:val="20"/>
          <w:color w:val="auto"/>
        </w:rPr>
      </w:pPr>
    </w:p>
    <w:p>
      <w:pPr>
        <w:jc w:val="right"/>
        <w:ind w:right="660"/>
        <w:spacing w:after="0"/>
        <w:tabs>
          <w:tab w:leader="none" w:pos="2220" w:val="left"/>
          <w:tab w:leader="none" w:pos="1640" w:val="left"/>
        </w:tabs>
        <w:rPr>
          <w:sz w:val="20"/>
          <w:szCs w:val="20"/>
          <w:color w:val="auto"/>
        </w:rPr>
      </w:pPr>
      <w:r>
        <w:rPr>
          <w:rFonts w:ascii="Times New Roman" w:cs="Times New Roman" w:eastAsia="Times New Roman" w:hAnsi="Times New Roman"/>
          <w:sz w:val="18"/>
          <w:szCs w:val="18"/>
          <w:color w:val="auto"/>
        </w:rPr>
        <w:t>New York, NY 10154</w:t>
      </w:r>
      <w:r>
        <w:rPr>
          <w:sz w:val="20"/>
          <w:szCs w:val="20"/>
          <w:color w:val="auto"/>
        </w:rPr>
        <w:tab/>
      </w:r>
      <w:r>
        <w:rPr>
          <w:rFonts w:ascii="Times New Roman" w:cs="Times New Roman" w:eastAsia="Times New Roman" w:hAnsi="Times New Roman"/>
          <w:sz w:val="18"/>
          <w:szCs w:val="18"/>
          <w:b w:val="1"/>
          <w:bCs w:val="1"/>
          <w:color w:val="auto"/>
        </w:rPr>
        <w:t>Main</w:t>
      </w:r>
      <w:r>
        <w:rPr>
          <w:sz w:val="20"/>
          <w:szCs w:val="20"/>
          <w:color w:val="auto"/>
        </w:rPr>
        <w:tab/>
      </w:r>
      <w:r>
        <w:rPr>
          <w:rFonts w:ascii="Times New Roman" w:cs="Times New Roman" w:eastAsia="Times New Roman" w:hAnsi="Times New Roman"/>
          <w:sz w:val="18"/>
          <w:szCs w:val="18"/>
          <w:color w:val="auto"/>
        </w:rPr>
        <w:t>212.407.4000</w:t>
      </w:r>
    </w:p>
    <w:p>
      <w:pPr>
        <w:spacing w:after="0" w:line="9" w:lineRule="exact"/>
        <w:rPr>
          <w:sz w:val="20"/>
          <w:szCs w:val="20"/>
          <w:color w:val="auto"/>
        </w:rPr>
      </w:pPr>
    </w:p>
    <w:p>
      <w:pPr>
        <w:jc w:val="both"/>
        <w:ind w:left="9000"/>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t>Fax</w:t>
      </w:r>
      <w:r>
        <w:rPr>
          <w:sz w:val="20"/>
          <w:szCs w:val="20"/>
          <w:color w:val="auto"/>
        </w:rPr>
        <w:tab/>
      </w:r>
      <w:r>
        <w:rPr>
          <w:rFonts w:ascii="Times New Roman" w:cs="Times New Roman" w:eastAsia="Times New Roman" w:hAnsi="Times New Roman"/>
          <w:sz w:val="18"/>
          <w:szCs w:val="18"/>
          <w:color w:val="auto"/>
        </w:rPr>
        <w:t>212.407.4990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1102, 11th Floor, Millennium City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 Kwun Tong Road, Kwun Tong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F-3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CLPS: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U.S. securities counsel for CLPS Incorporation, a Cayman Islands company (the “Company”), in connection with the preparation and filing by the Company of a registration statement on Form F-3 (including the Offering Prospectus constituting part thereof (the “Prospectus”)) to which this opinion letter has been filed as an exhibit (the “Registration Statement”), relating to the offer and sale by the Company from time to time, pursuant to Rule 415 under the Securities Act of 1933, as amended (the “Securities Act”), of (i) common shares, par value $0.0001 per share (the “Common Shares”), (ii) preferred shares, par value $0.0001 per share when authorized and issued (“Preferred Shares”), (iii) warrants (the “Warrants”),</w:t>
      </w:r>
    </w:p>
    <w:p>
      <w:pPr>
        <w:spacing w:after="0" w:line="3" w:lineRule="exact"/>
        <w:rPr>
          <w:sz w:val="20"/>
          <w:szCs w:val="20"/>
          <w:color w:val="auto"/>
        </w:rPr>
      </w:pPr>
    </w:p>
    <w:p>
      <w:pPr>
        <w:jc w:val="both"/>
        <w:ind w:firstLine="8"/>
        <w:spacing w:after="0" w:line="252" w:lineRule="auto"/>
        <w:tabs>
          <w:tab w:leader="none" w:pos="3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(the “Debt Securities”), in one or more series, (v) subscription rights (the “Rights”), (vi) depositary shares (the “Depositary Shares”), and (vii) units consisting of one or more of the foregoing (the “Units”). The Common Shares, Preferred Shares, Warrants, Debt Securities, Rights, Depositary Shares and Units are collectively referred to herein as the “Securities.” The Securities being registered for sale by the Company are for a maximum aggregate offering price of $80,000,000. Such Securities may be offered and sold from time to time pursuant to Rule 415 under the Securities Act, at which time it is contemplated that the Offering Prospectus included in the Registration Statement will be supplemented by one or more supplements (each, a “Prospectus Supplement”).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rendering our opinions set forth below, we have reviewed such corporate documents and records of the Company, such certificates of public officials and such other matters as we have deemed necessary or appropriate for purposes of this opinion letter. As to facts material to the opinions expressed herein, we have relied upon oral and written statements and representations of officers and other representatives of the Company. We also have assumed (a) the authenticity of all documents submitted to us as originals; (b) the conformity to the originals of all documents submitted to us as copies; (c) the genuineness of all signatures; (d) the legal capacity of natural persons; (e) the truth, accuracy and completeness of the information, factual matters, representations and warranties contained in all of such documents; (f) the Company’s due organization and valid existence, in good standing, under the laws of the Cayman Islands; and (g) the Company’s legal power and authority to execute, deliver, and perform its obligations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9750" cy="540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t>CLPS Incorporation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18, 2022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such examination, and subject to the further assumptions, qualifications and limitations contained herein, it is our opinion that:</w:t>
      </w:r>
    </w:p>
    <w:p>
      <w:pPr>
        <w:spacing w:after="0" w:line="225" w:lineRule="exact"/>
        <w:rPr>
          <w:sz w:val="20"/>
          <w:szCs w:val="20"/>
          <w:color w:val="auto"/>
        </w:rPr>
      </w:pPr>
    </w:p>
    <w:p>
      <w:pPr>
        <w:jc w:val="both"/>
        <w:ind w:firstLine="656"/>
        <w:spacing w:after="0" w:line="266" w:lineRule="auto"/>
        <w:tabs>
          <w:tab w:leader="none" w:pos="8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upon issuance and delivery of certificates of indebtedness or notes (or book-entry notation if uncertificated) evidencing such Debt Securities, against payment therefor of such lawful consideration as the Board of Directors of the Company (the “Board”) (or a duly authorized committee thereof) may determine, will be validly issued and will constitute valid and legally binding obligations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upon their issuance and delivery of certificates (or book-entry notation if uncertificated) for such Warrants, against payment therefor of such lawful consideration as the Board (or a duly authorized committee thereof) may determine, will be validly issued and will constitute valid and legally binding obligations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upon their issuance and delivery of certificates (or book-entry notation if uncertificated) for such Rights, against payment therefor of such lawful consideration as the Board (or a duly authorized committee thereof) may determine, will be validly issued and will constitute valid and legally binding obligations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upon their issuance and delivery of certificates (or book-entry notation if uncertificated) for such Units, against payment therefor of such lawful consideration as the Board (or a duly authorized committee thereof) may determine, to the extent such Units constitute or include Debt Securities, Warrants or Rights, will be validly issued and will constitute valid and legally binding obligations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foregoing opinions, we have assumed that: (i) the Registration Statement, and any amendments thereto, shall have become effective under the Securities Act and will remain effective at the time of issuance of any Securities thereunder; (ii) a Prospectus Supplement describing each class or series of Securities offered pursuant to the Registration Statement, to the extent required by applicable law and relevant rules and regulations of the Securities and Exchange Commission (the “Commission”), will be timely filed with the Commission; (iii) the definitive terms of each class or series of Securities shall have been established in accordance with resolutions duly adopted by the Board (or an authorized committee thereof) (each, a “Board Action”), the Company’s Amended and Restated Memorandum and Articles of Association (the “Articles”) and applicable law; (iv) the Company will issue and deliver the Securities in the manner contemplated by the Registration Statement, the Prospectus, the applicable Prospectus Supplement and any applicable underwriting agreement; (v) the total number of shares of Common Shares issuable (including upon conversion, exchange or exercise of any other Security) will not exceed the total number of shares of Common Shares that the Company is then authorized to issue under its Articles; (vi) the Board Action authorizing the Company to issue, offer and sell the Securities will have been adopted by the Board (or an authorized committee thereof) and will be in full force and effect at all times at which the Securities are offered or sold by the Company; and (vii) all Securities will be issued in compliance with applicable federal and state securities laws.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Securities consisting of Debt Securities, we have further assumed that: (i) such Debt Securities shall have been issued pursuant to an indenture (individually, and as supplemented from time to time, an “Indenture”) between the Company and a trustee to be identified in the applicable Prospectus Supplement (the “Trustee”); (ii) such Indenture shall have been duly authorized, executed and delivered on behalf of the Company; (iii) all terms of such Debt Securities not provided for in such Indenture shall have been established in accordance with the provisions of the Indenture and reflected in appropriate documentation approved by us and, if applicable, executed and delivered by the Company and the Trustee; (iv) such Debt Securities shall have been duly executed, authenticated, issued and delivered in accordance with the provisions of such Indenture; (v) such Debt Securities, as executed and delivered, do not violate any law applicable to the Company or result in a default under or breach of any agreement or instrument binding upon the Company; and (vi) such Debt Securities, as executed and delivered, comply with all requirements and restrictions, if any, applicable to the Company, whether imposed by any court or governmental or regulatory body having jurisdiction over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Securities consisting of Warrants, we have further assumed that (i) such Warrants shall have been issued pursuant to a warrant agreement (individually, a “Warrant Agreement”) between the Company and a warrant agent to be identified in the applicable Prospectus Supplement (the “Warrant Agent”); (ii) such Warrant Agreement shall have been duly authorized, executed and delivered on behalf of the Company; (iii) all terms of such Warrants shall have been established in accordance with the provisions of such Warrant Agreement(s); (iv) such Warrants shall have been duly executed, issued and delivered in accordance with the provisions of such Warrant Agreement(s); (v) such Warrants and the related Warrant Agreement(s), as executed and delivered, do not violate any law applicable to the Company or result in a default under or breach of any agreement or instrument binding upon the Company; and (vi) such Warrants and the related Warrant Agreement(s), as executed and delivered, comply with all requirements and restrictions, if any, applicable to the Company, in any case whether imposed by any court or governmental or regulatory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9750" cy="540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t>CLPS Incorporation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18, 2022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Securities consisting of Rights, we have further assumed that (i) such Rights shall have been issued pursuant to a rights agreement (individually, a “Rights Agreement”) between the Company and a rights agent to be identified in the applicable Prospectus Supplement (the “Rights Agent”); (ii) such Rights Agreement shall have been duly authorized, executed and delivered on behalf of the Company; (iii) all terms of such Rights shall have been established in accordance with the provisions of such Rights Agreement(s); (iv) such Rights shall have been duly executed, issued and delivered in accordance with the provisions of such Rights Agreement(s); (v) such Rights and the related Rights Agreement(s), as executed and delivered, do not violate any law applicable to the Company or result in a default under or breach of any agreement or instrument binding upon the Company; and (vi) such Rights and the related Rights Agreement(s), as executed and delivered, comply with all requirements and restrictions, if any, applicable to the Company, in any case whether imposed by any court or governmental or regulatory body having jurisdiction over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the obligations of the Company under an Indenture may be dependent on such matters, we further have assumed for purposes of this opinion letter that the Trustee under each Indenture (i) is duly organized, validly existing and in good standing under the laws of its jurisdiction of organization; (ii) is duly qualified to engage in activities contemplated by such Indenture; (iii) has duly authorized, executed and delivered such Indenture, and such Indenture constitutes the legally valid and binding obligation of such Trustee enforceable against such Trustee in accordance with its terms; (iv) is in compliance, with respect to acting as a trustee under such Indenture, with all applicable laws and regulations; and (v) has the requisite organizational and legal power and authority to perform its obligations under such Indenture.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Warrant or Warrant Agreement may be dependent on such matters, we further have assumed for purposes of this opinion letter that the Warrant Agent under each Warrant Agreement (i) is duly organized, validly existing and in good standing under the laws of its jurisdiction of organization; (ii) is duly qualified to engage in the activities contemplated by such Warrant Agreement; (iii) has duly authorized, executed and delivered such Warrant Agreement, and such Warrant Agreement constitutes the legally valid and binding obligation of such Warrant Agent enforceable against such Warrant Agent in accordance with its terms; (iv) is in compliance, with respect to acting as a Warrant Agent under such Warrant Agreement, with all applicable laws and regulations; and (v) has the requisite organizational and legal power and authority to perform its obligations under such Warrant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Rights or Rights Agreement may be dependent on such matters, we further have assumed for purposes of this opinion letter that the Rights Agent under each Rights Agreement (i) is duly organized, validly existing and in good standing under the laws of its jurisdiction of organization; (ii) is duly qualified to engage in the activities contemplated by such Rights Agreement; (iii) has duly authorized, executed and delivered such Rights Agreement, and such Rights Agreement constitutes the legally valid and binding obligation of such Rights Agent enforceable against such Rights Agent in accordance with its terms; (iv) is in compliance, with respect to acting as a Rights Agent under such Rights Agreement, with all applicable laws and regulations; and (v) has the requisite organizational and legal power and authority to perform its obligations under such Rights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express no opinion with respect to the enforceability of: (i) provisions relating to choice of law, choice of venue, jurisdiction or waivers of jury trial, or (ii) any waiver of any usury defense. This opinion letter is rendered as of the date hereof, and we disclaim any undertaking to advise you of any subsequent changes in the facts stated or assumed herein or any subsequent changes in applicable law that may come to our attention, and we have assumed that no change in the facts stated or assumed herein or in applicable law after the date hereof will affect adversely our ability to render an opinion letter after the date hereof (i) containing the same legal conclusions set forth herein and (ii) subject only to such (or fewer) assumptions, limitations and qualifications as are contained herein.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opinions are limited to the laws of the State of New York and applicable federal laws of the United States of America, and we express no opinion as to the effect of the laws of any other jurisdiction, domestic or foreign. We are not rendering any opinion as to compliance with any federal or state antifraud law, rule, or regulation relating to securities, or to the sale or issuance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5.2 to the Registration Statement in accordance with the requirements of Item 601(b)(5) of Regulation S−K under the Securities Act and to the reference to our firm therein and in the Prospectus and any Prospectus Supplement under the caption “Legal Matters.” In giving such consent, we do not thereby admit that this firm is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F-3) and related prospectus of CLPS Incorporation for the registration of its common shares, preferred shares, warrants, debt securities, rights, depositary shares and units of its securities and to the incorporation by reference therein of our report dated October 15, 2021, with respect to the consolidated financial statements of CLPS Incorporation, included in its Annual Report (Form 20-F) for the year ended June 30,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2022</w:t>
      </w:r>
    </w:p>
    <w:p>
      <w:pPr>
        <w:sectPr>
          <w:pgSz w:w="11900" w:h="16838" w:orient="portrait"/>
          <w:cols w:equalWidth="0" w:num="1">
            <w:col w:w="11240"/>
          </w:cols>
          <w:pgMar w:left="320" w:top="117"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right="20" w:hanging="193"/>
        <w:spacing w:after="0" w:line="251" w:lineRule="auto"/>
        <w:rPr>
          <w:sz w:val="20"/>
          <w:szCs w:val="20"/>
          <w:color w:val="auto"/>
        </w:rPr>
      </w:pPr>
      <w:r>
        <w:rPr>
          <w:rFonts w:ascii="Times New Roman" w:cs="Times New Roman" w:eastAsia="Times New Roman" w:hAnsi="Times New Roman"/>
          <w:sz w:val="14"/>
          <w:szCs w:val="14"/>
          <w:color w:val="auto"/>
        </w:rPr>
        <w:t>Fees to Be Paid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Fees</w:t>
      </w:r>
    </w:p>
    <w:p>
      <w:pPr>
        <w:spacing w:after="0" w:line="226" w:lineRule="auto"/>
        <w:rPr>
          <w:sz w:val="20"/>
          <w:szCs w:val="20"/>
          <w:color w:val="auto"/>
        </w:rPr>
      </w:pPr>
      <w:r>
        <w:rPr>
          <w:rFonts w:ascii="Times New Roman" w:cs="Times New Roman" w:eastAsia="Times New Roman" w:hAnsi="Times New Roman"/>
          <w:sz w:val="14"/>
          <w:szCs w:val="14"/>
          <w:color w:val="auto"/>
        </w:rPr>
        <w:t>Previously</w:t>
      </w:r>
    </w:p>
    <w:p>
      <w:pPr>
        <w:ind w:left="180"/>
        <w:spacing w:after="0"/>
        <w:rPr>
          <w:sz w:val="20"/>
          <w:szCs w:val="20"/>
          <w:color w:val="auto"/>
        </w:rPr>
      </w:pPr>
      <w:r>
        <w:rPr>
          <w:rFonts w:ascii="Times New Roman" w:cs="Times New Roman" w:eastAsia="Times New Roman" w:hAnsi="Times New Roman"/>
          <w:sz w:val="14"/>
          <w:szCs w:val="14"/>
          <w:color w:val="auto"/>
        </w:rPr>
        <w:t>Paid</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Carry</w:t>
      </w:r>
    </w:p>
    <w:p>
      <w:pPr>
        <w:ind w:left="60"/>
        <w:spacing w:after="0" w:line="226" w:lineRule="auto"/>
        <w:rPr>
          <w:sz w:val="20"/>
          <w:szCs w:val="20"/>
          <w:color w:val="auto"/>
        </w:rPr>
      </w:pPr>
      <w:r>
        <w:rPr>
          <w:rFonts w:ascii="Times New Roman" w:cs="Times New Roman" w:eastAsia="Times New Roman" w:hAnsi="Times New Roman"/>
          <w:sz w:val="14"/>
          <w:szCs w:val="14"/>
          <w:color w:val="auto"/>
        </w:rPr>
        <w:t>Forward</w:t>
      </w:r>
    </w:p>
    <w:p>
      <w:pPr>
        <w:ind w:left="20"/>
        <w:spacing w:after="0"/>
        <w:rPr>
          <w:sz w:val="20"/>
          <w:szCs w:val="20"/>
          <w:color w:val="auto"/>
        </w:rPr>
      </w:pPr>
      <w:r>
        <w:rPr>
          <w:rFonts w:ascii="Times New Roman" w:cs="Times New Roman" w:eastAsia="Times New Roman" w:hAnsi="Times New Roman"/>
          <w:sz w:val="14"/>
          <w:szCs w:val="14"/>
          <w:color w:val="auto"/>
        </w:rPr>
        <w:t>Securities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………..F-3………..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60" w:type="dxa"/>
            <w:vAlign w:val="bottom"/>
            <w:vMerge w:val="continue"/>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Unsold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8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58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Fee</w:t>
            </w:r>
          </w:p>
        </w:tc>
        <w:tc>
          <w:tcPr>
            <w:tcW w:w="820" w:type="dxa"/>
            <w:vAlign w:val="bottom"/>
            <w:gridSpan w:val="3"/>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158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80" w:type="dxa"/>
            <w:vAlign w:val="bottom"/>
            <w:vMerge w:val="continue"/>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80" w:type="dxa"/>
            <w:vAlign w:val="bottom"/>
            <w:vMerge w:val="continue"/>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5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55"/>
        </w:trPr>
        <w:tc>
          <w:tcPr>
            <w:tcW w:w="7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5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Common Stock at par</w:t>
            </w:r>
          </w:p>
        </w:tc>
        <w:tc>
          <w:tcPr>
            <w:tcW w:w="8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$ 80,000,000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$ 139,200,000</w:t>
            </w: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$92.70 per</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12,903.84</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40" w:type="dxa"/>
            <w:vAlign w:val="bottom"/>
          </w:tcPr>
          <w:p>
            <w:pPr>
              <w:spacing w:after="0"/>
              <w:rPr>
                <w:sz w:val="16"/>
                <w:szCs w:val="16"/>
                <w:color w:val="auto"/>
              </w:rPr>
            </w:pP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value $0.0001 per share</w:t>
            </w:r>
          </w:p>
        </w:tc>
        <w:tc>
          <w:tcPr>
            <w:tcW w:w="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$1,000,000</w:t>
            </w: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4"/>
        </w:trPr>
        <w:tc>
          <w:tcPr>
            <w:tcW w:w="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0"/>
        </w:trPr>
        <w:tc>
          <w:tcPr>
            <w:tcW w:w="740" w:type="dxa"/>
            <w:vAlign w:val="bottom"/>
          </w:tcPr>
          <w:p>
            <w:pPr>
              <w:spacing w:after="0"/>
              <w:rPr>
                <w:sz w:val="24"/>
                <w:szCs w:val="24"/>
                <w:color w:val="auto"/>
              </w:rPr>
            </w:pPr>
          </w:p>
        </w:tc>
        <w:tc>
          <w:tcPr>
            <w:tcW w:w="24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12,903.84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24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24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12,903.84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-1422400</wp:posOffset>
            </wp:positionV>
            <wp:extent cx="71323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-908050</wp:posOffset>
            </wp:positionV>
            <wp:extent cx="713232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-496570</wp:posOffset>
            </wp:positionV>
            <wp:extent cx="713232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-273685</wp:posOffset>
            </wp:positionV>
            <wp:extent cx="713232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sectPr>
      <w:pgSz w:w="11900" w:h="16838" w:orient="portrait"/>
      <w:cols w:equalWidth="0" w:num="2">
        <w:col w:w="620" w:space="140"/>
        <w:col w:w="10380"/>
      </w:cols>
      <w:pgMar w:left="4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lowerRoman"/>
      <w:start w:val="2"/>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07"/>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9"/>
    </w:lvl>
  </w:abstractNum>
  <w:abstractNum w:abstractNumId="33">
    <w:nsid w:val="542289EC"/>
    <w:multiLevelType w:val="hybridMultilevel"/>
    <w:lvl w:ilvl="0">
      <w:lvlJc w:val="left"/>
      <w:lvlText w:val="(%1)"/>
      <w:numFmt w:val="lowerRoman"/>
      <w:start w:val="2"/>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1)"/>
      <w:numFmt w:val="upperLetter"/>
      <w:start w:val="1"/>
    </w:lvl>
  </w:abstractNum>
  <w:abstractNum w:abstractNumId="36">
    <w:nsid w:val="7644A45C"/>
    <w:multiLevelType w:val="hybridMultilevel"/>
    <w:lvl w:ilvl="0">
      <w:lvlJc w:val="left"/>
      <w:lvlText w:val="(%1)"/>
      <w:numFmt w:val="decimal"/>
      <w:start w:val="6"/>
    </w:lvl>
  </w:abstractNum>
  <w:abstractNum w:abstractNumId="37">
    <w:nsid w:val="32FFF902"/>
    <w:multiLevelType w:val="hybridMultilevel"/>
    <w:lvl w:ilvl="0">
      <w:lvlJc w:val="left"/>
      <w:lvlText w:val="(%1)"/>
      <w:numFmt w:val="lowerRoman"/>
      <w:start w:val="1"/>
    </w:lvl>
  </w:abstractNum>
  <w:abstractNum w:abstractNumId="38">
    <w:nsid w:val="684A481A"/>
    <w:multiLevelType w:val="hybridMultilevel"/>
    <w:lvl w:ilvl="0">
      <w:lvlJc w:val="left"/>
      <w:lvlText w:val="(%1)"/>
      <w:numFmt w:val="lowerLetter"/>
      <w:start w:val="2"/>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bullet"/>
      <w:start w:val="1"/>
    </w:lvl>
    <w:lvl w:ilvl="1">
      <w:lvlJc w:val="left"/>
      <w:lvlText w:val="(%2)"/>
      <w:numFmt w:val="lowerLetter"/>
      <w:start w:val="1"/>
    </w:lvl>
  </w:abstractNum>
  <w:abstractNum w:abstractNumId="41">
    <w:nsid w:val="3DC240FB"/>
    <w:multiLevelType w:val="hybridMultilevel"/>
    <w:lvl w:ilvl="0">
      <w:lvlJc w:val="left"/>
      <w:lvlText w:val="2"/>
      <w:numFmt w:val="bullet"/>
      <w:start w:val="1"/>
    </w:lvl>
    <w:lvl w:ilvl="1">
      <w:lvlJc w:val="left"/>
      <w:lvlText w:val="(%2)"/>
      <w:numFmt w:val="lowerLetter"/>
      <w:start w:val="1"/>
    </w:lvl>
  </w:abstractNum>
  <w:abstractNum w:abstractNumId="42">
    <w:nsid w:val="1BA026FA"/>
    <w:multiLevelType w:val="hybridMultilevel"/>
    <w:lvl w:ilvl="0">
      <w:lvlJc w:val="left"/>
      <w:lvlText w:val="(%1)"/>
      <w:numFmt w:val="lowerLetter"/>
      <w:start w:val="4"/>
    </w:lvl>
  </w:abstractNum>
  <w:abstractNum w:abstractNumId="43">
    <w:nsid w:val="79A1DEAA"/>
    <w:multiLevelType w:val="hybridMultilevel"/>
    <w:lvl w:ilvl="0">
      <w:lvlJc w:val="left"/>
      <w:lvlText w:val="(%1)"/>
      <w:numFmt w:val="lowerLetter"/>
      <w:start w:val="13"/>
    </w:lvl>
  </w:abstractNum>
  <w:abstractNum w:abstractNumId="44">
    <w:nsid w:val="75C6C33A"/>
    <w:multiLevelType w:val="hybridMultilevel"/>
    <w:lvl w:ilvl="0">
      <w:lvlJc w:val="left"/>
      <w:lvlText w:val="3"/>
      <w:numFmt w:val="bullet"/>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2"/>
    </w:lvl>
    <w:lvl w:ilvl="1">
      <w:lvlJc w:val="left"/>
      <w:lvlText w:val="(%2)"/>
      <w:numFmt w:val="lowerRoman"/>
      <w:start w:val="1"/>
    </w:lvl>
  </w:abstractNum>
  <w:abstractNum w:abstractNumId="47">
    <w:nsid w:val="520EEDD1"/>
    <w:multiLevelType w:val="hybridMultilevel"/>
    <w:lvl w:ilvl="0">
      <w:lvlJc w:val="left"/>
      <w:lvlText w:val="(%1)"/>
      <w:numFmt w:val="lowerRoman"/>
      <w:start w:val="3"/>
    </w:lvl>
  </w:abstractNum>
  <w:abstractNum w:abstractNumId="48">
    <w:nsid w:val="374A3FE6"/>
    <w:multiLevelType w:val="hybridMultilevel"/>
    <w:lvl w:ilvl="0">
      <w:lvlJc w:val="left"/>
      <w:lvlText w:val="(%1)"/>
      <w:numFmt w:val="lowerLetter"/>
      <w:start w:val="3"/>
    </w:lvl>
    <w:lvl w:ilvl="1">
      <w:lvlJc w:val="left"/>
      <w:lvlText w:val="(%2)"/>
      <w:numFmt w:val="lowerRoman"/>
      <w:start w:val="1"/>
    </w:lvl>
  </w:abstractNum>
  <w:abstractNum w:abstractNumId="49">
    <w:nsid w:val="4F4EF005"/>
    <w:multiLevelType w:val="hybridMultilevel"/>
    <w:lvl w:ilvl="0">
      <w:lvlJc w:val="left"/>
      <w:lvlText w:val="(%1)"/>
      <w:numFmt w:val="lowerLetter"/>
      <w:start w:val="4"/>
    </w:lvl>
    <w:lvl w:ilvl="1">
      <w:lvlJc w:val="left"/>
      <w:lvlText w:val="(%2)"/>
      <w:numFmt w:val="lowerRoman"/>
      <w:start w:val="1"/>
    </w:lvl>
  </w:abstractNum>
  <w:abstractNum w:abstractNumId="50">
    <w:nsid w:val="23F9C13C"/>
    <w:multiLevelType w:val="hybridMultilevel"/>
    <w:lvl w:ilvl="0">
      <w:lvlJc w:val="left"/>
      <w:lvlText w:val="(%1)"/>
      <w:numFmt w:val="lowerRoman"/>
      <w:start w:val="2"/>
    </w:lvl>
  </w:abstractNum>
  <w:abstractNum w:abstractNumId="51">
    <w:nsid w:val="649BB77C"/>
    <w:multiLevelType w:val="hybridMultilevel"/>
    <w:lvl w:ilvl="0">
      <w:lvlJc w:val="left"/>
      <w:lvlText w:val="4"/>
      <w:numFmt w:val="bullet"/>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5"/>
      <w:numFmt w:val="bullet"/>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2"/>
    </w:lvl>
  </w:abstractNum>
  <w:abstractNum w:abstractNumId="56">
    <w:nsid w:val="235BA861"/>
    <w:multiLevelType w:val="hybridMultilevel"/>
    <w:lvl w:ilvl="0">
      <w:lvlJc w:val="left"/>
      <w:lvlText w:val="6"/>
      <w:numFmt w:val="bullet"/>
      <w:start w:val="1"/>
    </w:lvl>
  </w:abstractNum>
  <w:abstractNum w:abstractNumId="57">
    <w:nsid w:val="47398C89"/>
    <w:multiLevelType w:val="hybridMultilevel"/>
    <w:lvl w:ilvl="0">
      <w:lvlJc w:val="left"/>
      <w:lvlText w:val="(%1)"/>
      <w:numFmt w:val="lowerRoman"/>
      <w:start w:val="4"/>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jpeg"/><Relationship Id="rId74" Type="http://schemas.openxmlformats.org/officeDocument/2006/relationships/image" Target="media/image59.png"/><Relationship Id="rId75" Type="http://schemas.openxmlformats.org/officeDocument/2006/relationships/image" Target="media/image60.jpeg"/><Relationship Id="rId76" Type="http://schemas.openxmlformats.org/officeDocument/2006/relationships/image" Target="media/image61.png"/><Relationship Id="rId77" Type="http://schemas.openxmlformats.org/officeDocument/2006/relationships/image" Target="media/image62.jpeg"/><Relationship Id="rId78" Type="http://schemas.openxmlformats.org/officeDocument/2006/relationships/image" Target="media/image63.png"/><Relationship Id="rId79" Type="http://schemas.openxmlformats.org/officeDocument/2006/relationships/image" Target="media/image64.jpe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21" Type="http://schemas.openxmlformats.org/officeDocument/2006/relationships/hyperlink" Target="http://www.sec.gov/ix?doc=/Archives/edgar/data/1724542/000121390021052933/f20f2021_clpsincorp.htm" TargetMode="External"/><Relationship Id="rId22" Type="http://schemas.openxmlformats.org/officeDocument/2006/relationships/hyperlink" Target="http://www.sec.gov/Archives/edgar/data/1724542/000121390018003524/ff12018_clpsincorporation.htm" TargetMode="External"/><Relationship Id="rId23" Type="http://schemas.openxmlformats.org/officeDocument/2006/relationships/hyperlink" Target="http://www.sec.gov/Archives/edgar/data/1724542/000121390018006724/f8a12b0518_clpsincorporation.htm" TargetMode="External"/><Relationship Id="rId24" Type="http://schemas.openxmlformats.org/officeDocument/2006/relationships/hyperlink" Target="http://www.sec.gov/Archives/edgar/data/1724542/000121390021065345/ea152390-6k_clpsincorp.htm" TargetMode="External"/><Relationship Id="rId25" Type="http://schemas.openxmlformats.org/officeDocument/2006/relationships/hyperlink" Target="http://www.sec.gov/Archives/edgar/data/1724542/000121390022010837/ea156543-6k_clpsincorp.htm" TargetMode="External"/><Relationship Id="rId26" Type="http://schemas.openxmlformats.org/officeDocument/2006/relationships/hyperlink" Target="http://www.sec.gov/Archives/edgar/data/1724542/000121390022018568/ea158042-6k_clpsincorp.htm" TargetMode="External"/><Relationship Id="rId27" Type="http://schemas.openxmlformats.org/officeDocument/2006/relationships/hyperlink" Target="http://www.sec.gov/Archives/edgar/data/1724542/000121390022028744/ea160449-6k_clpsincorp.htm" TargetMode="External"/><Relationship Id="rId64"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2022-08-18T08:03:39Z</dcterms:created>
  <dcterms:modified xsi:type="dcterms:W3CDTF">2022-08-18T08:03:39Z</dcterms:modified>
</cp:coreProperties>
</file>