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(To Prospectus dated June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2277110</wp:posOffset>
            </wp:positionH>
            <wp:positionV relativeFrom="paragraph">
              <wp:posOffset>175895</wp:posOffset>
            </wp:positionV>
            <wp:extent cx="1165860" cy="505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505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ind w:right="519"/>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43"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333-231812</w:t>
      </w:r>
    </w:p>
    <w:p>
      <w:pPr>
        <w:spacing w:after="0" w:line="200" w:lineRule="exact"/>
        <w:rPr>
          <w:sz w:val="24"/>
          <w:szCs w:val="24"/>
          <w:color w:val="auto"/>
        </w:rPr>
      </w:pPr>
    </w:p>
    <w:p>
      <w:pPr>
        <w:sectPr>
          <w:pgSz w:w="11900" w:h="16838" w:orient="portrait"/>
          <w:cols w:equalWidth="0" w:num="2">
            <w:col w:w="5320" w:space="720"/>
            <w:col w:w="2979"/>
          </w:cols>
          <w:pgMar w:left="1440" w:top="293" w:right="1440" w:bottom="11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CLPS INCORPORATION</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2,666,666 Common Shares</w:t>
      </w:r>
    </w:p>
    <w:p>
      <w:pPr>
        <w:spacing w:after="0" w:line="152" w:lineRule="exact"/>
        <w:rPr>
          <w:sz w:val="24"/>
          <w:szCs w:val="24"/>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are offering 2,666,666 shares of our common stock, $0.0001 par value per share, directly to the investors in this offering at a price of $6.00 per share pursuant to this prospectus supplement and the accompanying prospectus. In a concurrent private placement, we are also selling to investors warrants to purchase an aggregate of up to 2,666,666 shares of our common stock. The investor warrants will be exercisable beginning on March 3, 2021, at an exercise price of $6.00 per share, and will expire on September 3, 2026 (the date that is five years and six months after the date of issuance). The warrants and the common shares issuable upon the exercise of the warrants have not been registered under the Securities Act of 1933, as amended, or the Securities Act, pursuant to the registration statement of which this prospectus supplement and the accompanying prospectus form a part and are not being offered pursuant to this prospectus supplement and the accompanying prospectus. The warrants and the common shares issuable upon the exercise of the warrants are being offered pursuant to an exemption from the registration requirements of the Securities Act provided in Section 4(a)(2) of the Securities Act and/or Rule 506(b) of Regulation D. We have agreed that, on or prior to April 2, 2021, we will file a registration statement on Form F-3, or such other form as may then be available to us, providing for the resale by the investors of the shares issuable upon the exercise of the warrants.</w:t>
      </w:r>
    </w:p>
    <w:p>
      <w:pPr>
        <w:spacing w:after="0" w:line="103" w:lineRule="exact"/>
        <w:rPr>
          <w:sz w:val="24"/>
          <w:szCs w:val="24"/>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the common shares, see the section entitled “Description of Our Securities We Are Offering” beginning on page S-14.</w:t>
      </w:r>
    </w:p>
    <w:p>
      <w:pPr>
        <w:spacing w:after="0" w:line="67" w:lineRule="exact"/>
        <w:rPr>
          <w:sz w:val="24"/>
          <w:szCs w:val="24"/>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common shares are currently traded on the Nasdaq Stock Market under the symbol “CLPS.” On March 1, 2021, the closing sale price of our common shares was $4.71 per share.</w:t>
      </w:r>
    </w:p>
    <w:p>
      <w:pPr>
        <w:spacing w:after="0" w:line="81" w:lineRule="exact"/>
        <w:rPr>
          <w:sz w:val="24"/>
          <w:szCs w:val="24"/>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outstanding common shares held by non-affiliates was approximately $56,326,830 based on 16,357,429 outstanding common shares, of which 5,196,202 shares are held by non-affiliates, and a per share price of $10.84 which was the last reported price on the Nasdaq Stock Market of our common shares on February 17, 2021. We have not offered any securities pursuant to General Instruction I.B.5. of Form F-3 during the prior 12 month calendar period that ends on and includes the date of this prospectus supplement.</w:t>
      </w:r>
    </w:p>
    <w:p>
      <w:pPr>
        <w:spacing w:after="0" w:line="93" w:lineRule="exact"/>
        <w:rPr>
          <w:sz w:val="24"/>
          <w:szCs w:val="24"/>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retained Maxim Group LLC to act as our exclusive placement agent in connection with this offering to use its “commercially reasonable best efforts” to solicit offers to purchase shares of our common shares and the warrants. The placement agent is not purchasing or selling any of our common shares offered pursuant to this prospectus supplement or the accompanying prospectus. See “Plan of Distribution” beginning on page S-16 of this prospectus supplement for more information regarding these arrangements.</w:t>
      </w:r>
    </w:p>
    <w:p>
      <w:pPr>
        <w:spacing w:after="0" w:line="89" w:lineRule="exact"/>
        <w:rPr>
          <w:sz w:val="24"/>
          <w:szCs w:val="24"/>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purchase our securities only if you can afford a complete loss of your investment. See “Risk Factors” beginning on page S-6 of this prospectus supplement and on page 5 of the accompanying prospectus.</w:t>
      </w:r>
    </w:p>
    <w:p>
      <w:pPr>
        <w:spacing w:after="0" w:line="81" w:lineRule="exact"/>
        <w:rPr>
          <w:sz w:val="24"/>
          <w:szCs w:val="24"/>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8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59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 Price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15,999,996</w:t>
            </w:r>
          </w:p>
        </w:tc>
      </w:tr>
      <w:tr>
        <w:trPr>
          <w:trHeight w:val="28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w:t>
            </w:r>
            <w:r>
              <w:rPr>
                <w:rFonts w:ascii="Times New Roman" w:cs="Times New Roman" w:eastAsia="Times New Roman" w:hAnsi="Times New Roman"/>
                <w:sz w:val="20"/>
                <w:szCs w:val="20"/>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0.42</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1,120,000</w:t>
            </w:r>
          </w:p>
        </w:tc>
      </w:tr>
      <w:tr>
        <w:trPr>
          <w:trHeight w:val="24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14,879,996</w:t>
            </w:r>
          </w:p>
        </w:tc>
      </w:tr>
      <w:tr>
        <w:trPr>
          <w:trHeight w:val="40"/>
        </w:trPr>
        <w:tc>
          <w:tcPr>
            <w:tcW w:w="5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4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4"/>
          <w:szCs w:val="24"/>
          <w:color w:val="auto"/>
        </w:rPr>
      </w:pPr>
    </w:p>
    <w:p>
      <w:pPr>
        <w:jc w:val="both"/>
        <w:ind w:left="880" w:right="459" w:hanging="426"/>
        <w:spacing w:after="0" w:line="275" w:lineRule="auto"/>
        <w:tabs>
          <w:tab w:leader="none" w:pos="92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also agreed to reimburse the placement agent for all travel and other out-of-pocket expenses, including the reasonable fees, costs and disbursements of its legal counsel which shall be limited to, in the aggregate, $45,000. For additional information about the compensation paid to the placement agent, see “Plan of Distribution” beginning on page S-16 of this prospectus supplement.</w:t>
      </w:r>
    </w:p>
    <w:p>
      <w:pPr>
        <w:spacing w:after="0" w:line="111" w:lineRule="exact"/>
        <w:rPr>
          <w:sz w:val="24"/>
          <w:szCs w:val="24"/>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expect that delivery of the common shares being offered pursuant to this prospectus supplement and the accompanying prospectus will be made on or about March 3, 2021.</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MAXIM GROUP LLC</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3" w:right="1440" w:bottom="1140" w:gutter="0" w:footer="0" w:header="0"/>
          <w:type w:val="continuous"/>
        </w:sectPr>
      </w:pPr>
    </w:p>
    <w:bookmarkStart w:id="1" w:name="page2"/>
    <w:bookmarkEnd w:id="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 SUPPLEMENT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S-ii</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CAUTIONARY NOTE REGARDING FORWARD LOOKING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S-iii</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SUPPLEMENT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THE OFFERING</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S-5</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S-6</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S-12</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S-13</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DESCRIPTION OF OUR SECURITIES WE ARE OFFERING</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S-14</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PRIVATE PLACEMENT TRANSACTION OF WARRANTS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S-14</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PLAN OF DISTRIBUTION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S-16</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LEGAL MATTERS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S-19</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EXPERTS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3"/>
        </w:trPr>
        <w:tc>
          <w:tcPr>
            <w:tcW w:w="74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WHERE YOU CAN FIND MORE INFORMATION</w:t>
              </w:r>
            </w:hyperlink>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S-20</w:t>
            </w:r>
          </w:p>
        </w:tc>
      </w:tr>
      <w:tr>
        <w:trPr>
          <w:trHeight w:val="40"/>
        </w:trPr>
        <w:tc>
          <w:tcPr>
            <w:tcW w:w="7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supplement and the accompanying prospectus. We have not authorized anyone else to provide you with additional or different information. We are offering to sell, and seeking offers to buy, common shares only in jurisdictions where offers and sales are permitted. You should not assume that the information in this prospectus supplement or the accompanying prospectus is accurate as of any date other than the date on the front of those documents or that any document incorporated by reference is accurate as of any date other than its filing date.</w:t>
      </w:r>
    </w:p>
    <w:p>
      <w:pPr>
        <w:spacing w:after="0" w:line="11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No action is being taken in any jurisdiction outside the United States to permit a public offering of the common shares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and the accompanying prospectus applicable to that jurisdiction.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May 29, 2019, we filed with the SEC a registration statement on Form F-3, as amended on June 14, 2018 (File No. 333-231812) utilizing a shelf registration process relating to the securities described in this prospectus supplement, which registration statement was declared effective on June 20, 2019. Under this shelf registration process, we may, from time to time, sell up to $40 million in the aggregate of common shares, shares of preferred stock, debt securities, warrants, subscription rights and units, of which approximately $24 million will remain available for sale following the offering and as of the date of this prospectus supplement.</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also adds to and updates information contained in the accompanying prospectus and the documents incorporated by reference into the prospectus. The second part, the accompanying prospectus, gives more general information, some of which does not apply to this offering. You should read this entire prospectus supplement as well as the accompanying prospectus and the documents incorporated by reference that are described under “Where You Can Find More Information” in this prospectus supplement and the accompanying prospectus.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description of the offering varies between this prospectus supplement and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 this prospectus supplement and the accompanying prospectus - the statement in the document having the later date modifies or supersedes the earlier statement.</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or deemed to be incorporated by reference, into this prospectus supplement or the accompanying prospectus will be deemed to be modified or superseded for purposes of this prospectus supplement or the accompanying prospectus to the extent that a statement contained herein, therein or in any other subsequently filed document which also is incorporated by reference in this prospectus supplement or the accompanying prospectus modifies or supersedes that statement. Any such statement so modified or superseded will not be deemed, except as so modified or superseded, to constitute a part of this prospectus supplement or the accompanying prospectus.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unless you are a party to such agreement. Moreover, such representations, warranties or covenants were accurate only as of the date when made or expressly referenced therein. Accordingly, such representations, warranties and covenants should not be relied on as accurately representing the current state of our affairs unless you are a party to such agreement.</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Unless we have indicated otherwise, or the context otherwise requires, references in this prospectus supplement and the accompanying prospectus to “CLPS,” the “Company,” “we,” “us” and “our” or similar terms refer to refer to CLPS Incorporation., a Cayman Islands exempt company and its consolidated subsidiaries.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we have filed with the SEC that are incorporated herein by reference contain forward- looking statements within the meaning of Section 27A of the Securities Act of 1933, as amended (the “Securities Act”) and Section 21E of the Exchange Act.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“Risk Factors” incorporated by reference in this prospectus supplement and those discussed in Item 5, “Management’s Discussion and Analysis of Financial Condition and Results of Operation,” in our Annual Report on Form 20-F for the fiscal year ended June 30, 2020 and in our future filings made with the SEC. Readers are cautioned not to place undue reliance on any forward- looking statements contained in this prospectus supplement, the accompanying prospectus or the documents we have filed with the SEC that are incorporated herein by reference,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20-F and 6-K.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following summary highlights selected information contained or incorporated by reference in this prospectus supplement. This summary does not contain all of the information you should consider before investing in the securities. Before making an investment decision, you should read the entire prospectus and any supplement hereto carefully, including the risk factors section as well as the financial statements and the notes to the financial statements incorporated herein by reference.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Southeast Asia, and Hong Kong and their PRC-based IT centers.</w:t>
      </w:r>
    </w:p>
    <w:p>
      <w:pPr>
        <w:spacing w:after="0" w:line="10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CLPS Incorporation was incorporated under the laws of the Cayman Islands on May 11, 2017. 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of providing digital transformation services with focused on financial and technology in the banking, wealth management, e-commerce, and automotive industries, among others, through the utilization of innovative technology to achieve our client’s goals. We maintain 18 delivery and/or R&amp;D centers, of which ten are located in Mainland China (Shanghai, Beijing, Dalian, Tianjin, Baoding Chengdu, Guangzhou, Shenzhen, Hangzhou, and Suzhou) and eight are located globally (Hong Kong SAR, USA, UK,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26" w:lineRule="exact"/>
        <w:rPr>
          <w:sz w:val="20"/>
          <w:szCs w:val="20"/>
          <w:color w:val="auto"/>
        </w:rPr>
      </w:pPr>
    </w:p>
    <w:p>
      <w:pPr>
        <w:jc w:val="both"/>
        <w:ind w:left="540" w:right="559" w:firstLine="432"/>
        <w:spacing w:after="0" w:line="243" w:lineRule="auto"/>
        <w:rPr>
          <w:sz w:val="20"/>
          <w:szCs w:val="20"/>
          <w:color w:val="auto"/>
        </w:rPr>
      </w:pPr>
      <w:r>
        <w:rPr>
          <w:rFonts w:ascii="Times New Roman" w:cs="Times New Roman" w:eastAsia="Times New Roman" w:hAnsi="Times New Roman"/>
          <w:sz w:val="18"/>
          <w:szCs w:val="18"/>
          <w:color w:val="auto"/>
        </w:rPr>
        <w:t>On May 2020, we relocated our principal executive office to Unit 702,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Millennium City II, 378 Kwun Tong Road, Kwun Tong, Kowloon, Hong Kong SAR from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Floor, Building 18, Shanghai Pudong Software Park, 498 Guoshoujing Road, Pudong District, Shanghai, PRC. Our telephone number is (852)3707-3600. Our website is as follows </w:t>
      </w:r>
      <w:r>
        <w:rPr>
          <w:rFonts w:ascii="Times New Roman" w:cs="Times New Roman" w:eastAsia="Times New Roman" w:hAnsi="Times New Roman"/>
          <w:sz w:val="18"/>
          <w:szCs w:val="18"/>
          <w:i w:val="1"/>
          <w:iCs w:val="1"/>
          <w:color w:val="auto"/>
        </w:rPr>
        <w:t>www.clpsglobal.com</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Banking</w:t>
      </w:r>
    </w:p>
    <w:p>
      <w:pPr>
        <w:spacing w:after="0" w:line="160"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Providing professional IT consulting and solutions for the banking industry is one of the traditional competitive advantages of CLPS. With more than 15 years of experience in helping leading global banks to implement banking systems, CLPS is committed to innovating and optimizing traditional banking system by utilizing cutting-edge fintech technology to enable institutions embrace banking.</w:t>
      </w:r>
    </w:p>
    <w:p>
      <w:pPr>
        <w:spacing w:after="0" w:line="99"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CLPS has formed strategic partnerships with several global financial MNCs to provide banking IT services, help leading global banks to implement banking system and to enable them to test and enhance multiple functions such as loans, saving, deposit, general ledger, account management, anti-money-laundering, risk control and credit card system. Whether traditional or online banking, CLPS has a wide array of business modules at its disposal.</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Credit Card Area</w:t>
      </w:r>
    </w:p>
    <w:p>
      <w:pPr>
        <w:spacing w:after="0" w:line="160"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 w:name="page6"/>
    <w:bookmarkEnd w:id="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39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credit card platforms because many of such institutions experience shortage of qualified personnel and resources. 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 Our highly experienced team possesses the requisite expertise in providing service in the credit card area. The IT consulting professional teams provides service in the credit card area from Shanghai, Dalian and Hong Kong. We offer this experience and expertise in various currencies, across different geographical regions, including, but not limited to China, Singapore, UK, Philippines, Indonesia, and Latin America. In addition, we have developed a series of credit card solutions in order to meet the needs of our clients better.</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Core Banking Area</w:t>
      </w:r>
    </w:p>
    <w:p>
      <w:pPr>
        <w:spacing w:after="0" w:line="16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integrated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Wealth Management</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 this prospectus, “wealth management” refers to the segments of financial industry except banking, including but not limited to investment banking, funds, insurance, securities, futures, clearing, consumer financing, online financing, and supply chain financing. CLPS has in-depth industry knowledge and solutions in the field of wealth management, and constantly develops and innovates according to the needs of clients.</w:t>
      </w:r>
    </w:p>
    <w:p>
      <w:pPr>
        <w:spacing w:after="0" w:line="11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In the past years, we have successfully developed and managed a variety of IT systems for Chinese and global clients, including the development of asset management system, core insurance system, pension system for well-known international investment bank, large international insurance group, and leading asset management corporation. We also provided development, operation, and maintenance for data analysis and business management systems of China’s national financial information platform, China’s national clearing house, stock exchange, and several large security institutions in China. In addition, we have developed mobile terminal for multiple comprehensive financial service providers and consumer finance platforms both in China and globally.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E-Commerce</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By constantly improving our capabilities, we have gradually extended our main service offerings from banking and financial institutions to e-Commerce industry. We have rapidly developed and accumulated certain skills in online platforms, cross-border e-commerce, logistics, and back-end technology such as big data analysis, and intelligent decision-making among others. In the past years, we have successfully provided IT system development delivery for domestic and international clients, including a global online trading project for a top US e-Commerce company. We have also developed the global terminal, payment, and risk control system for a well-known online ticketing website. In addition, CLPS has developed the website and product market data analysis for a leading and international travel e-commerce platform, and the e-Commerce platform for a large investment holding group in China.</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76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With the extensive experience of CLPS in the IT services application in the financial and e-commerce industries, and its innovative implementation of cutting-edge technology such as big data, artificial intelligence and robotic process automation (RPA), it has also extended its business to automotive industry.</w:t>
      </w:r>
    </w:p>
    <w:p>
      <w:pPr>
        <w:spacing w:after="0" w:line="10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There is a high demand of intelligent technology application in automobile industry in the recent years. Aside from providing internal management system development for several international automobile enterprises, we also get deeply involved in the development of autonomous driving, automatic control, and other AI-driven technology projects with several major clients. This includes the development of a new-energy vehicle intelligent platform for a large automotive group company in China and a car’s multimedia software for a Chinese automotive information system company. Moreover, we also provide development of internet auto finance platform for several Chinese enterprises.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w:t>
      </w:r>
    </w:p>
    <w:p>
      <w:pPr>
        <w:spacing w:after="0" w:line="14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Revenues from consulting services are recognized from time-and-expense basis contracts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16"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We provide consulting services to our clients in the banking, wealth management, e-commerce, and automotive industries, among others.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Solution Services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0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CLPS provides customized solution services to our clients in the banking, wealth management, e-commerce, and automotive industries, among others.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Other Services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CLPS Virtual Banking Platform (CLB)</w:t>
      </w:r>
    </w:p>
    <w:p>
      <w:pPr>
        <w:spacing w:after="0" w:line="16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CLB is a unique and successful training platform for IT talents owned by CLPS. For more than ten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Recruitment and Headhunting</w:t>
      </w:r>
    </w:p>
    <w:p>
      <w:pPr>
        <w:spacing w:after="0" w:line="16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As per client’s request, we are capable of providing the most suitable person for a position. The Company maintains more than 100 talent acquisition staff with rich industry background and knowledge. Our recruitment centers are well equipped of advanced technology, such as cloud platforms, big data, and robotic process automation (RPA), to accelerate the talent acquisition process. As a result, CLPS obtains qualified talent, reduce talent acquisition costs, meet the growing demands of talent from its existing and potential clients, and achieve meaningful growth.</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79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7479030"/>
                    </a:xfrm>
                    <a:prstGeom prst="rect">
                      <a:avLst/>
                    </a:prstGeom>
                    <a:noFill/>
                  </pic:spPr>
                </pic:pic>
              </a:graphicData>
            </a:graphic>
          </wp:anchor>
        </w:drawing>
      </w:r>
    </w:p>
    <w:p>
      <w:pPr>
        <w:spacing w:after="0" w:line="3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Fee-For-Service Training</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Under the fee-for-service training, we incur charges for clients based on their training needs. Generally, it includes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However, the training content and approach can be customized based on the client’s training needs.</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a more detailed description of our products see our Annual Report for the year ended June 30,</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2020.</w:t>
      </w:r>
    </w:p>
    <w:p>
      <w:pPr>
        <w:spacing w:after="0" w:line="2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left="540" w:right="559" w:firstLine="432"/>
        <w:spacing w:after="0" w:line="251" w:lineRule="auto"/>
        <w:rPr>
          <w:sz w:val="20"/>
          <w:szCs w:val="20"/>
          <w:color w:val="auto"/>
        </w:rPr>
      </w:pPr>
      <w:r>
        <w:rPr>
          <w:rFonts w:ascii="Times New Roman" w:cs="Times New Roman" w:eastAsia="Times New Roman" w:hAnsi="Times New Roman"/>
          <w:sz w:val="18"/>
          <w:szCs w:val="18"/>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believe resource management and planning is critically important to supporting our growth, and we are committed to effectively recruiting, training, developing and retaining our human capital. Our total number of employees has grown from 2,085 employees in fiscal 2019 to 2,746 employees as of June 30, 2020. Approximately 66.5%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 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53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775335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12" w:lineRule="exact"/>
        <w:rPr>
          <w:sz w:val="20"/>
          <w:szCs w:val="20"/>
          <w:color w:val="auto"/>
        </w:rPr>
      </w:pPr>
    </w:p>
    <w:p>
      <w:pPr>
        <w:jc w:val="both"/>
        <w:ind w:left="720" w:right="10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Common shares offered by us pursuant to this prospectus supplement:</w:t>
      </w:r>
    </w:p>
    <w:p>
      <w:pPr>
        <w:spacing w:after="0" w:line="144" w:lineRule="exact"/>
        <w:rPr>
          <w:sz w:val="20"/>
          <w:szCs w:val="20"/>
          <w:color w:val="auto"/>
        </w:rPr>
      </w:pPr>
    </w:p>
    <w:p>
      <w:pPr>
        <w:ind w:left="720" w:right="300" w:hanging="179"/>
        <w:spacing w:after="0" w:line="303" w:lineRule="auto"/>
        <w:rPr>
          <w:sz w:val="20"/>
          <w:szCs w:val="20"/>
          <w:color w:val="auto"/>
        </w:rPr>
      </w:pPr>
      <w:r>
        <w:rPr>
          <w:rFonts w:ascii="Times New Roman" w:cs="Times New Roman" w:eastAsia="Times New Roman" w:hAnsi="Times New Roman"/>
          <w:sz w:val="17"/>
          <w:szCs w:val="17"/>
          <w:b w:val="1"/>
          <w:bCs w:val="1"/>
          <w:color w:val="auto"/>
        </w:rPr>
        <w:t>Common shares to be outstanding immediately after this offering</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b w:val="1"/>
          <w:bCs w:val="1"/>
          <w:color w:val="auto"/>
        </w:rPr>
        <w:t>Concurrent private placement: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2,666,666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19,024,095</w:t>
      </w:r>
    </w:p>
    <w:p>
      <w:pPr>
        <w:spacing w:after="0" w:line="198" w:lineRule="exact"/>
        <w:rPr>
          <w:sz w:val="20"/>
          <w:szCs w:val="20"/>
          <w:color w:val="auto"/>
        </w:rPr>
      </w:pPr>
    </w:p>
    <w:p>
      <w:pPr>
        <w:jc w:val="both"/>
        <w:ind w:right="579"/>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for global expansion, research and development, talent development, general corporate and working capital purposes. See “Use of Proceeds” on page S-10 of this prospectus supplement.</w:t>
      </w:r>
    </w:p>
    <w:p>
      <w:pPr>
        <w:spacing w:after="0" w:line="153"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In a concurrent private placement, we are selling to the purchasers of common shares in this offering warrants to purchase up to 100% of the number of shares of our common shares purchased by such investors in this offering, or up to 2,666,666 warrants. We will receive gross proceeds from the concurrent private placement transaction solely to the extent such warrants are exercised for cash. The warrants will be exercisable beginning on March 3, 2021 an exercise price of $6.00 per share and will expire on September 3, 2026 (the date that is five years and six months from the issuance date). At any time after the six month anniversary of the issuance date of the warrants the holder may exercise the warrants in whole or in part on a cashless basis if a registration statement and current prospectus, covering the resale of the common shares issuable upon exercise of the warrants, is not available. The warrants and the common shares issuable upon the exercise of the warrants are not being offered pursuant to this prospectus supplement and the accompanying prospectus and are being offered pursuant to the exemption provided in Section 4(a)(2) under the Securities Act and Rule 506(b) of Regulation D promulgated thereunder. See “Private Placement Transaction and Warrants” beginning on page S-14 of this prospectus supplement.</w:t>
      </w:r>
    </w:p>
    <w:p>
      <w:pPr>
        <w:spacing w:after="0" w:line="157" w:lineRule="exact"/>
        <w:rPr>
          <w:sz w:val="20"/>
          <w:szCs w:val="20"/>
          <w:color w:val="auto"/>
        </w:rPr>
      </w:pPr>
    </w:p>
    <w:p>
      <w:pPr>
        <w:sectPr>
          <w:pgSz w:w="11900" w:h="16838" w:orient="portrait"/>
          <w:cols w:equalWidth="0" w:num="2">
            <w:col w:w="2920" w:space="500"/>
            <w:col w:w="5599"/>
          </w:cols>
          <w:pgMar w:left="1440" w:top="270" w:right="1440" w:bottom="1440" w:gutter="0" w:footer="0" w:header="0"/>
          <w:type w:val="continuous"/>
        </w:sect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b w:val="1"/>
          <w:bCs w:val="1"/>
          <w:color w:val="auto"/>
        </w:rPr>
        <w:t>Transfer agent and registrar:</w:t>
      </w:r>
      <w:r>
        <w:rPr>
          <w:sz w:val="20"/>
          <w:szCs w:val="20"/>
          <w:color w:val="auto"/>
        </w:rPr>
        <w:tab/>
      </w:r>
      <w:r>
        <w:rPr>
          <w:rFonts w:ascii="Times New Roman" w:cs="Times New Roman" w:eastAsia="Times New Roman" w:hAnsi="Times New Roman"/>
          <w:sz w:val="17"/>
          <w:szCs w:val="17"/>
          <w:color w:val="auto"/>
        </w:rPr>
        <w:t>Continental Stock Transfer &amp; Trust</w:t>
      </w:r>
    </w:p>
    <w:p>
      <w:pPr>
        <w:spacing w:after="0" w:line="198"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Investing in our securities involves a high degree of risk. For a</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discussion of factors you should consider carefully before deciding to</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invest in our common shares, see the information contained in or</w:t>
      </w:r>
    </w:p>
    <w:p>
      <w:pPr>
        <w:spacing w:after="0" w:line="9" w:lineRule="exact"/>
        <w:rPr>
          <w:sz w:val="20"/>
          <w:szCs w:val="20"/>
          <w:color w:val="auto"/>
        </w:rPr>
      </w:pPr>
    </w:p>
    <w:p>
      <w:pPr>
        <w:ind w:left="3420"/>
        <w:spacing w:after="0"/>
        <w:tabs>
          <w:tab w:leader="none" w:pos="4460" w:val="left"/>
          <w:tab w:leader="none" w:pos="4800" w:val="left"/>
          <w:tab w:leader="none" w:pos="5620" w:val="left"/>
          <w:tab w:leader="none" w:pos="6180" w:val="left"/>
          <w:tab w:leader="none" w:pos="6540" w:val="left"/>
          <w:tab w:leader="none" w:pos="7260" w:val="left"/>
          <w:tab w:leader="none" w:pos="7820" w:val="left"/>
        </w:tabs>
        <w:rPr>
          <w:sz w:val="20"/>
          <w:szCs w:val="20"/>
          <w:color w:val="auto"/>
        </w:rPr>
      </w:pPr>
      <w:r>
        <w:rPr>
          <w:rFonts w:ascii="Times New Roman" w:cs="Times New Roman" w:eastAsia="Times New Roman" w:hAnsi="Times New Roman"/>
          <w:sz w:val="18"/>
          <w:szCs w:val="18"/>
          <w:color w:val="auto"/>
        </w:rPr>
        <w:t>incorporated</w:t>
        <w:tab/>
        <w:t>by</w:t>
        <w:tab/>
        <w:t>reference</w:t>
        <w:tab/>
        <w:t>under</w:t>
        <w:tab/>
        <w:t>the</w:t>
        <w:tab/>
        <w:t>heading</w:t>
        <w:tab/>
        <w:t>“Risk</w:t>
        <w:tab/>
        <w:t>Factors”</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beginning on page S-6 of this prospectus supplement, on page 5 of</w:t>
      </w:r>
    </w:p>
    <w:p>
      <w:pPr>
        <w:spacing w:after="0" w:line="9" w:lineRule="exact"/>
        <w:rPr>
          <w:sz w:val="20"/>
          <w:szCs w:val="20"/>
          <w:color w:val="auto"/>
        </w:rPr>
      </w:pPr>
    </w:p>
    <w:p>
      <w:pPr>
        <w:ind w:left="3420"/>
        <w:spacing w:after="0"/>
        <w:tabs>
          <w:tab w:leader="none" w:pos="3780" w:val="left"/>
          <w:tab w:leader="none" w:pos="5000" w:val="left"/>
          <w:tab w:leader="none" w:pos="5980" w:val="left"/>
          <w:tab w:leader="none" w:pos="6420" w:val="left"/>
          <w:tab w:leader="none" w:pos="6720" w:val="left"/>
          <w:tab w:leader="none" w:pos="7120" w:val="left"/>
          <w:tab w:leader="none" w:pos="7660" w:val="left"/>
        </w:tabs>
        <w:rPr>
          <w:sz w:val="20"/>
          <w:szCs w:val="20"/>
          <w:color w:val="auto"/>
        </w:rPr>
      </w:pPr>
      <w:r>
        <w:rPr>
          <w:rFonts w:ascii="Times New Roman" w:cs="Times New Roman" w:eastAsia="Times New Roman" w:hAnsi="Times New Roman"/>
          <w:sz w:val="18"/>
          <w:szCs w:val="18"/>
          <w:color w:val="auto"/>
        </w:rPr>
        <w:t>the</w:t>
        <w:tab/>
        <w:t>accompanying</w:t>
        <w:tab/>
        <w:t>prospectus,</w:t>
        <w:tab/>
        <w:t>and</w:t>
        <w:tab/>
        <w:t>in</w:t>
        <w:tab/>
        <w:t>the</w:t>
        <w:tab/>
        <w:t>other</w:t>
        <w:tab/>
        <w:t>documents</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incorporated by reference into this prospectus supplement.</w:t>
      </w:r>
    </w:p>
    <w:p>
      <w:pPr>
        <w:spacing w:after="0" w:line="176" w:lineRule="exact"/>
        <w:rPr>
          <w:sz w:val="20"/>
          <w:szCs w:val="20"/>
          <w:color w:val="auto"/>
        </w:rPr>
      </w:pPr>
    </w:p>
    <w:p>
      <w:pPr>
        <w:ind w:left="540"/>
        <w:spacing w:after="0"/>
        <w:tabs>
          <w:tab w:leader="none" w:pos="3400" w:val="left"/>
        </w:tabs>
        <w:rPr>
          <w:sz w:val="20"/>
          <w:szCs w:val="20"/>
          <w:color w:val="auto"/>
        </w:rPr>
      </w:pPr>
      <w:r>
        <w:rPr>
          <w:rFonts w:ascii="Times New Roman" w:cs="Times New Roman" w:eastAsia="Times New Roman" w:hAnsi="Times New Roman"/>
          <w:sz w:val="18"/>
          <w:szCs w:val="18"/>
          <w:b w:val="1"/>
          <w:bCs w:val="1"/>
          <w:color w:val="auto"/>
        </w:rPr>
        <w:t>Nasdaq Market Symbol:</w:t>
      </w:r>
      <w:r>
        <w:rPr>
          <w:sz w:val="20"/>
          <w:szCs w:val="20"/>
          <w:color w:val="auto"/>
        </w:rPr>
        <w:tab/>
      </w:r>
      <w:r>
        <w:rPr>
          <w:rFonts w:ascii="Times New Roman" w:cs="Times New Roman" w:eastAsia="Times New Roman" w:hAnsi="Times New Roman"/>
          <w:sz w:val="17"/>
          <w:szCs w:val="17"/>
          <w:color w:val="auto"/>
        </w:rPr>
        <w:t>CLPS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980" w:right="559" w:hanging="436"/>
        <w:spacing w:after="0" w:line="281" w:lineRule="auto"/>
        <w:tabs>
          <w:tab w:leader="none" w:pos="101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common shares to be outstanding immediately after this offering is based on 16,357,429 common shares outstanding as of February 28, 2021, and excludes, as of such date 2,666,666 common shares issuable upon exercise of the warrants offered in the simultaneous private placement.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Before you make a decision to invest in our securities, you should consider carefully the risks described below, together with other information in this prospectus supplement, the accompanying prospectus and the information incorporated by reference herein and therein. If any of the following events actually occur, our business, operating results, prospects or financial condition could be materially and adversely affected. This could cause the trading price of our common shares to decline and you may lose all or part of your investment. The risks described below are not the only ones that we face. Additional risks not presently known to us or that we currently deem immaterial may also significantly impair our business operations and could result in a complete loss of your investment.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may be materially adversely affected by global health epidemics, including the recent COVID-19 outbreak.</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December 2019, the 2019 novel coronavirus (COVID-19) surfaced in Wuhan, China. The World Health Organization declared a global emergency on January 30, 2020 with respect to the outbreak then characterized it as a pandemic on March 11, 2020. The outbreak has spread throughout Europe and the Middle East, and there have been many cases of COVID-19 in Canada and the United States, causing companies and various international jurisdictions to impose restrictions, such as quarantines, closures, cancellations and travel restrictions. While these effects are expected to be temporary, the duration of the business disruptions internationally and related financial impact cannot be reasonably estimated at this time. Similarly, we cannot estimate whether or to what extent this outbreak and potential financial impact may extend to countries outside of those currently impacted. At this point, the extent to which the coronavirus may impact our results is uncertain; however, it is possible that our consolidated results in 2021 may be negatively impacted by this event. The impacts of the outbreak are unknown and rapidly evolving.</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Since our management will have broad discretion in how we use the proceeds from this offering, we may use the proceeds in ways with which you disagree.</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allocated specific amounts of the net proceeds from this offering for any specific purpose. Accordingly, our management will have significant flexibility in applying the net proceeds of this offering. You will be relying on the judgment of our management with regard to the use of these net proceeds, and you will not have the opportunity, as part of your investment decision, to influence how the proceeds are being used.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audit report included in our annual report and which is incorporated by reference into this prospectus is prepared by an auditor who is not inspected by the Public Company Accounting Oversight Board, and as such, you are deprived of the benefits of such inspection.</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 included in our annual report which is incorporated by reference into this prospectus, as auditors of companies that are traded publicly in the United States and a firm registered with the Public Company Accounting Oversight Board, or the PCAOB, is required by the laws of the United States to undergo regular inspections by the PCAOB to assess its compliance with the laws of the United States and professional standards. Since our auditors are located in China, a jurisdiction where the PCAOB is currently unable to conduct inspections without the approval of the Chinese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an issue that has vexed U.S. regulators in recent years. However, it remains unclear what further actions the SEC and PCAOB will take to address the problem.</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part of a continued regulatory focus in the United States on access to audit and other information currently restricted by China’s own law,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such as the NYSE of issuers included on the SEC’s list for three consecutive years. In addition, the Holding Foreign Companies Accountable Act (the “HFCA Act”) became law in December 2020. The HFCA Act includes requirements for the SEC to identify issuers whose audit work is performed by auditors that the PCAOB is unable to inspect or investigate completely because of a restriction imposed by a non-U.S. authority in the auditor’s local jurisdiction. The HFCA Act also requires that, to the extent that the PCAOB has been unable to inspect an issuer’s auditor for three consecutive years since 2021, the SEC shall prohibit its securities registered in the United States from being traded on any national securities exchange or over-the-counter markets in the United States. Enactment of these pieces of legislation or other efforts to increase U.S. regulatory access to audit information could cause investor uncertainty for affected issuers, including us, and the market price of our shares could be adversely affected. Furthermore, there has been recent media reports on deliberations within the U.S. government regarding potentially limiting or restricting China-based companies from accessing U.S. capital markets. If any such deliberations should materialize, the resulting legislation may have material and adverse impact on the stock performance of China-based issuers listed in the United States including us.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and practices of accounting firms in China with respect to their audit work of U.S. reporting companies. Inspections of other accounting firms that the PCAOB has conducted have identified deficiencies in those firms’ audit procedures and quality control procedures, which may be addressed as part of the inspection process to improve future audit quality. The lack of PCAOB inspections of audit work undertaken in China prevents the PCAOB from regularly evaluating our auditor’s audits and its quality control procedures. As a result, investors of our ordinary shares do not derive the benefits of PCAOB inspections, and may lose confidence in our reported financial information and procedures and the quality of our financial statements.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our common shares, whether by us or our shareholders, could cause our stock price to decline.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our existing shareholders sell, or indicate an intent to sell, substantial amounts of our common shares in the public market, the trading price of our common shares could decline significantly. Similarly, the perception in the public market that our shareholders might sell shares of our common stock could also depress the market price of our common shares. A decline in the price of shares of our common stock might impede our ability to raise capital through the issuance of additional shares of our common shares or other equity securities. In addition, the issuance and sale by us of additional shares of our common shares or securities convertible into or exercisable for shares of our common shares, or the perception that we will issue such securities, could reduce the trading price for our common stock as well as make future sales of equity securities by us less attractive or not feasible. The sale of common shares issued upon the exercise of our outstanding options and warrants could further dilute the holdings of our then existing shareholders.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You will experience immediate dilution in the book value per share of the common shares you purchase.</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Because the price per share of our common shares being offered is substantially higher than the book value per share of our common shares, you will suffer substantial dilution in the net tangible book value of the common shares you purchase in this offering. Based on an offering price of $6.00 per share, after deducting estimated offering commissions and expenses, the net tangible book value of the common shares per share as of June 30, 2020 would have been $2.16 per share. If you purchase common shares in this offering, you will suffer dilution of $3.84 per share in the net tangible book value of the common stock.</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publish inaccurate or unfavorable research about our business, the market price for our common shares and trading volume could decline.</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You may experience future dilution as a result of future equity offerings or other equity issuances.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may in the future issue additional shares of our common shares or other securities convertible into or exchangeable for shares of our common shares. We cannot assure you that we will be able to sell shares of our common shares or other securities in any other offering or other transactions at a price per share that is equal to or greater than the price per share paid by investors in this offering. The price per share at which we sell additional shares of our common shares or other securities convertible into or exchangeable for our common shares in future transactions may be higher or lower than the price per share in this offering.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market price for our shares may be volatile.</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27" w:lineRule="exact"/>
        <w:rPr>
          <w:sz w:val="20"/>
          <w:szCs w:val="20"/>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users, or our industry;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uncertainties with regard to our variable interest entity arrangements;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our service offerings or those of our competitors;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and service offerings, acquisitions, strategic relationships, joint ventures or capital commitments;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or our industry;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common shares;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common shares.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We have not paid and do not intend to pay dividends on our common shares. Investors in this offering may never obtain a return on their investment.</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not paid dividends on our common shares since inception, and do not intend to pay any dividends on our common shares in the foreseeable future. We intend to reinvest earnings, if any, in the development and expansion of our business. Accordingly, you will need to rely on sales of your common shares after price appreciation, which may never occur, in order to realize a return on your investment.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There is no public market for the warrants.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being offered in this offering and we do not expect a market to develop. In addition, we do not intend to apply for listing of the warrants on any securities exchange or automated quotation system. Without an active market, investors in this offering may be unable to readily sell the warrants.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exercise price of the warrants may exceed the market price of our common shares.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Each warrant has an exercise price of $6.00 per share of our common shares. If the market price of our common shares does not exceed the exercise price of the warrants during the period in which the warrants are exercisable, the warrants may not have any value.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warrants may be dilutive to holders of our common shares.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ownership interest of the existing holders of our common shares will be diluted to the extent the warrants are exercised. The shares of our common shares underlying the warrants represented approximately 12.3% of our common shares outstanding as of February 28, 2021 (assuming that the total common shares outstanding includes the 2,666,666 offered pursuant to this prospectus supplement and the 2,666,666 common shares issuable upon exercise of the warrants).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$14.7 million, after deducting the placement agent fees and the estimated offering expenses payable by us.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for global expansion, research and development, talent development, general corporate and working capital purposes; provided, however, that none of such proceeds will be used, directly or indirectly: (i) for the satisfaction of any of our debt (other than the payment of trade payables in our ordinary course of business and consistent with prior practices), (ii) for the redemption of any of our securities; (iii) with respect to any litigation involving us (including, without limitation, (x) any settlement thereof or (y) the payment of any costs or expenses related thereto); or (iv) funding potential acquisitions.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amounts and timing of our use of proceeds will vary depending on a number of factors, including the amount of cash generated or used by our operations, and the rate of growth, if any, of our business. As a result, we will retain broad discretion in the allocation of the net proceeds of this offering. In addition, while we have not entered into any agreements, commitments or understandings relating to any significant transaction as of the date of this prospectus supplement, we may use a portion of the net proceeds to pursue acquisitions, joint ventures and other strategic transactions.</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issuable upon exercise of the warrants that we are offering in the current private placement unless and until such warrants are exercised. If the warrants are fully exercised for cash, we will receive additional proceeds of up to approximately $16 million.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shares. We anticipate that we will retain any earnings to support operations and to finance the growth and development of our business. Therefore, we do not expect to pay cash dividends in the foreseeable future. Any future determination relating to our dividend policy will be made at the discretion of our board of directors and will depend on a number of factors, including future earnings, capital requirements, financial conditions and future prospects and other factors the board of directors may deem relevant.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2020:</w:t>
      </w:r>
    </w:p>
    <w:p>
      <w:pPr>
        <w:spacing w:after="0" w:line="158" w:lineRule="exact"/>
        <w:rPr>
          <w:sz w:val="20"/>
          <w:szCs w:val="20"/>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issuance and sale of 2,666,666 common shares at the offering price of $6.00 per share, after deducting placement agent fees and expenses and estimated offering expenses payable by 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June 30, 2020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bank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22,554</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Shareholders’Equity:</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15,930,330 shares issued and outstanding, and 18,596,996 shares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adjusted, 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28,586,048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43,325,742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2,803,811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2,803,811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(2,680,143)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(2,680,143)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(1,362,665)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(1,362,665)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CLPS Incorporation’s Shareholders’ Equity</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27,348,644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42,088,605</w:t>
            </w: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1,268,716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28,617,360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43,357,321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28,639,914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43,379,875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any potential proceeds from the exercise of warrants issued in the simultaneous private placement at an exercise price of $6.00.</w:t>
      </w:r>
    </w:p>
    <w:p>
      <w:pPr>
        <w:spacing w:after="0" w:line="7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number of issued and outstanding shares as of June 30, 2020 in the table above excludes, as of such date, 2,666,666 common shares issuable upon exercise of the warrants offered in the simultaneous private placement.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invest in our common shares and warrants in this offering, your interest will be diluted immediately to the extent of the difference between the offering price per share of common shares you will pay in this offering and the as adjusted net tangible book value per share of our common shares after giving effect to this offering. Our historical net tangible book value as of June 30, 2020 was $25,354,081, or $1.59 per share of common shares. Historical net tangible book value per share represents the amount of our total tangible assets less total liabilities, divided by the number of shares of our common shares outstanding on June 30, 2020.</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4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June 30, 2020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attributable to new investors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r>
      <w:tr>
        <w:trPr>
          <w:trHeight w:val="25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56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4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giving effect to the assumed sale of our common shares in the aggregate amount of $15,999,996 in this offering at an assumed offering price of $6.00 per share, and after deducting estimated offering commissions and expenses payable by us, our net tangible book value as of June 30, 2020 would have been approximately $40,094,042, or $2.16 per share. This represents an immediate increase in as adjusted net tangible book value per share of $0.57 to existing stockholders and immediate decrease (dilution) of $3.84 per share in as adjusted net tangible book value per share to new investors participating in this offering. The table above illustrates this per share dilution to investors participating in this offering:</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15,930,330 shares of our common shares outstanding as of June 30, 2020 and excludes 2,666,666 shares underlying the warrants issuable in the offering.</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To the extent that any options are exercised, new options are issued under our 2017 Equity Incentive Plan, 2019 Equity Incentive Plan and 2020 Equity Incentive Plan or we otherwise issue additional common shares in the future at a price less than the offering price, there may be further dilution to new investors purchasing common shares in this offering.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SECURITIES WE ARE OFFERING</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are offering 2,666,666 shares of our common shares pursuant to this prospectus supplement and the accompanying prospectus. The material terms and provisions of our common shares are described under the caption “Description of Common Shares” beginning on page 9 of the accompanying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TRANSACTION OF WARRANTS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Concurrently with the sale of common shares in this offering, we also expect to issue and sell to the investors in this offering warrants to purchase up to an aggregate of 2,666,666 common shares at an initial exercise price equal to $6.00 per share (the “Warrants”). The exercise price of the Warrants is subject to certain adjustments in the event of (1) payment of a dividend or other distribution on any class of capital stock that is payable in common shares; (2) subdivisions of outstanding common shares into a larger number of shares; or (3) combinations of outstanding common shares into a smaller number of shares.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Each Warrant shall be exercisable beginning on March 3, 2021 and has a term of exercise equal to five years and six months from the date of issuance. Subject to limited exceptions, a holder of Warrants will not have the right to exercise any portion of its Warrants if the holder, together with its affiliates, would beneficially own in excess of 9.99% of the number of shares of our common shares outstanding immediately after giving effect to such exercise. At any time after the six-month anniversary of the closing date, or September 3, 2021, if a registration statement and current prospectus covering the resale of the common shares issuable upon exercise of the Warrants is not available, the holder may exercise the Warrants in whole or in part on a cashless basis.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at any time while the Warrants are outstanding: (1) we consolidate or merge with or into another entity in which the Company is not the surviving entity; (2) we sell, lease, assign, convey or otherwise transfer all or substantially all of our assets; (3) any tender offer or exchange offer (whether completed by us or a third party) is completed pursuant to which holders of a majority of our outstanding common shares tender or exchange their shares for securities, cash or other property; (4) we effect any reclassification of our common shares or compulsory share exchange pursuant to which outstanding shares of common shares are converted or exchanged for other securities, cash or property; or (5) any transaction is consummated whereby any person or entity acquires more than 50% of our outstanding common shares (each, a “Fundamental Transaction”), then upon any subsequent exercise of a Warrant, the holder thereof will have the right to receive the same amount and kind of securities, cash or other property as it would have been entitled to receive upon the occurrence of such Fundamental Transaction if it had been, immediately prior to such Fundamental Transaction, the holder of the number of shares then issuable upon exercise of the Warrant.</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at any time while the Warrants are outstanding, we declare or make any dividend or other distribution of our assets (or rights to acquire our assets) to holders of our common shares, by way of return of capital or otherwise, then each holder of a Warrant shall be entitled to participate in such distribution to the same extent that the holder would have participated therein if the holder had held the number of common shares acquirable upon complete exercise of the Warrant immediately prior to the record date for such distribution. To the extent that Warrant has not been partially or completely exercised at the time of such distribution, such portion of the distribution shall be held in abeyance for the benefit of the Holder until the Holder has exercised the Warrant. The Warrant does not otherwise entitle the holder to any voting rights, dividends or other rights as a shareholder of the Company prior to the exercise thereof as set forth in the Warrant agreement.</w:t>
      </w:r>
    </w:p>
    <w:p>
      <w:pPr>
        <w:spacing w:after="0" w:line="121"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If at any time while the Warrants are outstanding we grant, issue or sell any securities convertible, exercisable or exchangeable for common shares or rights to purchase stock, warrants, securities or other property pro rata to the record holders of our common shares (“Purchase Rights”), then each holder of a Warrant will be entitled to acquire, upon the terms applicable to such Purchase Rights, the aggregate Purchase Rights which such holder could have acquired if such holder had held the number of common shares acquirable upon complete exercise of the Warrant immediately prior to the date on which a record is taken for the grant, issuance or sale of such Purchase Rights, or, if no such record is taken, the date as of which the record holders of common shares are to be determined for the grant, issue or sale of such Purchase Rights. To the extent that the Warrant has not been partially or completely exercised at the time of such grant, issuance or sale of the Purchase Rights, such Purchase Rights shall be held in abeyance for the benefit of the Holder until the Holder has exercised the Warrant; provided, however, that to the extent such Purchase Rights expire for the stockholders of the Company if not exercised, the Purchase Rights will also expire for the Warrant holder as of such date.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Warrants and the common shares issuable upon exercise of the Warrants will be issued and sold without registration under the Securities Act, or state securities laws, in reliance on the exemptions provided by Section 4(a)(2) of the Securities Act and/or Regulation D promulgated thereunder and in reliance on similar exemptions under applicable state laws. Accordingly, the investors may exercise the Warrants and sell the underlying common shares only pursuant to an effective registration statement under the Securities Act covering the resale of those shares, an exemption under Rule 144 under the Securities Act, or another applicable exemption under the Securities Act.</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agreed, on or prior to April 2, 2021, to file a registration statement on Form F-3, or such other form as may then be available to us, providing for the resale by the purchasers of the common shares issuable upon the exercise of the Warrants.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Pursuant to a placement agent engagement letter, dated February 23, 2021, we have engaged Maxim Group LLC, or the placement agent, to act as our exclusive placement agent in connection with (i) this offering of our common shares pursuant to this prospectus supplement and the accompanying prospectus, and (ii) the concurrent private placement of the Warrants. The Placement Agent is not purchasing or selling the common shares offered by this prospectus supplement, nor is the Placement Agent required to arrange the purchase or sale of any specific number or dollar amount of common shares, but has agreed to use its best efforts to arrange for the sale of all of the common shares offered hereby pursuant to this prospectus supplement and the accompanying prospectus. Under the terms of the placement agent engagement letter, the placement agent has agreed to be our exclusive placement agent, on a commercially reasonable best efforts basis, in connection with the issuance and sale by us of our common shares in this takedown from our shelf registration statement and the private placement of the Warrants. The terms of this offering were subject to market conditions and negotiations between us, the placement agent and prospective investors. The placement agent engagement letter does not give rise to any commitment by the placement agent to purchase any of our common shares or the Warrants, and the placement agent will have no authority to bind us by virtue of the placement agent engagement letter. Further, the placement agent does not guarantee that it will be able to raise new capital in any prospective offering.</w:t>
      </w:r>
    </w:p>
    <w:p>
      <w:pPr>
        <w:spacing w:after="0" w:line="12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entered into securities purchase agreements directly with investors in connection with this offering, and we will only sell to investors who have entered into securities purchase agreements.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expect to deliver the common shares being offered pursuant to this prospectus supplement, as well as the Warrants offered in the concurrent private placement, on or about March 3,2020, subject to customary closing conditions.</w:t>
      </w:r>
    </w:p>
    <w:p>
      <w:pPr>
        <w:spacing w:after="0" w:line="9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agreed to pay the placement agent a total cash fee equal to 7.0% of the gross proceeds of this offering. We have agreed to reimburse the placement agent for all travel and other out-of-pocket expenses, including the reasonable fees, costs and disbursements of its legal fees which shall be limited to, in the aggregate, $45,000. We estimate our total expenses associated with the offering, excluding placement agent fees and expenses, will be approximately $100,000.</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shows per share and total cash placement agent’s fees we will pay to the placement agent in connection with the sale of the common shares pursuant to this prospectus supplement and the accompanying prospectus assuming the purchase of all of the common shares offered hereby:</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6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15,999,996</w:t>
            </w: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w:t>
            </w:r>
            <w:r>
              <w:rPr>
                <w:rFonts w:ascii="Times New Roman" w:cs="Times New Roman" w:eastAsia="Times New Roman" w:hAnsi="Times New Roman"/>
                <w:sz w:val="20"/>
                <w:szCs w:val="20"/>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1,120,000</w:t>
            </w: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14,879,996</w:t>
            </w:r>
          </w:p>
        </w:tc>
      </w:tr>
      <w:tr>
        <w:trPr>
          <w:trHeight w:val="40"/>
        </w:trPr>
        <w:tc>
          <w:tcPr>
            <w:tcW w:w="5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After deducting certain fees and expenses due to the placement agent and our estimated offering expenses, we expect the net proceeds from this offering to be approximately $14.7 million.</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agreed in the securities purchase agreements that we will not issue any common shares (or common share equivalents) for a period of 60 days after the date of execution of the securities purchase agreement. In connection with this offering, each of our executive officers and directors holding more than 5% of our issued and outstanding securities have agreed, subject to certain exceptions set forth in the lock-up agreements, not to sell, offer to sell, contract or agree to sell, hypothecate, pledge, grant any option to purchase, make any short sale or otherwise dispose of or agree to dispose of, directly or indirectly, any shares of our common stock, or any securities convertible into or exercisable or exchangeable for shares of our common stock, for sixty (60) days from the closing of this offering without the prior written consent of the Placement Agent.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the offering is consummated, we have agreed to grant the placement agent a right of first refusal for a period of six (6) months from the date of the closing to act as a lead managing underwriter and lead left book runner or minimally as a co-lead manager and co-lead left book runner and/or co-lead left placement agent with at least 50% of the economics for any and all future equity, equity-linked or debt (excluding commercial bank debt) offerings of the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certain civil liabilities, including liabilities under the Securities Act, and the Securities Exchange Act of 1934, as amended, or the Exchange Act, and to contribute to payments that the placement agent may be required to make in respect of such liabilities.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2(a)(ll) of the Securities Act, and any commissions received by it, and any profit realized on the resale of the common shares and warrants sold by it while acting as principal, might be deemed to be underwriting discounts or commissions under the Securities Act. As an underwriter, the placement agent would be required to comply with the Securities Act and the Securities Exchange Act of 1934, as amended, or Exchange Act, including without limitation, Rule 10b-5 and Regulation M under the Exchange Act. These rules and regulations may limit the timing of purchases and sales of common shares and warrants by the placement agent acting as principal. Under these rules and regulations, the placement agent:</w:t>
      </w:r>
    </w:p>
    <w:p>
      <w:pPr>
        <w:spacing w:after="0" w:line="124" w:lineRule="exact"/>
        <w:rPr>
          <w:sz w:val="20"/>
          <w:szCs w:val="20"/>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bid for or purchase any of our securities, or attempt to induce any person to purchase any of our securities, other than as permitted under the Exchange Act, until it has completed its participation in the distribution in the securities offered by this prospectus supplement.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placement agent and its affiliates may have provided us and our affiliates in the past and may provide from time to time in the future certain commercial banking, fi</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ancial advisory, investment banking and other services for us and such affiliates in the ordinary course of their business, for which they have received and may continue to receive customary fees and commissions. In addition, from time to time, the placement agent and its affiliates may effect transactions for their own account or the account of customers, and hold on behalf of themselves or their customers, long or short positions in our debt or equity securities or loans, and may do so in the future. However, except as disclosed in this prospectus supplement, we have no present arrangements with the placement agent for any further services.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transfer agent and registrar for our common shares is Continental Stock &amp; Trust: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10004-1561. Our transfer agent’s phone number is 212-845-3256.</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common shares are quoted on the Nasdaq Stock Market under the trading symbol “CLPS”.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are the estimated offering expenses of the issuance and distribution of the securities being registered under the registration statement of which this prospectus forms a part, all of which will be paid by us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Registration Fee</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FINRA Fees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2,600*</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95,035</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79" w:hanging="426"/>
        <w:spacing w:after="0" w:line="272" w:lineRule="auto"/>
        <w:tabs>
          <w:tab w:leader="none" w:pos="10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amounts are estimated, except the Registration Fee of $1,939 covering the securities being offered by the Company under the registration statement on Form F-3 (File No. 333-231812) filed with the Commission with an effective date of June 20, 2019, of which this prospectus supplement forms a part, and the Financial Industry Regulatory Authority filing fee of $2,600, each of which was previously paid. We allocate the cost of these fees on an approximately pro-rata basis with each offering.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sale of the common shares offered hereby will be passed upon for us by Loeb &amp; Loeb LLP, New York, New York. Hunter Taubman Fischer &amp; Li LLC, New York, New York, is counsel to the placement agent in connection with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CLPS Incorporation appearing in CLPS Incorporation’s Annual Report on Form 20-F for the fiscal year ended June 30, 2020 have been audited by Ernst &amp; Young Hua Ming LLP., independent registered public accounting firm, as set forth in their report thereon included therein and incorporated herein by reference. Such consolidated financial statements have been incorporated herein by reference in reliance upon such reports given on the authority of such firms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3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Commission allows us to “incorporate by reference” into this prospectus the information we file with, and furnish to it, which means that we can disclose important information to you by referring you to those filed or furnished documents. The information incorporated by reference is considered to be a part of this prospectus. However, statements contained in this prospectus or in documents that we file with or furnish to the Commission and that are incorporated by reference into this prospectus will automatically update and supersede information contained in this prospectus, including information in previously filed or furnished documents or reports that have been incorporated by reference into this prospectus, to the extent the new information differs from or is inconsistent with the old information.</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documents we incorporate by reference are:</w:t>
      </w:r>
    </w:p>
    <w:p>
      <w:pPr>
        <w:spacing w:after="0" w:line="131" w:lineRule="exact"/>
        <w:rPr>
          <w:sz w:val="20"/>
          <w:szCs w:val="20"/>
          <w:color w:val="auto"/>
        </w:rPr>
      </w:pPr>
    </w:p>
    <w:p>
      <w:pPr>
        <w:ind w:left="1320" w:right="479" w:hanging="434"/>
        <w:spacing w:after="0" w:line="282" w:lineRule="auto"/>
        <w:tabs>
          <w:tab w:leader="none" w:pos="14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6">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June 30, 2020, filed with the SEC on October 22, 2020;</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report on </w:t>
      </w:r>
      <w:hyperlink r:id="rId37">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March 1, 2021;</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report on </w:t>
      </w:r>
      <w:hyperlink r:id="rId3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February 25, 2021;</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report on </w:t>
      </w:r>
      <w:hyperlink r:id="rId39">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December 28, 2020;</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report on </w:t>
      </w:r>
      <w:hyperlink r:id="rId40">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December 17, 2020;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shares set forth in our Registration Statement on </w:t>
      </w:r>
      <w:hyperlink r:id="rId4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22, 2018 (File No. 000-38505), including any amendments or reports filed for the purpose of updating such description.</w:t>
      </w:r>
    </w:p>
    <w:p>
      <w:pPr>
        <w:spacing w:after="0" w:line="81" w:lineRule="exact"/>
        <w:rPr>
          <w:rFonts w:ascii="Times New Roman" w:cs="Times New Roman" w:eastAsia="Times New Roman" w:hAnsi="Times New Roman"/>
          <w:sz w:val="18"/>
          <w:szCs w:val="18"/>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that we file with the Commission and reports on Form 6-K that we furnish to the Commission after the date of this prospectus supplement that state they are incorporated by reference into this prospectus supplement until we file a post-effective amendment indicating that the offering of the securities made by this prospectus supplement has been terminated. In all cases, you should rely on the later information over different information included in this prospectus supplement or the accompanying prospectus.</w:t>
      </w:r>
    </w:p>
    <w:p>
      <w:pPr>
        <w:spacing w:after="0" w:line="93" w:lineRule="exact"/>
        <w:rPr>
          <w:rFonts w:ascii="Times New Roman" w:cs="Times New Roman" w:eastAsia="Times New Roman" w:hAnsi="Times New Roman"/>
          <w:sz w:val="18"/>
          <w:szCs w:val="18"/>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supplement, the accompanying prospectus and any free writing prospectus. We have not authorized anyone to provide you with information that is different. If anyone provides you with different or inconsistent information, you should not rely on it. We are offering to sell our common shares only in jurisdictions where offers and sales are permitted. The information contained in or incorporated by reference in this document is accurate only as of the date such information was issued, regardless of the time of delivery of this prospectus supplement or any sale of our common shares.</w:t>
      </w:r>
    </w:p>
    <w:p>
      <w:pPr>
        <w:spacing w:after="0" w:line="108" w:lineRule="exact"/>
        <w:rPr>
          <w:rFonts w:ascii="Times New Roman" w:cs="Times New Roman" w:eastAsia="Times New Roman" w:hAnsi="Times New Roman"/>
          <w:sz w:val="18"/>
          <w:szCs w:val="18"/>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may obtain a copy of these filings, without charge, by writing or calling us at:</w:t>
      </w:r>
    </w:p>
    <w:p>
      <w:pPr>
        <w:spacing w:after="0" w:line="127" w:lineRule="exact"/>
        <w:rPr>
          <w:rFonts w:ascii="Times New Roman" w:cs="Times New Roman" w:eastAsia="Times New Roman" w:hAnsi="Times New Roman"/>
          <w:sz w:val="18"/>
          <w:szCs w:val="18"/>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rFonts w:ascii="Times New Roman" w:cs="Times New Roman" w:eastAsia="Times New Roman" w:hAnsi="Times New Roman"/>
          <w:sz w:val="18"/>
          <w:szCs w:val="18"/>
          <w:color w:val="auto"/>
        </w:rPr>
      </w:pPr>
    </w:p>
    <w:p>
      <w:pPr>
        <w:ind w:left="4000"/>
        <w:spacing w:after="0"/>
        <w:rPr>
          <w:sz w:val="20"/>
          <w:szCs w:val="20"/>
          <w:color w:val="auto"/>
        </w:rPr>
      </w:pPr>
      <w:r>
        <w:rPr>
          <w:rFonts w:ascii="Times New Roman" w:cs="Times New Roman" w:eastAsia="Times New Roman" w:hAnsi="Times New Roman"/>
          <w:sz w:val="18"/>
          <w:szCs w:val="18"/>
          <w:color w:val="auto"/>
        </w:rPr>
        <w:t>Rhon Galicha</w:t>
      </w:r>
    </w:p>
    <w:p>
      <w:pPr>
        <w:spacing w:after="0" w:line="9" w:lineRule="exact"/>
        <w:rPr>
          <w:rFonts w:ascii="Times New Roman" w:cs="Times New Roman" w:eastAsia="Times New Roman" w:hAnsi="Times New Roman"/>
          <w:sz w:val="18"/>
          <w:szCs w:val="18"/>
          <w:color w:val="auto"/>
        </w:rPr>
      </w:pPr>
    </w:p>
    <w:p>
      <w:pPr>
        <w:ind w:left="3580"/>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9" w:lineRule="exact"/>
        <w:rPr>
          <w:rFonts w:ascii="Times New Roman" w:cs="Times New Roman" w:eastAsia="Times New Roman" w:hAnsi="Times New Roman"/>
          <w:sz w:val="18"/>
          <w:szCs w:val="18"/>
          <w:color w:val="auto"/>
        </w:rPr>
      </w:pPr>
    </w:p>
    <w:p>
      <w:pPr>
        <w:ind w:left="3500"/>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9" w:lineRule="exact"/>
        <w:rPr>
          <w:rFonts w:ascii="Times New Roman" w:cs="Times New Roman" w:eastAsia="Times New Roman" w:hAnsi="Times New Roman"/>
          <w:sz w:val="18"/>
          <w:szCs w:val="18"/>
          <w:color w:val="auto"/>
        </w:rPr>
      </w:pPr>
    </w:p>
    <w:p>
      <w:pPr>
        <w:ind w:left="35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b w:val="1"/>
          <w:bCs w:val="1"/>
          <w:color w:val="auto"/>
        </w:rPr>
        <w:t>ir@clpsglobal.com</w:t>
      </w:r>
    </w:p>
    <w:p>
      <w:pPr>
        <w:spacing w:after="0" w:line="16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with the SEC under the Securities Act with respect to the common shares offered by this prospectus supplement. This prospectus supplement is part of that registration statement and does not contain all the information included in the registration statement.</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further information with respect to our common shares and us, you should refer to the registration statement, its exhibits and the material incorporated by reference therein. Portions of the exhibits have been omitted as permitted by the rules and regulations of the SEC. Statements made in this prospectus supplement and the accompanying prospectus as to the contents of any contract, agreement or other document referred to are not necessarily complete. In each instance, we refer you to the copy of the contracts or other documents filed as an exhibit to the registration statement, and these statements are hereby qualified in their entirety by reference to the contract or document.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114300</wp:posOffset>
            </wp:positionV>
            <wp:extent cx="2160270" cy="934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16027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US$40,000,000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2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CLPS Incorporation may offer and sell from time to time up to an aggregate of US$40,000,000 of common shares (issued separately or upon exercise of warrants), preferred shares, warrants, debt securities, rights, depositary shares and units of the Company’s securities. The specific terms of any securities offered will be described in supplements to this prospectus. You should read this prospectus and any applicable prospectus supplement carefully before you purchase our securities. This prospectus may not be used to offer securities unless accompanied by a prospectus supplement.</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The prospectus supplement for each offering of securities will describe in detail the plan of distribution. If underwriters, dealers and agents are used to sell these securities, we will name them and describe their compensation in a prospectus supplement.</w:t>
      </w:r>
    </w:p>
    <w:p>
      <w:pPr>
        <w:spacing w:after="0" w:line="11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Our outstanding shares are listed for trading on the NASDAQ Stock Market, or NASDAQ, under the symbol “CLPS”. On May 24, 2019, the closing price of our shares on the NASDAQ Stock Market was US$6.2 per share. </w:t>
      </w:r>
      <w:r>
        <w:rPr>
          <w:rFonts w:ascii="Times New Roman" w:cs="Times New Roman" w:eastAsia="Times New Roman" w:hAnsi="Times New Roman"/>
          <w:sz w:val="18"/>
          <w:szCs w:val="18"/>
          <w:b w:val="1"/>
          <w:bCs w:val="1"/>
          <w:color w:val="auto"/>
        </w:rPr>
        <w:t>There is currently no established trading market through which the securities, other than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 may be sold and purchasers may not be able to resell the securities purchased under this prospectus. This may affect the pricing of the securities in the secondary market, the transparency and availability of trading prices, the liquidity of the securities and the extent of issuer regulation.</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 long as the aggregate market value worldwide of our outstanding common equity held by non-affiliates, or public float, is less than US$75 million, the aggregate market value of securities sold by us under this prospectus during the period of 12 calendar months immediately preceding the date of sale may be no more than one-third of our public float. Our public float, as calculated in accordance with General Instruction I.B.5 of Form F-3, was approximately US$22.96 million as of May 24, 2019. We have not sold any securities pursuant to General Instruction I.B.5 of Form F-3 during the prior 12 calendar month period that ends on and includes the date of this prospectus.</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Prior to purchasing our securities, you should carefully consider the risk factors that will be described in any applicable prospectus supplement and the risk factors described in our filings with the Securities and Exchange Commission, or the SEC, as explained under the heading “Risk Factors” on page 5 of this prospectus.</w:t>
      </w:r>
    </w:p>
    <w:p>
      <w:pPr>
        <w:spacing w:after="0" w:line="10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securities commission of any state of the United States or any Canadian securities regulator has approved or disapproved the securities offered hereby or determined if this prospectus is truthful or complete. Any representation to the contrary is a criminal offence.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June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274320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ABOUT THIS PROSPECTUS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WHERE YOU CAN FIND MORE INFORMATION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DOCUMENTS INCORPORATED BY REFERENCE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SUMMARY</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CAUTIONARY STATEMENT REGARDING FORWARD-LOOKING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EXCHANGE RATE INFORMATION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PRICE RANGE OF COMMON SHARES AND TRADING MARKETS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DESCRIPTION OF COMMON SHARES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DESCRIPTION OF PREFERRED SHARES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DESCRIPTION OF WARRANTS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DESCRIPTION OF DEBT SECURITIES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DESCRIPTION OF RIGHTS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DESCRIPTION OF DEPOSITARY SHARES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DESCRIPTION OF UNITS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PLAN OF DISTRIBUTION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CERTAIN INCOME TAX CONSIDERATIONS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ENFORCEMENT OF CIVIL LIABILITIES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EXPERTS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3"/>
        </w:trPr>
        <w:tc>
          <w:tcPr>
            <w:tcW w:w="74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LEGAL MATTERS</w:t>
              </w:r>
            </w:hyperlink>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40"/>
        </w:trPr>
        <w:tc>
          <w:tcPr>
            <w:tcW w:w="7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SEC utilizing a “shelf” registration process. Under this shelf registration process, we may sell the securities described in this prospectus in one or more offerings up to a total dollar amount of initial aggregate offering price of US$40,000,000. This prospectus provides you with a general description of the securities that we may offer. Each time we sell securities under this process, we will provide a prospectus supplement that will contain specific information about the terms of that offering, including a description of any risks relating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Before investing in our securities, please carefully read both this prospectus and any prospectus supplement together with the documents incorporated by reference into this prospectus, as listed under “Documents Incorporated by Reference,” and the additional information described below under “Where You Can Find More Information.”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may sell securities to or through underwriters or dealers, and we may also sell securities directly to other purchasers or through agents. To the extent not described in this prospectus, the names of any underwriters, dealers, or agents employed by us in the sale of the securities covered by this prospectus, the principal amounts or number of shares or other securities, if any, to be purchased by such underwriters or dealers, and the compensation, if any, of such underwriters, dealers, or agents will be described in a prospectus supplement.</w:t>
      </w:r>
    </w:p>
    <w:p>
      <w:pPr>
        <w:spacing w:after="0" w:line="102"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Owning securities may subject you to tax consequences in the United States. This prospectus or any applicable prospectus supplement may not describe these tax consequences fully. You should read the tax discussion in any prospectus supplement with respect to a particular offering and consult your own tax advisor with respect to your own particular circumstances.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 prospectus supplement. We have not authorized anyone to provide you with different information. If anyone provides you with different or inconsistent information, you should not rely on it. The distribution or possession of this prospectus in or from certain jurisdictions may be restricted by law. This prospectus is not an offer to sell the securities and is not soliciting an offer to buy the securities in any jurisdiction where the offer or sale is not permitted or where the person making the offer or sale is not qualified to do so or to any person to whom it is not permitted to make such offer or sale. You should assume that the information contained in this prospectus and in any applicable prospectus supplement is accurate only as of the date on the front cover of this prospectus or prospectus supplement, as applicable, and the information incorporated by reference into this prospectus or any prospectus supplement is accurate only as of the date of the document incorporated by reference. Our business, financial condition, results of operations and prospects may have changed since that date.</w:t>
      </w:r>
    </w:p>
    <w:p>
      <w:pPr>
        <w:spacing w:after="0" w:line="12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company names, product names, trade names, trademarks and service marks of CLPS and other organizations, all of which are the property of their respective owners. We own or have rights to trademarks, service marks or trade names that we use in connection with the operation of our business. Solely for convenience, the trademarks, service marks, tradenames and copyrights referred to in this prospectus are listed without the ©, ® and TM symbols, but we will assert, to the fullest extent under applicable law, our rights or the rights of the applicable licensors to these trademarks, service marks and tradenames.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otherwise requires, references to “CLPS,” the “company,” “we,” “us” or “our” refer to CLPS Incorporation.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of which this prospectus forms a part. This prospectus does not contain all the information set out in the registration statement. For further information about us and the securities, please refer to the registration statement, including the exhibits to the registration statement. The exhibits to the registration statement provide more details of the matters discussed in this prospectus.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or the Exchange Act, and we file reports and other information with the SEC. You may read and copy any of our reports and other information at, and obtain copies upon payment of prescribed fees from, the Public Reference Room maintained by the SEC at 100 F Street, N.E., Washington, DC 20549. In addition, the SEC maintains a web site that contains reports and other information regarding registrants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public may obtain information on the operation of the Public Reference Room by calling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at 1-800-SEC-0330.</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certain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are also subject to the full informational requirements of the securities commissions in all provinces of Canada, and you are also invited to read and copy any reports, statements or other information, other than confidential filings, that we file with the Canadian provincial securities commissions. These filings are also electronically available from the Canadian System for Electronic Document Analysis and Retrieval at </w:t>
      </w:r>
      <w:r>
        <w:rPr>
          <w:rFonts w:ascii="Times New Roman" w:cs="Times New Roman" w:eastAsia="Times New Roman" w:hAnsi="Times New Roman"/>
          <w:sz w:val="18"/>
          <w:szCs w:val="18"/>
          <w:i w:val="1"/>
          <w:iCs w:val="1"/>
          <w:color w:val="auto"/>
        </w:rPr>
        <w:t>www.sedar.com</w:t>
      </w:r>
      <w:r>
        <w:rPr>
          <w:rFonts w:ascii="Times New Roman" w:cs="Times New Roman" w:eastAsia="Times New Roman" w:hAnsi="Times New Roman"/>
          <w:sz w:val="18"/>
          <w:szCs w:val="18"/>
          <w:color w:val="auto"/>
        </w:rPr>
        <w:t>, the Canadian equivalent of the SEC’s electronic document gathering and retrieval system.</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principal executive office is located at the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Floor, Building 18, Shanghai Pudong Software Park, 498 Guoshoujing Road, Pudong, Shanghai 201203, PRC. Our telephone number is (+86)21-31268010. Our website is as follows </w:t>
      </w:r>
      <w:r>
        <w:rPr>
          <w:rFonts w:ascii="Times New Roman" w:cs="Times New Roman" w:eastAsia="Times New Roman" w:hAnsi="Times New Roman"/>
          <w:sz w:val="18"/>
          <w:szCs w:val="18"/>
          <w:i w:val="1"/>
          <w:iCs w:val="1"/>
          <w:color w:val="auto"/>
        </w:rPr>
        <w:t>www.clpsglobal.com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information on our website is not part of this prospectus.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16" w:lineRule="exact"/>
        <w:rPr>
          <w:sz w:val="20"/>
          <w:szCs w:val="20"/>
          <w:color w:val="auto"/>
        </w:rPr>
      </w:pPr>
    </w:p>
    <w:p>
      <w:pPr>
        <w:ind w:left="1300" w:hanging="41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6">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June 30, 2018;</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59" w:val="left"/>
        </w:tabs>
        <w:numPr>
          <w:ilvl w:val="0"/>
          <w:numId w:val="1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shares set forth in our registration statement on </w:t>
      </w:r>
      <w:hyperlink r:id="rId49">
        <w:r>
          <w:rPr>
            <w:rFonts w:ascii="Times New Roman" w:cs="Times New Roman" w:eastAsia="Times New Roman" w:hAnsi="Times New Roman"/>
            <w:sz w:val="18"/>
            <w:szCs w:val="18"/>
            <w:u w:val="single" w:color="auto"/>
            <w:color w:val="0000EE"/>
          </w:rPr>
          <w:t>Form F-1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333-223956) filed with the SEC on March 27, 2018 and declared effective on May 23, 2018, and our </w:t>
      </w:r>
      <w:hyperlink r:id="rId4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May 22, 2018, including any amendment or report filed for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purpose of updating that description; and</w:t>
      </w:r>
    </w:p>
    <w:p>
      <w:pPr>
        <w:spacing w:after="0" w:line="98" w:lineRule="exact"/>
        <w:rPr>
          <w:rFonts w:ascii="Times New Roman" w:cs="Times New Roman" w:eastAsia="Times New Roman" w:hAnsi="Times New Roman"/>
          <w:sz w:val="18"/>
          <w:szCs w:val="18"/>
          <w:color w:val="0000EE"/>
        </w:rPr>
      </w:pPr>
    </w:p>
    <w:p>
      <w:pPr>
        <w:ind w:left="1320" w:right="479" w:hanging="434"/>
        <w:spacing w:after="0" w:line="282" w:lineRule="auto"/>
        <w:tabs>
          <w:tab w:leader="none" w:pos="1419" w:val="left"/>
        </w:tabs>
        <w:numPr>
          <w:ilvl w:val="0"/>
          <w:numId w:val="1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Report of Foreign Private Issuer on Form 6-K furnished to the SEC on </w:t>
      </w:r>
      <w:hyperlink r:id="rId50">
        <w:r>
          <w:rPr>
            <w:rFonts w:ascii="Times New Roman" w:cs="Times New Roman" w:eastAsia="Times New Roman" w:hAnsi="Times New Roman"/>
            <w:sz w:val="18"/>
            <w:szCs w:val="18"/>
            <w:u w:val="single" w:color="auto"/>
            <w:color w:val="0000EE"/>
          </w:rPr>
          <w:t>November 28, 2018</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January 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February 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March 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 xml:space="preserve">March 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April 22,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94" w:lineRule="exact"/>
        <w:rPr>
          <w:rFonts w:ascii="Times New Roman" w:cs="Times New Roman" w:eastAsia="Times New Roman" w:hAnsi="Times New Roman"/>
          <w:sz w:val="18"/>
          <w:szCs w:val="18"/>
          <w:color w:val="0000EE"/>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subsequent to the date of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20" w:lineRule="exact"/>
        <w:rPr>
          <w:rFonts w:ascii="Times New Roman" w:cs="Times New Roman" w:eastAsia="Times New Roman" w:hAnsi="Times New Roman"/>
          <w:sz w:val="18"/>
          <w:szCs w:val="18"/>
          <w:color w:val="0000EE"/>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06" w:lineRule="exact"/>
        <w:rPr>
          <w:rFonts w:ascii="Times New Roman" w:cs="Times New Roman" w:eastAsia="Times New Roman" w:hAnsi="Times New Roman"/>
          <w:sz w:val="18"/>
          <w:szCs w:val="18"/>
          <w:color w:val="0000EE"/>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Floor, Building 18, Shanghai Pudong Software Park, 498 Guoshoujing Road, Pudong, Shanghai 201203, PRC.</w:t>
      </w:r>
    </w:p>
    <w:p>
      <w:pPr>
        <w:spacing w:after="0" w:line="163"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1473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5147310" cy="514731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does not contain all of the information about our company that may be important to you and your investment decision. You should carefully read the entire prospectus and the applicable prospectus supplement, including the section entitled “Risk Factors” as well as the risk factors described in the documents incorporated by reference into this prospectus and the applicable prospectus supplement, before making an investment decision.</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w:t>
      </w:r>
    </w:p>
    <w:p>
      <w:pPr>
        <w:spacing w:after="0" w:line="10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CLPS Incorporation was incorporated under the laws of the Cayman Islands on May 11, 2017.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We maintain ten delivery and or research &amp; development centers to serve different customers in various geographic locations. Seven centers are located in China including cities of Shanghai, Beijing, Dalian, Tianjin, Chengdu, Guangzhou and Shenzhen. The remaining three centers are located in Hong Kong,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Our principal executive office is located at the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Floor, Building 18, Shanghai Pudong Software Park, 498 Guoshoujing Road, Pudong, Shanghai 201203, PRC. Our telephone number is (+86)21-31268010. Our website is as follows </w:t>
      </w:r>
      <w:r>
        <w:rPr>
          <w:rFonts w:ascii="Times New Roman" w:cs="Times New Roman" w:eastAsia="Times New Roman" w:hAnsi="Times New Roman"/>
          <w:sz w:val="18"/>
          <w:szCs w:val="18"/>
          <w:i w:val="1"/>
          <w:iCs w:val="1"/>
          <w:color w:val="auto"/>
        </w:rPr>
        <w:t>www.clpsglobal.com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information on our website is not part of this filing.</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and should be considered speculative. An investment in our securities should only be undertaken by those persons who can afford the total loss of their investment. In addition to the risk factors below, you should carefully consider the risks and uncertainties described under “Item 3D. Risk Factors” in our Annual Report on Form 20-F for the fiscal year ended June 30, 2018 and under “Risk Factors” in our registration statement on Form F-1 (File No. 333-223956) filed with the SEC on March 27, 2018 and declared effective on May 23, 2018, which sections are incorporated by reference herein, and the other information contained in this prospectus, as updated by our subsequent filings under the Exchange Act and the risk factors and other information contained in any applicable prospectus supplement, before purchasing any of our securities. Additional risks and uncertainties not presently known to us or that we believe to be immaterial may also adversely affect our business. If any of these risks actually occur, our business, financial condition, prospects, results of operations or cash flow could be materially and adversely affected and you could lose all or a part of the value of your investment.</w:t>
      </w:r>
    </w:p>
    <w:p>
      <w:pPr>
        <w:spacing w:after="0" w:line="118"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Changes in general economic conditions, geopolitical conditions, U.S.-China trade relations and other factors beyond the Company’s control may adversely impact our business and operating results.</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99" w:lineRule="exact"/>
        <w:rPr>
          <w:sz w:val="20"/>
          <w:szCs w:val="20"/>
          <w:color w:val="auto"/>
        </w:rPr>
      </w:pPr>
    </w:p>
    <w:p>
      <w:pPr>
        <w:jc w:val="both"/>
        <w:ind w:left="1320" w:right="479" w:hanging="434"/>
        <w:spacing w:after="0" w:line="261" w:lineRule="auto"/>
        <w:tabs>
          <w:tab w:leader="none" w:pos="14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conflicts or actions, including but not limited to armed conflict, trade wars, retaliatory tariffs, and acts of terrorism or war;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9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of the foregoing or similar factors could result in reduced demand for our services which, in turn, could have material adverse effects on our business and results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herein, contains information that may be forward-looking statements within the meaning of applicable securities laws.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business is conducted in China and majority of our revenues is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exchange rates between the RMB and the U.S. dollar for the periods indicated. On May 17, 2019, the buying rate announced by the Federal Reserve Statistical Release was RMB 6.9182 to $1.00.</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80" w:type="dxa"/>
            <w:vAlign w:val="bottom"/>
            <w:gridSpan w:val="2"/>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Spot Exchange Rate</w:t>
            </w:r>
          </w:p>
        </w:tc>
        <w:tc>
          <w:tcPr>
            <w:tcW w:w="1100" w:type="dxa"/>
            <w:vAlign w:val="bottom"/>
          </w:tcPr>
          <w:p>
            <w:pPr>
              <w:spacing w:after="0"/>
              <w:rPr>
                <w:sz w:val="18"/>
                <w:szCs w:val="18"/>
                <w:color w:val="auto"/>
              </w:rPr>
            </w:pP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73"/>
        </w:trPr>
        <w:tc>
          <w:tcPr>
            <w:tcW w:w="3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Period Ended</w:t>
            </w:r>
          </w:p>
        </w:tc>
        <w:tc>
          <w:tcPr>
            <w:tcW w:w="13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Average</w:t>
            </w:r>
            <w:r>
              <w:rPr>
                <w:rFonts w:ascii="Times New Roman" w:cs="Times New Roman" w:eastAsia="Times New Roman" w:hAnsi="Times New Roman"/>
                <w:sz w:val="18"/>
                <w:szCs w:val="18"/>
                <w:b w:val="1"/>
                <w:bCs w:val="1"/>
                <w:color w:val="auto"/>
                <w:vertAlign w:val="superscript"/>
              </w:rPr>
              <w:t>(1)</w:t>
            </w:r>
          </w:p>
        </w:tc>
        <w:tc>
          <w:tcPr>
            <w:tcW w:w="12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Low</w:t>
            </w: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221"/>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00" w:type="dxa"/>
            <w:vAlign w:val="bottom"/>
          </w:tcPr>
          <w:p>
            <w:pPr>
              <w:spacing w:after="0"/>
              <w:rPr>
                <w:sz w:val="19"/>
                <w:szCs w:val="19"/>
                <w:color w:val="auto"/>
              </w:rPr>
            </w:pPr>
          </w:p>
        </w:tc>
        <w:tc>
          <w:tcPr>
            <w:tcW w:w="2580" w:type="dxa"/>
            <w:vAlign w:val="bottom"/>
            <w:gridSpan w:val="2"/>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(RMB per US$1.00)</w:t>
            </w:r>
          </w:p>
        </w:tc>
        <w:tc>
          <w:tcPr>
            <w:tcW w:w="1100" w:type="dxa"/>
            <w:vAlign w:val="bottom"/>
          </w:tcPr>
          <w:p>
            <w:pPr>
              <w:spacing w:after="0"/>
              <w:rPr>
                <w:sz w:val="19"/>
                <w:szCs w:val="19"/>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6.9430</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6.6400</w:t>
            </w: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6.4480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6.9580</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6.5063</w:t>
            </w: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6.7569</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6.4773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6.9575</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6.8755</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6.6090</w:t>
            </w: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6.2649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6.9737</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6.6958</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6.7863</w:t>
            </w: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6.6958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6.8708</w:t>
            </w:r>
          </w:p>
        </w:tc>
      </w:tr>
      <w:tr>
        <w:trPr>
          <w:trHeight w:val="243"/>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6.6912</w:t>
            </w: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6.7367</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6.6822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6.7907</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6.7112</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6.7119</w:t>
            </w: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6.6916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6.7381</w:t>
            </w:r>
          </w:p>
        </w:tc>
      </w:tr>
      <w:tr>
        <w:trPr>
          <w:trHeight w:val="243"/>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April</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6.7347</w:t>
            </w: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6.7161</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6.6870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6.7418</w:t>
            </w:r>
          </w:p>
        </w:tc>
      </w:tr>
    </w:tbl>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Source: </w:t>
      </w:r>
      <w:r>
        <w:rPr>
          <w:rFonts w:ascii="Times New Roman" w:cs="Times New Roman" w:eastAsia="Times New Roman" w:hAnsi="Times New Roman"/>
          <w:sz w:val="18"/>
          <w:szCs w:val="18"/>
          <w:i w:val="1"/>
          <w:iCs w:val="1"/>
          <w:color w:val="auto"/>
        </w:rPr>
        <w:t>https://www.federalreserve.gov/releases/h10/hist/default.htm</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9" w:lineRule="exact"/>
        <w:rPr>
          <w:sz w:val="20"/>
          <w:szCs w:val="20"/>
          <w:color w:val="auto"/>
        </w:rPr>
      </w:pPr>
    </w:p>
    <w:p>
      <w:pPr>
        <w:ind w:left="880" w:right="459" w:hanging="426"/>
        <w:spacing w:after="0" w:line="298" w:lineRule="auto"/>
        <w:tabs>
          <w:tab w:leader="none" w:pos="10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averages, lows, and highs are calculated from month-end rates. Monthly averages, lows, and highs are calculated using the average of the daily rates during the relevant period.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that we receive from the sale of the securities offered by this prospectus will be used by us for working capital and general corporate purposes. We have not allocated any portion of the net proceeds for any particular use as of the date of this prospectus. The net proceeds may be invested temporarily until they are used for their stated purpose. Specific information concerning the use of proceeds from the sale of any securities will be included in the prospectus supplement relating to such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SHARES AND TRADING MARKETS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Since May 24, 2018, our shares have been listed on the NASDAQ under the ticker symbol CLPS. The following tables set forth, for the periods indicated, the high and low market prices of our shares as reported on the NASDAQ.</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3"/>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NASDAQ</w:t>
            </w:r>
          </w:p>
        </w:tc>
      </w:tr>
      <w:tr>
        <w:trPr>
          <w:trHeight w:val="47"/>
        </w:trPr>
        <w:tc>
          <w:tcPr>
            <w:tcW w:w="5600" w:type="dxa"/>
            <w:vAlign w:val="bottom"/>
            <w:gridSpan w:val="2"/>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High US$</w:t>
            </w: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Low US$</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2018</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26"/>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3"/>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NASDAQ</w:t>
            </w:r>
          </w:p>
        </w:tc>
      </w:tr>
      <w:tr>
        <w:trPr>
          <w:trHeight w:val="46"/>
        </w:trPr>
        <w:tc>
          <w:tcPr>
            <w:tcW w:w="5600" w:type="dxa"/>
            <w:vAlign w:val="bottom"/>
            <w:gridSpan w:val="2"/>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High US$</w:t>
            </w: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Low US$</w:t>
            </w:r>
          </w:p>
        </w:tc>
      </w:tr>
      <w:tr>
        <w:trPr>
          <w:trHeight w:val="47"/>
        </w:trPr>
        <w:tc>
          <w:tcPr>
            <w:tcW w:w="5600" w:type="dxa"/>
            <w:vAlign w:val="bottom"/>
            <w:gridSpan w:val="2"/>
          </w:tcPr>
          <w:p>
            <w:pPr>
              <w:spacing w:after="0"/>
              <w:rPr>
                <w:sz w:val="4"/>
                <w:szCs w:val="4"/>
                <w:color w:val="auto"/>
              </w:rPr>
            </w:pPr>
          </w:p>
        </w:tc>
        <w:tc>
          <w:tcPr>
            <w:tcW w:w="1240" w:type="dxa"/>
            <w:vAlign w:val="bottom"/>
            <w:gridSpan w:val="2"/>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Quarter ended September 30, 2018</w:t>
            </w:r>
          </w:p>
        </w:tc>
        <w:tc>
          <w:tcPr>
            <w:tcW w:w="8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8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Quarter ended December 31, 2018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Quarter ended March 31, 2019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holders of common shares are entitled to vote at all meetings of our shareholders. The holders of common shares are entitled to receive dividends as and when declared by the board, if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 Cayman Islands company and our affairs are governed by our Memorandum and Articles of Association and Companies Law of the Cayman Islands, which we refer to as the Companies Law below. As of the date hereof, our authorized share capital consists of 100,000,000 common shares with a par value of US$0.0001 per share. As of May 24, 2019, there were 13,913,201 shares issued and outstanding. The following are summaries of material provisions of our memorandum and articles of association and the Companies Law insofar as they relate to the material terms of our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5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All of our outstanding common shares are fully paid and non-assessable. Certificates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the common shares are issued in registered form. Our shareholders, whether or not they are non-residents of the Cayman Islands, may freely hold and transfer their common shares in accordance with the Memorandum and Articles of Association.</w:t>
      </w:r>
    </w:p>
    <w:p>
      <w:pPr>
        <w:spacing w:after="0" w:line="109"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common shares are entitled to such dividends as may be declared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Our articles of association provide that our board of directors may declare and pay dividends if justified by our financial position and permitted by law.</w:t>
      </w:r>
    </w:p>
    <w:p>
      <w:pPr>
        <w:spacing w:after="0" w:line="9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each common share is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vote. Voting at any meeting of 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Common Shares. </w:t>
      </w:r>
      <w:r>
        <w:rPr>
          <w:rFonts w:ascii="Times New Roman" w:cs="Times New Roman" w:eastAsia="Times New Roman" w:hAnsi="Times New Roman"/>
          <w:sz w:val="18"/>
          <w:szCs w:val="18"/>
          <w:color w:val="auto"/>
        </w:rPr>
        <w:t>Subject to the restrictions set out below, any of our shareholders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 all or any of his or her common shares 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115"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Common Shares and Forfeiture of Common Shares. </w:t>
      </w:r>
      <w:r>
        <w:rPr>
          <w:rFonts w:ascii="Times New Roman" w:cs="Times New Roman" w:eastAsia="Times New Roman" w:hAnsi="Times New Roman"/>
          <w:sz w:val="18"/>
          <w:szCs w:val="18"/>
          <w:color w:val="auto"/>
        </w:rPr>
        <w:t>Our board of directors may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make calls upon shareholders for any amounts unpaid on their common shares in a notice served to such shareholders at least 14 clear days prior to the specified time of payment. The common shares that have been called upon and remain unpaid are subject to forfeiture.</w:t>
      </w:r>
    </w:p>
    <w:p>
      <w:pPr>
        <w:spacing w:after="0" w:line="9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Common Shares. </w:t>
      </w:r>
      <w:r>
        <w:rPr>
          <w:rFonts w:ascii="Times New Roman" w:cs="Times New Roman" w:eastAsia="Times New Roman" w:hAnsi="Times New Roman"/>
          <w:sz w:val="18"/>
          <w:szCs w:val="18"/>
          <w:color w:val="auto"/>
        </w:rPr>
        <w:t>The Companies Law and our memorandum of association permit us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our own shares. In accordance with our articles of association and provided the necessary shareholders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pacing w:after="0" w:line="10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common shares have no general right under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articles of association to inspect or obtain copies of our list of shareholders or our corporate records. However, we will provide our shareholders with annual audited financial statements. See “Where You Can Find Additional Information.”</w:t>
      </w:r>
    </w:p>
    <w:p>
      <w:pPr>
        <w:spacing w:after="0" w:line="109"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memorandum of association authorizes our board of directors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 additional common shares from time to time as our board of directors shall determine, 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02" w:lineRule="exact"/>
        <w:rPr>
          <w:sz w:val="20"/>
          <w:szCs w:val="20"/>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to be issued;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5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Articles of Association — Exclusive Forum Provision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Law,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some of the significant differences between the provisions of the Companies Law applicable to us and the laws applicable to companies incorporated in the State of Delaware.</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Law permits mergers and consolidations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Law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94" w:lineRule="exact"/>
        <w:rPr>
          <w:sz w:val="20"/>
          <w:szCs w:val="20"/>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an intelligent and honest man of that class acting in respect of his interest would reasonably approve;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Law.</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When a take-over offer is made and accepted by holders of not less than 90% of the shares within four months, the offer, or may, within a two-month period conversing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0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company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13" w:lineRule="exact"/>
        <w:rPr>
          <w:sz w:val="20"/>
          <w:szCs w:val="20"/>
          <w:color w:val="auto"/>
        </w:rPr>
      </w:pPr>
    </w:p>
    <w:p>
      <w:pPr>
        <w:ind w:left="1320" w:right="479" w:hanging="434"/>
        <w:spacing w:after="0" w:line="282" w:lineRule="auto"/>
        <w:tabs>
          <w:tab w:leader="none" w:pos="1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duly effected if authorized by more than a simple majority vote that has not been obtained;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5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The Companies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1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Law provides shareholders with only limited rights to requisition a general meeting and does not provide shareholders with any right to put any proposal before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1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Law but our articles of association do not provide for cumulative voting.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removed with the approval of a majority of the outstanding shares entitled to vote, unless the certificate of incorporation provides otherwise. Under our articles of association, directors may be removed with or without cause, by an ordinary resolution of our shareholders.</w:t>
      </w:r>
    </w:p>
    <w:p>
      <w:pPr>
        <w:spacing w:after="0" w:line="10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articles of association, our company may be dissolved, liquidated or wound up by a special resolution of our shareholders.</w:t>
      </w:r>
    </w:p>
    <w:p>
      <w:pPr>
        <w:spacing w:after="0" w:line="10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rights of a class of shares with the approval of a majority of the outstanding shares of such class, unless the certificate of incorporation provides otherwise. Under the Companies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15"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outstanding shares entitled to vote, unless the certificate of incorporation provides otherwise. As permitted by the Companies Law, our memorandum and articles of association may only be amended with a special resolution of our shareholders.</w:t>
      </w:r>
    </w:p>
    <w:p>
      <w:pPr>
        <w:spacing w:after="0" w:line="109" w:lineRule="exact"/>
        <w:rPr>
          <w:sz w:val="20"/>
          <w:szCs w:val="20"/>
          <w:color w:val="auto"/>
        </w:rPr>
      </w:pPr>
    </w:p>
    <w:p>
      <w:pPr>
        <w:ind w:left="880"/>
        <w:spacing w:after="0"/>
        <w:tabs>
          <w:tab w:leader="none" w:pos="5240" w:val="left"/>
        </w:tabs>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r>
        <w:rPr>
          <w:sz w:val="20"/>
          <w:szCs w:val="20"/>
          <w:color w:val="auto"/>
        </w:rPr>
        <w:tab/>
      </w:r>
      <w:r>
        <w:rPr>
          <w:rFonts w:ascii="Times New Roman" w:cs="Times New Roman" w:eastAsia="Times New Roman" w:hAnsi="Times New Roman"/>
          <w:sz w:val="18"/>
          <w:szCs w:val="18"/>
          <w:color w:val="auto"/>
        </w:rPr>
        <w:t>There are no limitations imposed by our</w:t>
      </w:r>
    </w:p>
    <w:p>
      <w:pPr>
        <w:spacing w:after="0" w:line="3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stock of each series will be fixed by the certificate of designation relating to that series.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board of directors has the authority, without stockholder approval, subject to limitations prescribed by law, to provide for the issuance of the shares of preferred stock in one or more series,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spacing w:after="0" w:line="116" w:lineRule="exact"/>
        <w:rPr>
          <w:sz w:val="20"/>
          <w:szCs w:val="20"/>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 and rates;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terms;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terms of redemption (including sinking fund provisions);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the series in the event of liquidation, dissolution or winding up.</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 shares of preferred stock offered hereby will, when issued, be fully paid and nonassessable and will not have any preemptive or similar rights. 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will set forth in a prospectus supplement relating to the series of preferred stock being offered the following items:</w:t>
      </w:r>
    </w:p>
    <w:p>
      <w:pPr>
        <w:spacing w:after="0" w:line="94" w:lineRule="exact"/>
        <w:rPr>
          <w:sz w:val="20"/>
          <w:szCs w:val="20"/>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preferred stock;</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preferred stock offered, the liquidation preference per share and the offering price of the preferred stock;</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applicable to the preferred stock;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on the preferred stock will accumulate;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preferred stock;</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for the preferred stock;</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stock;</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shares, including the conversion price (or manner of calculation) and conversion period;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United States federal income tax considerations applicable to the preferred stock;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15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common shares. Warrants may be offered separately or together with other securities offered by this prospectus, as the case may be. Unless the applicable prospectus supplement otherwise indicates, each series of warrants will be issued under a separate warrant agreement to be entered into between us and one or more banks or trust companies acting as warrant agent. The applicable prospectus supplement will include details of the warrant agreements covering the warrants being offered. The warrant agent will act solely as our agent and will not assume a relationship of agency with any holders of warrant certificates or beneficial owners of warrants.</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sets forth certain general terms and provisions of the warrants offered under this prospectus. The specific terms of the warrants, and the extent to which the general terms described in this section apply to those warrants, will be set forth in the applicable prospectus supplement. The terms of any warrants offered under a prospectus supplement may differ from the terms described below.</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warrants will be described in the related prospectus supplement. This description will include some or all of the following:</w:t>
      </w:r>
    </w:p>
    <w:p>
      <w:pPr>
        <w:spacing w:after="0" w:line="81" w:lineRule="exact"/>
        <w:rPr>
          <w:sz w:val="20"/>
          <w:szCs w:val="20"/>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warrants;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warrants will be offered;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warrants will be offered;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our common shares purchasable upon exercise of the warrants;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may be purchased upon exercise of each warrant and the price at which and currency or currencies in which our common shares may be purchased upon exercise of each warrant;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will be offered, if any, and the number of the warrants that will be offered with each security;</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warrants and the related securities will be transferable separately;</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warrants will be subject to redemption or call and, if so, the terms of such redemption or call provisions;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United States and Canadian tax consequences of owning the warrants;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warrants.</w:t>
      </w:r>
    </w:p>
    <w:p>
      <w:pPr>
        <w:spacing w:after="0" w:line="15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common shares, as specified in the applicable prospectus supplement at the exercise price that we describe therein.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spacing w:after="0" w:line="121" w:lineRule="exact"/>
        <w:rPr>
          <w:sz w:val="20"/>
          <w:szCs w:val="20"/>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shall be entitled to receive interest, if other than the record holder on the record date;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principal will be payable;</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if any, the date interest will accrue, the interest payment dates and the regular record 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may be made;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and whether we or the holder may elect payment to be made in a different currency;</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stated maturity, if other than the entire principal amount;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2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defeasance provisions if different from those described below under “Satisfaction and Discharge; Defeasance”;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to redeem or purchase the debt securities pursuant to a sinking fund;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security;</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if different from those described below under “Subordination”;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or covenants;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the event of any potential redemption of debt securities of any series, we will not be required to:</w:t>
      </w:r>
    </w:p>
    <w:p>
      <w:pPr>
        <w:spacing w:after="0" w:line="144" w:lineRule="exact"/>
        <w:rPr>
          <w:sz w:val="20"/>
          <w:szCs w:val="20"/>
          <w:color w:val="auto"/>
        </w:rPr>
      </w:pPr>
    </w:p>
    <w:p>
      <w:pPr>
        <w:jc w:val="both"/>
        <w:ind w:left="1320" w:right="479" w:hanging="434"/>
        <w:spacing w:after="0" w:line="266" w:lineRule="auto"/>
        <w:tabs>
          <w:tab w:leader="none" w:pos="1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securities.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global security will:</w:t>
      </w:r>
    </w:p>
    <w:p>
      <w:pPr>
        <w:spacing w:after="0" w:line="139" w:lineRule="exact"/>
        <w:rPr>
          <w:sz w:val="20"/>
          <w:szCs w:val="20"/>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that we will identify in a prospectus supplement;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15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in the name of any person other than the depositary or any nominee unless:</w:t>
      </w:r>
    </w:p>
    <w:p>
      <w:pPr>
        <w:spacing w:after="0" w:line="94" w:lineRule="exact"/>
        <w:rPr>
          <w:sz w:val="20"/>
          <w:szCs w:val="20"/>
          <w:color w:val="auto"/>
        </w:rPr>
      </w:pPr>
    </w:p>
    <w:p>
      <w:pPr>
        <w:ind w:left="1320" w:right="459" w:hanging="434"/>
        <w:spacing w:after="0" w:line="282" w:lineRule="auto"/>
        <w:tabs>
          <w:tab w:leader="none" w:pos="13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is continuing;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executes and delivers to the trustee an officers’ certificate stating that the global security is exchangeable.</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99" w:lineRule="exact"/>
        <w:rPr>
          <w:sz w:val="20"/>
          <w:szCs w:val="20"/>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registered in their names;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physical delivery of certificated debt securities;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to be holders of those debt securities under the indentures.</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security will be subject to policies and procedures of the depositary.</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depositary policies and procedures may change from time to time. Neither we nor the trustee will have any responsibility or liability for the depositary’s or any participant’s records with respect to beneficial interests in a global security.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Payment and Paying Agent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which remain unclaimed at the end of two years after such payment was due will be repaid to us. Thereafter, the holder may look only to us for such payment.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spacing w:after="0" w:line="108" w:lineRule="exact"/>
        <w:rPr>
          <w:sz w:val="20"/>
          <w:szCs w:val="20"/>
          <w:color w:val="auto"/>
        </w:rPr>
      </w:pPr>
    </w:p>
    <w:p>
      <w:pPr>
        <w:ind w:left="1320" w:right="479" w:hanging="434"/>
        <w:spacing w:after="0" w:line="282" w:lineRule="auto"/>
        <w:tabs>
          <w:tab w:leader="none" w:pos="14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if any, is a U.S. corporation, limited liability company, partnership, trust or other entity;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assumes our obligations on the debt securities and under the indenture;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the indenture will define an event of default with respect to any series of debt securities as one or more of the following events:</w:t>
      </w:r>
    </w:p>
    <w:p>
      <w:pPr>
        <w:spacing w:after="0" w:line="81" w:lineRule="exact"/>
        <w:rPr>
          <w:sz w:val="20"/>
          <w:szCs w:val="20"/>
          <w:color w:val="auto"/>
        </w:rPr>
      </w:pPr>
    </w:p>
    <w:p>
      <w:pPr>
        <w:ind w:left="1280" w:hanging="39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security of that series for 30 days when due;</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continued for 90 days after being given the notice required in the indenture;</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bankruptcy, insolvency or reorganization; and</w:t>
      </w:r>
    </w:p>
    <w:p>
      <w:pPr>
        <w:spacing w:after="0" w:line="14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specified in the prospectus supplement.</w:t>
      </w:r>
    </w:p>
    <w:p>
      <w:pPr>
        <w:spacing w:after="0" w:line="15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 event of default of one series of debt securities is not necessarily an event of default for any other series of debt securities.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holder will not have any right to institute any proceeding under the indentures, or for the appointment of a receiver or a trustee, or for any other remedy under the indentures, unless:</w:t>
      </w:r>
    </w:p>
    <w:p>
      <w:pPr>
        <w:spacing w:after="0" w:line="94" w:lineRule="exact"/>
        <w:rPr>
          <w:sz w:val="20"/>
          <w:szCs w:val="20"/>
          <w:color w:val="auto"/>
        </w:rPr>
      </w:pPr>
    </w:p>
    <w:p>
      <w:pPr>
        <w:ind w:left="1320" w:right="479" w:hanging="434"/>
        <w:spacing w:after="0" w:line="282" w:lineRule="auto"/>
        <w:tabs>
          <w:tab w:leader="none" w:pos="13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have offered reasonable indemnity to the trustee to institute the proceeding;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Holders may, however, sue to enforce the payment of principal or interest on any debt security on or after the due date without following the procedures listed in (1) through (3) above.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However, neither we nor the trustee may make any amendment or waiver without the consent of the holder of each outstanding security of that series affected by the amendment or waiver if such amendment or waiver would, among other things:</w:t>
      </w:r>
    </w:p>
    <w:p>
      <w:pPr>
        <w:spacing w:after="0" w:line="108" w:lineRule="exact"/>
        <w:rPr>
          <w:sz w:val="20"/>
          <w:szCs w:val="20"/>
          <w:color w:val="auto"/>
        </w:rPr>
      </w:pPr>
    </w:p>
    <w:p>
      <w:pPr>
        <w:ind w:left="1320" w:right="459" w:hanging="434"/>
        <w:spacing w:after="0" w:line="282" w:lineRule="auto"/>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of securities whose holders must consent to an amendment, supplement or waiver;</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on any debt security or reduce the amount of, or postpone the date fixed for, the payment of any sinking fund;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on acceleration of maturity;</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or extend the time for payment of interest on any debt security;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principal or interest payment on any debt security in any currency other than that stated in the debt security;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or event of default in payment of the principal of, premium or interest on any debt security (except certain rescissions of acceleration); or</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or modify any of the redemption provisions of any debt security;</w:t>
      </w:r>
    </w:p>
    <w:p>
      <w:pPr>
        <w:spacing w:after="0" w:line="15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outstanding securities, we and the trustee may amend or supplement the indentures:</w:t>
      </w:r>
    </w:p>
    <w:p>
      <w:pPr>
        <w:spacing w:after="0" w:line="94" w:lineRule="exact"/>
        <w:rPr>
          <w:sz w:val="20"/>
          <w:szCs w:val="20"/>
          <w:color w:val="auto"/>
        </w:rPr>
      </w:pPr>
    </w:p>
    <w:p>
      <w:pPr>
        <w:ind w:left="1320" w:right="479" w:hanging="434"/>
        <w:spacing w:after="0" w:line="282" w:lineRule="auto"/>
        <w:tabs>
          <w:tab w:leader="none" w:pos="13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obligations to holders of any debt security in the case of a merger, consolidation, transfer or sale of all or substantially all of our assets;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the indenture of any such holder;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an indenture under the Trust Indenture Act;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consent of holders is not necessary under the indentures to approve the particular form of any proposed amendment. It is sufficient if such consent approves the substance of the proposed amendment.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w:t>
      </w:r>
    </w:p>
    <w:p>
      <w:pPr>
        <w:spacing w:after="0" w:line="158" w:lineRule="exact"/>
        <w:rPr>
          <w:sz w:val="20"/>
          <w:szCs w:val="20"/>
          <w:color w:val="auto"/>
        </w:rPr>
      </w:pPr>
    </w:p>
    <w:p>
      <w:pPr>
        <w:ind w:left="1320" w:right="479" w:hanging="434"/>
        <w:spacing w:after="0" w:line="282" w:lineRule="auto"/>
        <w:tabs>
          <w:tab w:leader="none" w:pos="13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discharged from all of our obligations, subject to limited exceptions, with respect to any series of debt securities then outstanding; and/or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under the following covenants and from the consequences of an event of default resulting from a breach of certain covenants, including covenants as to payment of taxes and maintenance of corporate existence.</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under, the law of the State of New York.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indenture limits the right of the trustee, should it become a creditor of us, to obtain payment of claims or secure its claims.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may not make any payment on subordinated debt securities, including upon redemption at the option of the holder of any subordinated debt securities or at our option, if:</w:t>
      </w:r>
    </w:p>
    <w:p>
      <w:pPr>
        <w:spacing w:after="0" w:line="81" w:lineRule="exact"/>
        <w:rPr>
          <w:sz w:val="20"/>
          <w:szCs w:val="20"/>
          <w:color w:val="auto"/>
        </w:rPr>
      </w:pPr>
    </w:p>
    <w:p>
      <w:pPr>
        <w:jc w:val="both"/>
        <w:ind w:left="1320" w:right="459" w:hanging="434"/>
        <w:spacing w:after="0" w:line="266" w:lineRule="auto"/>
        <w:tabs>
          <w:tab w:leader="none" w:pos="14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premium, if any, interest, rent or other obligations in respect of designated senior indebtedness occurs and is continuing beyond any applicable period of grace (called a “payment default”); or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are not prohibited from incurring debt, including senior indebtedness, under the indenture. We may from time to time incur additional debt, including senior indebtedness.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“indebtedness” means:</w:t>
      </w:r>
    </w:p>
    <w:p>
      <w:pPr>
        <w:spacing w:after="0" w:line="158" w:lineRule="exact"/>
        <w:rPr>
          <w:sz w:val="20"/>
          <w:szCs w:val="20"/>
          <w:color w:val="auto"/>
        </w:rPr>
      </w:pPr>
    </w:p>
    <w:p>
      <w:pPr>
        <w:jc w:val="both"/>
        <w:ind w:left="1320" w:right="459" w:hanging="434"/>
        <w:spacing w:after="0" w:line="258" w:lineRule="auto"/>
        <w:tabs>
          <w:tab w:leader="none" w:pos="13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and other liabilities with respect to letters of credit, bank guarantees or bankers’ acceptances;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liabilities in respect of leases required in conformity with generally accepted accounting principles to be accounted for as capitalized lease obligations on our balance sheet;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with respect to an interest rate or other swap, cap or collar agreement or other similar instrument or agreement or foreign currency hedge, exchange, purchase or other similar instrument or agreement;</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described in (1) through (6) above secured by any mortgage, pledge, lien or other encumbrance existing on property which is owned or held by us;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refinancings, replacements, deferrals, renewals, extensions and refundings of, or amendments, modifications or supplements to, any indebtedness, obligation or liability of the kind described in clauses (1) through (7) above.</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spacing w:after="0" w:line="102" w:lineRule="exact"/>
        <w:rPr>
          <w:sz w:val="20"/>
          <w:szCs w:val="20"/>
          <w:color w:val="auto"/>
        </w:rPr>
      </w:pPr>
    </w:p>
    <w:p>
      <w:pPr>
        <w:jc w:val="both"/>
        <w:ind w:left="1320" w:right="459" w:hanging="434"/>
        <w:spacing w:after="0" w:line="266" w:lineRule="auto"/>
        <w:tabs>
          <w:tab w:leader="none" w:pos="13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expressly provides that it shall not be senior in right of payment to subordinated debt securities or expressly provides that it is on the same basis or junior to subordinated debt securities;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to any of our majority-owned subsidiaries;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RIGHTS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rights to purchase certain of our securities that we may issue to holders of our securities by this prospectus. The applicable prospectus supplement will describe the specific terms of the rights then issued, and the terms and provisions described in this section will apply only to the extent not superseded by the terms of the applicable prospectus supplement.</w:t>
      </w:r>
    </w:p>
    <w:p>
      <w:pPr>
        <w:spacing w:after="0" w:line="11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may issue, as a dividend at no cost, to holders of record of our securities or any class or series thereof on the applicable record date, rights to purchase common shares or preferred shares, to purchase warrants exercisable for common shares, preferred shares, depositary shares, debt securities or units, to purchase debt securities, to purchase depositary shares or to purchase units consisting of two or more of the foregoing. In this prospectus, we refer to such rights as “stockholder rights.” If stockholder rights are so issued to existing holders of securities, each stockholder right will entitle the registered holder thereof to purchase the securities issuable upon exercise of the rights pursuant to the terms set forth in the applicable prospectus supplement.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stockholder rights are issued, the applicable prospectus supplement will describe the terms of such stockholder rights including the following where applicable:</w:t>
      </w:r>
    </w:p>
    <w:p>
      <w:pPr>
        <w:spacing w:after="0" w:line="81" w:lineRule="exact"/>
        <w:rPr>
          <w:sz w:val="20"/>
          <w:szCs w:val="20"/>
          <w:color w:val="auto"/>
        </w:rPr>
      </w:pPr>
    </w:p>
    <w:p>
      <w:pPr>
        <w:ind w:left="1300" w:hanging="41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price;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agent;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common shares, preferred shares, warrants, depositary shares or units, or principal amount of debt securities, purchasable upon exercise of such stockholder rights;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preferred shares, preferred share warrants, depositary shares or depositary share warrants, the designation, aggregate number, and terms of the class or series of preferred shares purchasable upon exercise of such stockholder rights or warrants;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debt securities or debt security warrants, the principal amount of debt securities purchasable upon exercise of such stockholder rights or warrants and the price at, and currency in which, this principal amount of debt securities may be purchased upon such exercise;</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stockholder rights shall commence and the expiration date on which such right shall expire;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considerations;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such stockholder rights.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to the terms of the stockholder rights and the securities issuable upon exercise thereof, the prospectus supplement may describe, for a holder of such stockholder rights who validly exercises all stockholder rights issued to such holder, how to subscribe for unsubscribed securities, issuable pursuant to unexercised stockholder rights issued to other holders, to the extent such stockholder rights have not been exercised.</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Holders of stockholder rights will not be entitled by virtue of being such holders, to vote, to consent, to receive dividends, to receive notice with respect to any meeting of stockholders for the election of our directors or any other matter, or to exercise any rights whatsoever as stockholders of the Company, except to the extent described in the related prospectus supplement. In addition, holders of stockholder rights to purchase debt security warrants will not be entitled by virtue of being such holders, to receive payments of principal of, or premium, if any, or interest on, the debt securities purchasable upon exercise or to enforce covenants in the applicable indenture, except to the extent described in the related prospectus supplement.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DEPOSITARY SHARES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may, at our option, elect to offer fractional shares rather than full shares of the preferred shares of a series. In the event that we determine to do so, we will issue receipts for depositary shares, each of which will represent a fraction (to be set forth in the prospectus supplement relating to a particular series of preferred shares) of a share of a particular series of preferred shares as more fully described below.</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 The amount distributed in any of the foregoing cases will be reduced by any amounts required to be withheld by us or the depositary on account of taxes or other governmental charges.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the Underlying Preferred Shares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 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 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depositary will forward to the holders of depositary shares all reports and communications from us that are delivered to the depositary and which we are required to furnish to the holders of the related preferred stock. 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that may be offered under this prospectus, in any combination. The following information, together with the additional information we may include in any applicable prospectus supplements, summarizes the material terms and provisions of any such the units that we may offer under this prospectus. While the information below will apply generally to any units that we may offer under this prospectus, we will describe the particular terms of any series of units in detail in the applicable prospectus supplement. The terms of any units offered under a prospectus supplement may differ from the general terms described below.</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will file the form of unit agreement, if any, between us and a unit agent that describes the terms and conditions of the series of units we are offering, and any supplemental agreements, concurrently with the filing of the applicable prospectus supplement under which such series of units are offered. This summary is subject to, and qualified in their entirety by reference to, all the provisions of the unit agreement, if any, and any supplemental agreements applicable to a particular series of units. We urge you to read the applicable prospectus supplements related to the particular series of units that we sell under this prospectus, as well as the complete unit agreement, if any, and any supplemental agreements that contain the terms of the units.</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may issue units comprising one or more of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may be issued, if any, may provide that the securities included in the unit may not be held or transferred separately, at any time or at any time before a specified date. We will describe in the applicable prospectus supplement the terms of the series of units.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Share Capital” and “Description of Warrants” will apply to each unit and to any share or warrant included in each unit, respectively. We may issue units in such amounts and in numerous distinct series as we determine.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sell the securities offered by this prospectus to or through underwriters or dealers, and also may sell those securities to one or more other purchasers directly or through agents, including sales pursuant to ordinary brokerage transactions and transactions in which a broker-dealer solicits purchasers, or if indicated in a prospectus supplement, pursuant to delayed delivery contracts, by remarketing firms or by other means. Underwriters may sell securities to or through dealers. Each prospectus supplement will set forth the terms of the offering, including the name or names of any underwriters, dealers or agents and any fees or compensation payable to them in connection with the offering and sale of a particular series or issue of securities, the public offering price or prices of the securities and the proceeds from the sale of the securities.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including sales made directly on the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bona fide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us.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under agreements to be entered into with us to indemnification by us against certain liabilities, including liabilities under the Securities Act,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any offering of securities, the underwriters may over-allot or effect transactions which stabilize or maintain the market price of the securities offered at a level above that which might otherwise prevail in the open market. Such transactions, if commenced, may be discontinued at any time. Any underwriters, dealers or agents to or through which securities other than our common shares are sold by us for public offering and sale may make a market in such securities, but such underwriters, dealers or agents will not be obligated to do so and may discontinue any such market making at any time and without notice. No assurance can be given that a market for trading in securities of any series or issue will develop or as to the liquidity of any such market, whether or not such securities are listed on a securities exchange.</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place, time of delivery, and other terms of the offered securities will be described in the applicable prospectus supplement.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applicable prospectus supplement may describe certain United States federal income tax consequences of the acquisition, ownership and disposition of securities offered by this prospectus by an initial investor who is subject to United States federal income taxation. The applicable prospectus supplement may also describe certain Canadian federal income tax consequences to investors described therein of acquiring securities offered by the prospectus.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incorporated in the Cayman Islands in order to enjoy the following benefits: (1) political and economic stability; (2) an effective judicial system; (3) a favorable tax system; (4) the absence of exchange control or currency restrictions; and (5) the availability of professional and support services.</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 (1) the Cayman Islands has a less developed body of securities laws as compared to the United States and these securities laws provide significantly less protection to investors; and (2) Cayman Islands companies may not have standing to sue before the federal courts of the United States. Our constitutional documents do not contain provisions requiring that disputes, including those arising under the securities laws of the United States, between us, our officers, directors and shareholders, be arbitrated.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All of our operations are conducted outside the United States, and all of our assets are located outside the United States. A substantial number of our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appointed Corporation Service Company, 251 Little Falls Drive, Wilmington, DE 19808, as our agent upon whom process may be served in any action brought against us under the securities laws of the United States.</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Ogier, our counsel as to Cayman Islands law, and Hansen &amp; Partners, our counsel as to PRC law, have advised us, respectively, that there is uncertainty as to whether the courts of the Cayman Islands and China, respectively, would:</w:t>
      </w:r>
    </w:p>
    <w:p>
      <w:pPr>
        <w:spacing w:after="0" w:line="108" w:lineRule="exact"/>
        <w:rPr>
          <w:sz w:val="20"/>
          <w:szCs w:val="20"/>
          <w:color w:val="auto"/>
        </w:rPr>
      </w:pPr>
    </w:p>
    <w:p>
      <w:pPr>
        <w:jc w:val="both"/>
        <w:ind w:left="1320" w:right="479" w:hanging="434"/>
        <w:spacing w:after="0" w:line="266" w:lineRule="auto"/>
        <w:tabs>
          <w:tab w:leader="none" w:pos="148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2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Hansen &amp; Partners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Financial statements as of June 30, 2018 and 2017, respectively, and for the years then ended appearing in this prospectus, have been included herein and in the registration statement in reliance upon the report of Friedman LLP, an independent registered public accounting firm appearing elsewhere herein, and upon the authority of that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Certain matters as to U.S. federal law in connection with this offering will be passed upon for us by Schiff Hardin LLP. The validity of the shares and certain legal matters relating to the offering as to Cayman Islands law will be passed upon for us by Ogier. Certain legal matters relating to the offering as to Chinese law will be passed upon for us by Hansen &amp; Partners of People’s Republic of China.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applicable law.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299085</wp:posOffset>
            </wp:positionV>
            <wp:extent cx="514350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1619250</wp:posOffset>
            </wp:positionV>
            <wp:extent cx="1165860" cy="5060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1165860" cy="5060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2,666,666 Common Shares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CLPS INCORPORATION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Maxim Group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2034540</wp:posOffset>
            </wp:positionV>
            <wp:extent cx="514350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2077085</wp:posOffset>
            </wp:positionV>
            <wp:extent cx="514350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2351405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jpe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jpe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36" Type="http://schemas.openxmlformats.org/officeDocument/2006/relationships/hyperlink" Target="http://www.sec.gov/Archives/edgar/data/1724542/000121390018012977/f20f2018_clpsincorporation.htm" TargetMode="External"/><Relationship Id="rId37" Type="http://schemas.openxmlformats.org/officeDocument/2006/relationships/hyperlink" Target="http://www.sec.gov/Archives/edgar/data/1724542/000121390021012377/ea136718-6k_clpsincorp.htm" TargetMode="External"/><Relationship Id="rId38" Type="http://schemas.openxmlformats.org/officeDocument/2006/relationships/hyperlink" Target="http://www.sec.gov/Archives/edgar/data/1724542/000121390021011673/ea136501-6k_clpsincorp.htm" TargetMode="External"/><Relationship Id="rId39" Type="http://schemas.openxmlformats.org/officeDocument/2006/relationships/hyperlink" Target="http://www.sec.gov/Archives/edgar/data/1724542/000121390020044657/ea132157-6k_clpsincorp.htm" TargetMode="External"/><Relationship Id="rId40" Type="http://schemas.openxmlformats.org/officeDocument/2006/relationships/hyperlink" Target="http://www.sec.gov/Archives/edgar/data/1724542/000121390020043269/ea131816-6k_clpsincorp.htm" TargetMode="External"/><Relationship Id="rId41" Type="http://schemas.openxmlformats.org/officeDocument/2006/relationships/hyperlink" Target="http://www.sec.gov/Archives/edgar/data/1724542/000121390018006724/f8a12b0518_clpsincorporation.htm" TargetMode="External"/><Relationship Id="rId49" Type="http://schemas.openxmlformats.org/officeDocument/2006/relationships/hyperlink" Target="http://www.sec.gov/Archives/edgar/data/1724542/000121390018003524/ff12018_clpsincorporation.htm" TargetMode="External"/><Relationship Id="rId50" Type="http://schemas.openxmlformats.org/officeDocument/2006/relationships/hyperlink" Target="http://www.sec.gov/Archives/edgar/data/1724542/000121390018016651/f6k112818_clpsincorp.htm" TargetMode="External"/><Relationship Id="rId51" Type="http://schemas.openxmlformats.org/officeDocument/2006/relationships/hyperlink" Target="http://www.sec.gov/Archives/edgar/data/1724542/000121390019000288/f6k1218_clpsincorporation.htm" TargetMode="External"/><Relationship Id="rId52" Type="http://schemas.openxmlformats.org/officeDocument/2006/relationships/hyperlink" Target="http://www.sec.gov/Archives/edgar/data/1724542/000121390019002895/f6k0219_clpsincorp.htm" TargetMode="External"/><Relationship Id="rId53" Type="http://schemas.openxmlformats.org/officeDocument/2006/relationships/hyperlink" Target="http://www.sec.gov/Archives/edgar/data/1724542/000121390019003658/f6k030619_clpsincorp.htm" TargetMode="External"/><Relationship Id="rId54" Type="http://schemas.openxmlformats.org/officeDocument/2006/relationships/hyperlink" Target="http://www.sec.gov/Archives/edgar/data/1724542/000121390019004849/f6k0319_clpsincorporation.htm" TargetMode="External"/><Relationship Id="rId55" Type="http://schemas.openxmlformats.org/officeDocument/2006/relationships/hyperlink" Target="http://www.sec.gov/Archives/edgar/data/1724542/000121390019006864/f6k041619_clpsincorpo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2021-03-02T15:22:20Z</dcterms:created>
  <dcterms:modified xsi:type="dcterms:W3CDTF">2021-03-02T15:22:20Z</dcterms:modified>
</cp:coreProperties>
</file>