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As filed with the Securities and Exchange Commission on December 19, 2022</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333-266951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4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CLPS Incorporation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Unit 1102, 11th Floor, Millennium City III</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370 Kwun Tong Road, Kwun Tong, Kowloon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Hong Kong SAR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(852) 37073600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Corporation Service Company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251 Little Falls Drive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Wilmington, DE 19808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(800) 927-9800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Mitchell Nussbaum,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Zhang,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Loeb &amp; Loeb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345 Park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407-4000</w:t>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Approximate date of commencement of proposed sale to the public: </w:t>
      </w:r>
      <w:r>
        <w:rPr>
          <w:rFonts w:ascii="Times New Roman" w:cs="Times New Roman" w:eastAsia="Times New Roman" w:hAnsi="Times New Roman"/>
          <w:sz w:val="18"/>
          <w:szCs w:val="18"/>
          <w:b w:val="1"/>
          <w:bCs w:val="1"/>
          <w:color w:val="auto"/>
        </w:rPr>
        <w:t>From time to time after the effective date of this registration statement.</w:t>
      </w:r>
    </w:p>
    <w:p>
      <w:pPr>
        <w:spacing w:after="0" w:line="11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3"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please check the following box. </w:t>
      </w:r>
      <w:r>
        <w:rPr>
          <w:rFonts w:ascii="MS PGothic" w:cs="MS PGothic" w:eastAsia="MS PGothic" w:hAnsi="MS PGothic"/>
          <w:sz w:val="18"/>
          <w:szCs w:val="18"/>
          <w:color w:val="auto"/>
        </w:rPr>
        <w:t>☒</w:t>
      </w:r>
    </w:p>
    <w:p>
      <w:pPr>
        <w:spacing w:after="0" w:line="98"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98"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98"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98"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w:t>
      </w:r>
    </w:p>
    <w:p>
      <w:pPr>
        <w:spacing w:after="0" w:line="115"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3"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544830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 w:name="page2"/>
    <w:bookmarkEnd w:id="1"/>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DECEMBER 19, 2022.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105410</wp:posOffset>
            </wp:positionV>
            <wp:extent cx="1894205" cy="814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9420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US$80,000,000</w:t>
      </w:r>
    </w:p>
    <w:p>
      <w:pPr>
        <w:spacing w:after="0" w:line="1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CLPS Incorporation may offer and sell from time to time up to an aggregate of US$80,000,000 of common shares (issued separately or upon exercise of warrants or conversion of preferred shares, if convertible), preferred shares, warrants, debt securities, rights, depositary shares and units of the Company’s securities. The specific terms of any securities offered will be described in supplements to this prospectus. You should read this prospectus and any applicable prospectus supplement carefully before you purchase our securities. This prospectus may not be used to offer securities unless accompanied by a prospectus supplement.</w:t>
      </w:r>
    </w:p>
    <w:p>
      <w:pPr>
        <w:spacing w:after="0" w:line="1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offer and sell these securities to or through one or more underwriters, dealers and agents, or directly to purchasers, on a continuous or delayed basis. The prospectus supplement for each offering of securities will describe in detail the plan of distribution. If underwriters, dealers and agents are used to sell these securities, we will name them and describe their compensation in a prospectus supplement.</w:t>
      </w:r>
    </w:p>
    <w:p>
      <w:pPr>
        <w:spacing w:after="0" w:line="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outstanding shares are listed for trading on the NASDAQ Stock Market, or NASDAQ, under the symbol “CLPS”. On December 16, 2022 the closing price of our shares on the NASDAQ Stock Market was US$1.23 per share. </w:t>
      </w:r>
      <w:r>
        <w:rPr>
          <w:rFonts w:ascii="Times New Roman" w:cs="Times New Roman" w:eastAsia="Times New Roman" w:hAnsi="Times New Roman"/>
          <w:sz w:val="18"/>
          <w:szCs w:val="18"/>
          <w:b w:val="1"/>
          <w:bCs w:val="1"/>
          <w:color w:val="auto"/>
        </w:rPr>
        <w:t>There is currently no established trading market through which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 other than the common shares, may be sold and purchasers may not be able to resell the securities purchased under this prospectus. This may affect the pricing of the securities in the secondary market, the transparency and availability of trading prices, the liquidity of the securities and the extent of issuer regulation.</w:t>
      </w:r>
    </w:p>
    <w:p>
      <w:pPr>
        <w:spacing w:after="0" w:line="1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 long as the aggregate market value worldwide of our outstanding common equity held by non-affiliates, or public float, is less than US$75 million, the aggregate market value of securities sold by us under this prospectus during the period of 12 calendar months immediately preceding the date of sale may be no more than one-third of our public float. Our public float, as calculated in accordance with General Instruction I.B.5 of Form F-3, was approximately US$12 million as of December 16, 2022. We have not sold any securities pursuant to General Instruction I.B.5 of Form F-3 during the prior 12 calendar month period that ends on and includes the date of this prospectus.</w:t>
      </w:r>
    </w:p>
    <w:p>
      <w:pPr>
        <w:spacing w:after="0" w:line="1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Investing in our securities involves risks. Prior to purchasing our securities, you should carefully consider the risk factors that will be described in any applicable prospectus supplement and the risk factors described in our filings with the Securities and Exchange Commission, or the SEC, as explained under the heading “Risk Factors” on page 5 of this prospectus.</w:t>
      </w:r>
    </w:p>
    <w:p>
      <w:pPr>
        <w:spacing w:after="0" w:line="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not a Chinese operating company but a Cayman Islands holding company with operations conducted by our subsidiaries in China. This structure involves unique risks to our investors. Investors in our shares thus are not purchasing equity interest in our operating entities in China but instead are purchasing equity interest in a Cayman Islands holding company. The securities offered in this prospectus are securities of our Cayman Islands holding company, not of our operating subsidiaries. Our independent auditor, Ernst &amp; Young Hua Ming LLP, is subject to the determinations announced by the PCAOB on December 16, 2021. We are conclusively identified by SEC as a Commission-Identified Issuer under HFCAA on November 18, 2022 (see https://www.sec.gov/hfcaa). On December 15, 2022, the PCAOB issued HFCAA Determination Report vacating the previous HFCAA Determination Report dated December 16, 2021. As required by the HFCAA, if in the future the PCAOB determines it no longer can inspect or investigate completely because of a position taken by an authority in the PRC, the PCAOB will consider to issue a new determination. Please see the risk factors fully disclosed in Risk Factors under the paragraphs “Permissions Required from the PRC Authorities for Our Operations,” “Our subsidiaries in China are subject to restrictions on paying dividends and making other payments to our holding company,” , “Recent regulatory developments in China may subject us to additional regulatory review and disclosure requirements, expose us to government interference, or otherwise restrict or completely hinder our ability to offer securities and raise capitals outside China, all of which could materially and adversely affect our business, and cause the value of our securities to significantly decline or become worthless,” “The Holding Foreign Companies Accountable Act could result in delisting of our common stock from Nasdaq Capital Market and lack of a readily available market for our common stock,” and “There are uncertainties with respect to regulatory cooperation between PCAOB and Chinese regulators under the Statement of Protocol signed by the PCAOB and the CSRC of the People’s Republic of China on August 26, 2022.” Trading in the Company’s securities may be prohibited under the Holding Foreign Companies Accountable Act if the PCAOB determines that it cannot inspect or investigate completely our independent auditor Ernst &amp; Young Hua Ming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 w:name="page3"/>
    <w:bookmarkEnd w:id="2"/>
    <w:p>
      <w:pPr>
        <w:ind w:left="660"/>
        <w:spacing w:after="0"/>
        <w:rPr>
          <w:sz w:val="20"/>
          <w:szCs w:val="20"/>
          <w:color w:val="auto"/>
        </w:rPr>
      </w:pPr>
      <w:r>
        <w:rPr>
          <w:rFonts w:ascii="Times New Roman" w:cs="Times New Roman" w:eastAsia="Times New Roman" w:hAnsi="Times New Roman"/>
          <w:sz w:val="18"/>
          <w:szCs w:val="18"/>
          <w:color w:val="auto"/>
        </w:rPr>
        <w:t>The Company does not believe that recent statements and regulatory actions by China’s government will have a material negative impact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business operations in the following three areas of PRC law:</w:t>
      </w:r>
    </w:p>
    <w:p>
      <w:pPr>
        <w:spacing w:after="0" w:line="207" w:lineRule="exact"/>
        <w:rPr>
          <w:sz w:val="20"/>
          <w:szCs w:val="20"/>
          <w:color w:val="auto"/>
        </w:rPr>
      </w:pPr>
    </w:p>
    <w:p>
      <w:pPr>
        <w:jc w:val="both"/>
        <w:ind w:firstLine="656"/>
        <w:spacing w:after="0" w:line="258" w:lineRule="auto"/>
        <w:tabs>
          <w:tab w:leader="none" w:pos="9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promulgated several laws and regulations on data security and personal information protections in the last two years, mainly the Data Security Law of the People’s Republic of China (“Data Security Law”), which came into effect on September 1, 2021, and the Personal Information Protection Law of the People’s Republic of China (“PIP Law”), which came into effect on November 1, 2021. In the Company’s day-to-day business operations, sensitive customer data and personal information will not be received from the Company’s clients. The legal consequence of this fact is that neither the Data Security Law or the PIP Law applies to the Company’s business activities in China.</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1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Anti-monopoly Law of the People’s Republic of China (Revised in 2022) (“Anti-monopoly Law”) came into effect on August 1, 2022. The “monopolistic practices” defined by the Anti-monopoly Law include (a) the conclusion of a monopolistic agreement; (b) the abuse of dominant market positions; and (c) the concentration that eliminates or restricts competition or may eliminate or restrict competition. Based on Company’s China and global market share, the Company does not have a dominant market position that enables the Company to restrict or eliminate the competition.</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91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China Securities Regulatory Commission (“CSRC”) published the draft of the Provisions of the State Council on the Administration of Overseas Securities Offering and Listing by Domestic Companies (“Provisions”) on December 24, 2021. According to the draft Provisions, a Chinese entity will be banned from listing overseas under six circumstances: (a) the issuer is under any circumstance in which listing for financing is expressly prohibited by any law, regulation or provision of the PRC, (b) the overseas offering and listing threatens or endangers the PRC’s national security, (c) the issuer is involved in any major ownership dispute concerning equity, main assets or core technology, (d) the PRC entity and its controlling shareholder or actual controller have, in the past three years, committed any criminal offense such as corruption, bribery, embezzlement of property, misappropriation of property or disruption of the order of the socialist market economy, or are under investigation by the judicial organ for being suspected of committing a crime or under investigation for being suspected of any major illegality or irregularity; (e) any of the directors, supervisors or senior managers has, in the past three years, been subject to any administrative penalty and the circumstance is serious, or is under investigation by the judicial organ for being suspected of committing a crime or being under investigation for being suspected of any major illegality or irregularity; or (f) there is any other circumstance as determined by the State Council of the PRC. Based on the draft version, we do not see any possible scenario that the Company will be banned from listing in the US.</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provides cash support to its subsidiaries according its business development plan. For fiscal year 2020, 2021, 2022, the Company provided cash support to its subsidiaries in Mainland China, Singapore and Hong Kong SAR. The amounts were offset when the Company’s consolidated financial statements were prepared. The balances due from subsidiaries to the Company were US$7.1 million, US$7.6 million, and US$22.8 million as of June 30 for fiscal 2020, 2021 and 2022, respectively. The subsidiaries provide cash support to the Company according its business development plan. The balances due to subsidiaries from the Company were Nil, Nil and US$7.1 million. as of June 30 for fiscal 2020, 2021 and 2022, respectively. The balances were reflected in the section “PARENT COMPANY ONLY CONDENSED FINANCIAL INFORMATION” in our financial statements for fiscal 2020, 2021, and 2022, respectively.</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securities commission of any state of the United States has approved or disapproved the securities offered hereby or determined if this prospectus is truthful or complete. Any representation to the contrary is a criminal offence.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39"/>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7880" w:type="dxa"/>
            <w:vAlign w:val="bottom"/>
            <w:tcBorders>
              <w:bottom w:val="single" w:sz="8" w:color="CCEEFF"/>
            </w:tcBorders>
            <w:gridSpan w:val="1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92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DOCUMENTS INCORPORATED BY REFERENCE</w:t>
            </w:r>
          </w:p>
        </w:tc>
        <w:tc>
          <w:tcPr>
            <w:tcW w:w="6200" w:type="dxa"/>
            <w:vAlign w:val="bottom"/>
            <w:tcBorders>
              <w:bottom w:val="single" w:sz="8" w:color="CCEEFF"/>
            </w:tcBorders>
            <w:gridSpan w:val="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5"/>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SUMMARY</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860" w:type="dxa"/>
            <w:vAlign w:val="bottom"/>
            <w:tcBorders>
              <w:bottom w:val="single" w:sz="8" w:color="CCEEFF"/>
            </w:tcBorders>
            <w:gridSpan w:val="19"/>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78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EXCHANGE RATE INFORMATION</w:t>
            </w:r>
          </w:p>
        </w:tc>
        <w:tc>
          <w:tcPr>
            <w:tcW w:w="7340" w:type="dxa"/>
            <w:vAlign w:val="bottom"/>
            <w:tcBorders>
              <w:bottom w:val="single" w:sz="8" w:color="CCEEFF"/>
            </w:tcBorders>
            <w:gridSpan w:val="11"/>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PRICE RANGE OF COMMON SHARES AND TRADING MARKETS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5"/>
        </w:trPr>
        <w:tc>
          <w:tcPr>
            <w:tcW w:w="526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COMMON SHARES</w:t>
            </w:r>
          </w:p>
        </w:tc>
        <w:tc>
          <w:tcPr>
            <w:tcW w:w="4860" w:type="dxa"/>
            <w:vAlign w:val="bottom"/>
            <w:tcBorders>
              <w:top w:val="single" w:sz="8" w:color="CCEEFF"/>
            </w:tcBorders>
            <w:gridSpan w:val="2"/>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26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PREFERRED SHARES</w:t>
            </w:r>
          </w:p>
        </w:tc>
        <w:tc>
          <w:tcPr>
            <w:tcW w:w="6860" w:type="dxa"/>
            <w:vAlign w:val="bottom"/>
            <w:tcBorders>
              <w:bottom w:val="single" w:sz="8" w:color="CCEEFF"/>
            </w:tcBorders>
            <w:gridSpan w:val="7"/>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080" w:type="dxa"/>
            <w:vAlign w:val="bottom"/>
            <w:tcBorders>
              <w:bottom w:val="single" w:sz="8" w:color="CCEEFF"/>
            </w:tcBorders>
            <w:gridSpan w:val="10"/>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RIGHTS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DEPOSITARY SHARES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175"/>
        </w:trPr>
        <w:tc>
          <w:tcPr>
            <w:tcW w:w="332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6800" w:type="dxa"/>
            <w:vAlign w:val="bottom"/>
            <w:tcBorders>
              <w:top w:val="single" w:sz="8" w:color="CCEEFF"/>
            </w:tcBorders>
            <w:gridSpan w:val="6"/>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060" w:type="dxa"/>
            <w:vAlign w:val="bottom"/>
            <w:tcBorders>
              <w:bottom w:val="single" w:sz="8" w:color="CCEEFF"/>
            </w:tcBorders>
            <w:gridSpan w:val="15"/>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CERTAIN INCOME TAX CONSIDERATIONS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22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ENFORCEMENT OF CIVIL LIABILITIES</w:t>
            </w:r>
          </w:p>
        </w:tc>
        <w:tc>
          <w:tcPr>
            <w:tcW w:w="6900" w:type="dxa"/>
            <w:vAlign w:val="bottom"/>
            <w:tcBorders>
              <w:bottom w:val="single" w:sz="8" w:color="CCEEFF"/>
            </w:tcBorders>
            <w:gridSpan w:val="8"/>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1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27875" cy="59531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7875" cy="5953125"/>
                    </a:xfrm>
                    <a:prstGeom prst="rect">
                      <a:avLst/>
                    </a:prstGeom>
                    <a:noFill/>
                  </pic:spPr>
                </pic:pic>
              </a:graphicData>
            </a:graphic>
          </wp:anchor>
        </w:drawing>
        <w:t>ABOUT THIS PROSPECTUS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is a part of a registration statement that we have filed with the SEC utilizing a “shelf” registration process. Under this shelf registration process, we may sell the securities described in this prospectus in one or more offerings up to a total dollar amount of initial aggregate offering price of US$80,000,000. This prospectus provides you with a general description of the securities that we may offer. Each time we sell securities under this process, we will provide a prospectus supplement that will contain specific information about the terms of that offering, including a description of any risks relating to the offering if those terms and risks are not described in this prospectus. A prospectus supplement may also add, update, or change information contained in this prospectus. If there is any inconsistency between the information in this prospectus and the applicable prospectus supplement, you should rely on the information in the prospectus supplement.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Before investing in our securities, please carefully read both this prospectus and any prospectus supplement together with the documents incorporated by reference into this prospectus, as listed under “Documents Incorporated by Reference,” and the additional information described below under “Where You Can Find More Information.”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sell securities to or through underwriters or dealers, and we may also sell securities directly to other purchasers or through agents. To the extent not described in this prospectus, the names of any underwriters, dealers, or agents employed by us in the sale of the securities covered by this prospectus, the principal amounts or number of shares or other securities, if any, to be purchased by such underwriters or dealers, and the compensation, if any, of such underwriters, dealers, or agents will be described in a prospectus supplement.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Owning securities may subject you to tax consequences in the United States. This prospectus or any applicable prospectus supplement may not describe these tax consequences fully. You should read the tax discussion in any prospectus supplement with respect to a particular offering and consult your own tax advisor with respect to your own particular circumstances.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or a prospectus supplement. We have not authorized anyone to provide you with different information. If anyone provides you with different or inconsistent information, you should not rely on it. The distribution or possession of this prospectus in or from certain jurisdictions may be restricted by law. This prospectus is not an offer to sell the securities and is not soliciting an offer to buy the securities in any jurisdiction where the offer or sale is not permitted or where the person making the offer or sale is not qualified to do so or to any person to whom it is not permitted to make such offer or sale. You should assume that the information contained in this prospectus and in any applicable prospectus supplement is accurate only as of the date on the front cover of this prospectus or prospectus supplement, as applicable, and the information incorporated by reference into this prospectus or any prospectus supplement is accurate only as of the date of the document incorporated by reference. Our business, financial condition, results of operations and prospects may have changed since that date.</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contain company names, product names, trade names, trademarks and service marks of CLPS and other organizations, all of which are the property of their respective owners. We own or have rights to trademarks, service marks or trade names that we use in connection with the operation of our business. Solely for convenience, the trademarks, service marks, tradenames and copyrights referred to in this prospectus are listed without the ©, ® and TM symbols, but we will assert, to the fullest extent under applicable law, our rights or the rights of the applicable licensors to these trademarks, service marks and tradenames.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this prospectus, unless the context otherwise requires, references to “CLPS,” the “company,” “we,” “us” or “our” refer to CLPS Incorporation.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1157" w:right="4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27875" cy="3072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7875" cy="3072765"/>
                    </a:xfrm>
                    <a:prstGeom prst="rect">
                      <a:avLst/>
                    </a:prstGeom>
                    <a:noFill/>
                  </pic:spPr>
                </pic:pic>
              </a:graphicData>
            </a:graphic>
          </wp:anchor>
        </w:drawing>
        <w:t>WHERE YOU CAN FIND MORE INFORMATION</w:t>
      </w:r>
    </w:p>
    <w:p>
      <w:pPr>
        <w:spacing w:after="0" w:line="229" w:lineRule="exact"/>
        <w:rPr>
          <w:sz w:val="20"/>
          <w:szCs w:val="20"/>
          <w:color w:val="auto"/>
        </w:rPr>
      </w:pPr>
    </w:p>
    <w:p>
      <w:pPr>
        <w:jc w:val="both"/>
        <w:ind w:right="20" w:firstLine="648"/>
        <w:spacing w:after="0" w:line="289" w:lineRule="auto"/>
        <w:rPr>
          <w:sz w:val="20"/>
          <w:szCs w:val="20"/>
          <w:color w:val="auto"/>
        </w:rPr>
      </w:pPr>
      <w:r>
        <w:rPr>
          <w:rFonts w:ascii="Times New Roman" w:cs="Times New Roman" w:eastAsia="Times New Roman" w:hAnsi="Times New Roman"/>
          <w:sz w:val="17"/>
          <w:szCs w:val="17"/>
          <w:color w:val="auto"/>
        </w:rPr>
        <w:t>We have filed with the SEC a registration statement on Form F-3, of which this prospectus forms a part. This prospectus does not contain all the information set out in the registration statement. For further information about us and the securities, please refer to the registration statement, including the exhibits to the registration statement. The exhibits to the registration statement provide more details of the matters discussed in this prospectus.</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Securities Exchange Act of 1934, or the Exchange Act, and we file reports and other information with the SEC. You may read and copy any of our reports and other information at, and obtain copies upon payment of prescribed fees from, the Public Reference Room maintained by the SEC at 100 F Street, N.E., Washington, DC 20549. In addition, the SEC maintains a web site that contains reports and other information regarding registrants that file electronically with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The public may obtain information on the operation of the Public Reference Room by calling the SEC at 1-800-SEC-0330.</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certain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 is located at Unit 1102, 11th Floor, Millennium City III, 370 Kwun Tong Road, Kwun Tong, Kowloon, Hong Kong SAR. Our telephone number is (852) 37073600. Our website is as follows www.clpsglobal.com. </w:t>
      </w:r>
      <w:r>
        <w:rPr>
          <w:rFonts w:ascii="Times New Roman" w:cs="Times New Roman" w:eastAsia="Times New Roman" w:hAnsi="Times New Roman"/>
          <w:sz w:val="18"/>
          <w:szCs w:val="18"/>
          <w:b w:val="1"/>
          <w:bCs w:val="1"/>
          <w:color w:val="auto"/>
        </w:rPr>
        <w:t>The information on our website is not part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prospectus.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1157" w:right="4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127875" cy="430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7875" cy="4307205"/>
                    </a:xfrm>
                    <a:prstGeom prst="rect">
                      <a:avLst/>
                    </a:prstGeom>
                    <a:noFill/>
                  </pic:spPr>
                </pic:pic>
              </a:graphicData>
            </a:graphic>
          </wp:anchor>
        </w:drawing>
        <w:t>DOCUMENTS INCORPORATED BY REFERENCE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documents we file with, or furnish to, them, which means that we can disclose important information to you by referring you to these documents. The information that we incorporate by reference into this prospectus forms a part of this prospectus, and information that we file later with the SEC automatically updates and supersedes any information in this prospectus. We incorporate by reference into this prospectus the documents listed below:</w:t>
      </w:r>
    </w:p>
    <w:p>
      <w:pPr>
        <w:spacing w:after="0" w:line="180" w:lineRule="exact"/>
        <w:rPr>
          <w:sz w:val="20"/>
          <w:szCs w:val="20"/>
          <w:color w:val="auto"/>
        </w:rPr>
      </w:pPr>
    </w:p>
    <w:p>
      <w:pPr>
        <w:ind w:left="980" w:hanging="325"/>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22">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years ended June 30, 2022;</w:t>
      </w:r>
    </w:p>
    <w:p>
      <w:pPr>
        <w:spacing w:after="0" w:line="225" w:lineRule="exact"/>
        <w:rPr>
          <w:rFonts w:ascii="Times New Roman" w:cs="Times New Roman" w:eastAsia="Times New Roman" w:hAnsi="Times New Roman"/>
          <w:sz w:val="18"/>
          <w:szCs w:val="18"/>
          <w:color w:val="auto"/>
        </w:rPr>
      </w:pPr>
    </w:p>
    <w:p>
      <w:pPr>
        <w:jc w:val="both"/>
        <w:ind w:left="980" w:hanging="325"/>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shares set forth in our registration statement on </w:t>
      </w:r>
      <w:hyperlink r:id="rId23">
        <w:r>
          <w:rPr>
            <w:rFonts w:ascii="Times New Roman" w:cs="Times New Roman" w:eastAsia="Times New Roman" w:hAnsi="Times New Roman"/>
            <w:sz w:val="18"/>
            <w:szCs w:val="18"/>
            <w:u w:val="single" w:color="auto"/>
            <w:color w:val="0000EE"/>
          </w:rPr>
          <w:t>Form F-1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333-223956) filed with the SEC on March 27, 2018 and declared effective on May 23, 2018, and our </w:t>
      </w:r>
      <w:hyperlink r:id="rId24">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May 22, 2018, including any amendment or report filed for the purpose of updating that description.</w:t>
      </w:r>
    </w:p>
    <w:p>
      <w:pPr>
        <w:spacing w:after="0" w:line="176"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documents filed by us pursuant to Sections 13(a), 13(c), 14 or 15(d) of the Exchange Act subsequent to the date of the initial filing of this registration statement and prior to effectiveness of the registration statement that contains this prospectus and prior to the termination of the offering of the securities offered by this prospectus are incorporated by reference into this prospectus and form part of this prospectus from the date of filing or furnishing of these documents. Any documents that we furnish to the SEC on Form 6-K subsequent to the date of this prospectus will be incorporated by reference into this prospectus only to the extent specifically set forth in the Form 6-K.</w:t>
      </w:r>
    </w:p>
    <w:p>
      <w:pPr>
        <w:spacing w:after="0" w:line="183"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statement contained in a document incorporated by reference into this prospectus shall be deemed to be modified or superseded for purposes of this prospectus to the extent that a statement contained in this prospectus, in one of those other documents or in any other later filed document that is also incorporated by reference into this prospectus modifies or supersedes that statement. Any such statement so modified shall not be deemed, except as so modified, to constitute a part of this prospectus. Any such statement so superseded shall be deemed not to constitute a part of this prospectus.</w:t>
      </w:r>
    </w:p>
    <w:p>
      <w:pPr>
        <w:spacing w:after="0" w:line="183"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person receiving a copy of this prospectus, including any beneficial owner, may obtain without charge, upon written or oral request, a copy of any of the documents incorporated by reference into this prospectus, except for the exhibits to those documents unless the exhibits are specifically incorporated by reference into those documents. Requests should be directed to our principal executive office, Unit 1102, 11th Floor, Millennium City III, 370 Kwun Tong Road, Kwun Tong, Kowloon, Hong Kong SAR.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1157" w:right="4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219075</wp:posOffset>
            </wp:positionH>
            <wp:positionV relativeFrom="page">
              <wp:posOffset>588010</wp:posOffset>
            </wp:positionV>
            <wp:extent cx="7118985" cy="91078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18985" cy="9107805"/>
                    </a:xfrm>
                    <a:prstGeom prst="rect">
                      <a:avLst/>
                    </a:prstGeom>
                    <a:noFill/>
                  </pic:spPr>
                </pic:pic>
              </a:graphicData>
            </a:graphic>
          </wp:anchor>
        </w:drawing>
        <w:t>SUMMARY</w:t>
      </w:r>
    </w:p>
    <w:p>
      <w:pPr>
        <w:spacing w:after="0" w:line="227" w:lineRule="exact"/>
        <w:rPr>
          <w:sz w:val="20"/>
          <w:szCs w:val="20"/>
          <w:color w:val="auto"/>
        </w:rPr>
      </w:pPr>
    </w:p>
    <w:p>
      <w:pPr>
        <w:jc w:val="both"/>
        <w:ind w:firstLine="630"/>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does not contain all of the information about our company that may be important to you and your investment decision. You should carefully read the entire prospectus and the applicable prospectus supplement, including the section entitled “Risk Factors” as well as the risk factors described in the documents incorporated by reference into this prospectus and the applicable prospectus supplement, before making an investment decision.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jc w:val="both"/>
        <w:ind w:firstLine="630"/>
        <w:spacing w:after="0" w:line="258" w:lineRule="auto"/>
        <w:rPr>
          <w:sz w:val="20"/>
          <w:szCs w:val="20"/>
          <w:color w:val="auto"/>
        </w:rPr>
      </w:pPr>
      <w:r>
        <w:rPr>
          <w:rFonts w:ascii="Times New Roman" w:cs="Times New Roman" w:eastAsia="Times New Roman" w:hAnsi="Times New Roman"/>
          <w:sz w:val="18"/>
          <w:szCs w:val="18"/>
          <w:color w:val="auto"/>
        </w:rPr>
        <w:t>We are a global information technology (“IT”), consulting and solutions service provider focused on delivering services to global institutions in banking, insurance and financial sectors, both in China (hereinafter defined as the People’s Republic of China including Hong Kong SAR and Macau SAR) and globally. For more than ten years, we have served as an IT solutions provider to a growing network of clients in the global financial industry, including large financial institutions in the US, Europe, Australia and Hong Kong and their PRC-based IT centers. We have created and developed a particular market niche by providing turn-key financial solution.</w:t>
      </w:r>
    </w:p>
    <w:p>
      <w:pPr>
        <w:spacing w:after="0" w:line="183" w:lineRule="exact"/>
        <w:rPr>
          <w:sz w:val="20"/>
          <w:szCs w:val="20"/>
          <w:color w:val="auto"/>
        </w:rPr>
      </w:pPr>
    </w:p>
    <w:p>
      <w:pPr>
        <w:jc w:val="both"/>
        <w:ind w:firstLine="630"/>
        <w:spacing w:after="0" w:line="253" w:lineRule="auto"/>
        <w:rPr>
          <w:sz w:val="20"/>
          <w:szCs w:val="20"/>
          <w:color w:val="auto"/>
        </w:rPr>
      </w:pPr>
      <w:r>
        <w:rPr>
          <w:rFonts w:ascii="Times New Roman" w:cs="Times New Roman" w:eastAsia="Times New Roman" w:hAnsi="Times New Roman"/>
          <w:sz w:val="18"/>
          <w:szCs w:val="18"/>
          <w:color w:val="auto"/>
        </w:rPr>
        <w:t>CLPS Incorporation was incorporated under the laws of the Cayman Islands on May 11, 2017. Since our inception, we have aimed to build one of the largest sales and service delivery platforms for IT services and solutions in China. The nature of our services is such that we provide a majority of services to our banking and credit card clients in order to build new or modify existing clients’ own proprietary systems. We are fully committed to provide digital transformation services with focus on information technology in the banking, wealth management, e-commerce, and automotive industries, among others, through the utilization of innovative technology to achieve our client’s goals. We maintain 19 delivery and/or R&amp;D centers, of which 11 are located in Mainland China (hereinafter defined as the People’s Republic of China excluding Hong Kong SAR and Macau SAR) including Shanghai, Beijing, Dalian, Tianjin, Baoding, Xi’an, Chengdu, Guangzhou, Shenzhen, Hangzhou, and Hainan and eight are located globally (Hong Kong SAR, the United States, the Philippines, Japan, Singapore, Malaysia, Australia, and India.) By combining onsite (when we send our team to our client) or onshore (when we send our team to client’s overseas location) support and consulting with scalable and high-efficiency offsite (when we send our team to a location other than client’s location) or offshore (when we send our team to a location that is other than a client’s location overseas) services and processing, we are able to meet client demands in a cost-effective manner while retaining significant operational flexibility. By serving both Chinese and global clients on a common platform, we are able to leverage the shared resources, management, industry expertise and technological know-how to attract new business and remain cost competitive.</w:t>
      </w:r>
    </w:p>
    <w:p>
      <w:pPr>
        <w:spacing w:after="0" w:line="187" w:lineRule="exact"/>
        <w:rPr>
          <w:sz w:val="20"/>
          <w:szCs w:val="20"/>
          <w:color w:val="auto"/>
        </w:rPr>
      </w:pPr>
    </w:p>
    <w:p>
      <w:pPr>
        <w:jc w:val="both"/>
        <w:ind w:firstLine="630"/>
        <w:spacing w:after="0" w:line="261" w:lineRule="auto"/>
        <w:rPr>
          <w:sz w:val="20"/>
          <w:szCs w:val="20"/>
          <w:color w:val="auto"/>
        </w:rPr>
      </w:pPr>
      <w:r>
        <w:rPr>
          <w:rFonts w:ascii="Times New Roman" w:cs="Times New Roman" w:eastAsia="Times New Roman" w:hAnsi="Times New Roman"/>
          <w:sz w:val="18"/>
          <w:szCs w:val="18"/>
          <w:color w:val="auto"/>
        </w:rPr>
        <w:t>The Company notes that the Provisions of the State Council of the PRC on the Administration of Overseas Securities Offering and Listing by Domestic Companies (the “Provisions”) are still a draft version for public comment, which means that currently they do not have legally bindingly effect. According to the current draft, the Provisions do not require the Company to submit an application to the CSRC for approval to continue to be listed overseas.</w:t>
      </w:r>
    </w:p>
    <w:p>
      <w:pPr>
        <w:spacing w:after="0" w:line="180"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The Company does not receive customer data and personal information from its clients in its day-to-day business operation. According to the current laws and regulations, we do not believe that there are any prohibitions or material obstacles for the Company to continue its current business or for the foreign investors to register their securities.</w:t>
      </w:r>
    </w:p>
    <w:p>
      <w:pPr>
        <w:spacing w:after="0" w:line="176" w:lineRule="exact"/>
        <w:rPr>
          <w:sz w:val="20"/>
          <w:szCs w:val="20"/>
          <w:color w:val="auto"/>
        </w:rPr>
      </w:pPr>
    </w:p>
    <w:p>
      <w:pPr>
        <w:jc w:val="both"/>
        <w:ind w:firstLine="630"/>
        <w:spacing w:after="0" w:line="253" w:lineRule="auto"/>
        <w:rPr>
          <w:sz w:val="20"/>
          <w:szCs w:val="20"/>
          <w:color w:val="auto"/>
        </w:rPr>
      </w:pPr>
      <w:r>
        <w:rPr>
          <w:rFonts w:ascii="Times New Roman" w:cs="Times New Roman" w:eastAsia="Times New Roman" w:hAnsi="Times New Roman"/>
          <w:sz w:val="18"/>
          <w:szCs w:val="18"/>
          <w:color w:val="auto"/>
        </w:rPr>
        <w:t>If any of our Company, our subsidiaries do not receive or maintain the requisite permissions or approvals for our operations, or inadvertently conclude that such permissions or approvals are not required, the relevant PRC regulatory authorities would have broad discretion in dealing with such violations or failures, including imposing fines, confiscating our incomes and products that are deemed to have been obtained through illegal operations, and discontinuing or restricting our operations. It could result in substantial additional costs, adversely affect our ability to conduct our business, compete with other companies, our financial performance and negatively affect investors’ confidence in our financial performance and business prospects. Even if such permissions or approvals are ultimately granted, we may not successfully maintain or renew them and they may be withdrawn. Since applicable laws, regulations, or interpretations for the permissions or approvals may change and we may be required to obtain additional permissions or approvals in the future, we cannot assure you that we may obtain such permissions or approvals in a timely manner, or at all. It could result in a material change in our operations and we may be required to recall some of our current or future products, or even to partially suspend or totally shut down our production. In addition, regulatory changes may relax certain requirements that could benefit our competitors or lower market entry barriers and increase competition. Furthermore, it could significantly limit or completely hinder our ability to offer or continue to offer securities to investors and cause the value of our securities to significantly decline or become worthless.</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provides cash support to its subsidiaries according its business development plan. For fiscal year 2020, 2021, 2022, the Company provided cash support to its subsidiaries in Mainland China, Singapore and Hong Kong SAR. The amounts were offset when the Company’s consolidated financial statements were prepared. The balances due from subsidiaries to the Company were US$7.1 million, US$7.6 million, and US$22.8 million as of June 30 for fiscal 2020, 2021 and 2022, respectively. The subsidiaries provide cash support to the Company according its business development plan. The balances due to subsidiaries from the Company were Nil, Nil and US$7.1 million. as of June 30 for fiscal 2020, 2021 and 2022, respectively. The balances were reflected in the section “PARENT COMPANY ONLY CONDENSED FINANCIAL INFORMATION” in our financial statements for fiscal 2020, 2021, and 2022,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 is located at Unit 1102, 11th Floor, Millennium City III, 370 Kwun Tong Road, Kwun Tong, Kowloon, Hong Kong SAR. Our telephone number is (851) 37073600. Our website is as follows www.clpsglobal.com. </w:t>
      </w:r>
      <w:r>
        <w:rPr>
          <w:rFonts w:ascii="Times New Roman" w:cs="Times New Roman" w:eastAsia="Times New Roman" w:hAnsi="Times New Roman"/>
          <w:sz w:val="18"/>
          <w:szCs w:val="18"/>
          <w:b w:val="1"/>
          <w:bCs w:val="1"/>
          <w:color w:val="auto"/>
        </w:rPr>
        <w:t>The information on our website is not part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filing.</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1157" w:right="439" w:bottom="38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and should be considered speculative. An investment in our securities should only be undertaken by those persons who can afford the total loss of their investment. In addition to the risk factors below, you should carefully consider the risks and uncertainties described under “Item 3D. Risk Factors” in our Annual Report on Form 20-F for the fiscal year ended June 30, 2022, which section is incorporated by reference herein, and the other information contained in this prospectus, as updated by our subsequent filings under the Exchange Act and the risk factors and other information contained in any applicable prospectus supplement, before purchasing any of our securities. Additional risks and uncertainties not presently known to us or that we believe to be immaterial may also adversely affect our business. If any of these risks actually occur, our business, financial condition, prospects, results of operations or cash flow could be materially and adversely affected and you could lose all or a part of the value of your investment.</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Changes in general economic conditions, geopolitical conditions, U.S.-China trade relations and other factors beyond the Company’s control may adversely impact our business and operating results.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operations and performance depend significantly on global and regional economic and geopolitical conditions. Changes in U.S.-China trade policies, and a number of other economic and geopolitical factors both in China and abroad could have a material adverse effect on the Company’s business, financial condition, results of operations or cash flows. Such factors may include, without limitation:</w:t>
      </w:r>
    </w:p>
    <w:p>
      <w:pPr>
        <w:spacing w:after="0" w:line="176" w:lineRule="exact"/>
        <w:rPr>
          <w:sz w:val="20"/>
          <w:szCs w:val="20"/>
          <w:color w:val="auto"/>
        </w:rPr>
      </w:pPr>
    </w:p>
    <w:p>
      <w:pPr>
        <w:jc w:val="both"/>
        <w:ind w:left="98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political or economic conditions, including but not limited to inflation, recession, foreign currency exchange restrictions and devaluations, restrictive governmental controls on the movement and repatriation of earnings and capital, and actual or anticipated military or political conflicts, particularly in emerging markets;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intergovernmental conflicts or actions, including but not limited to armed conflict, trade wars, retaliatory tariffs, and acts of terrorism or war;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to the Company’s business with its largest customers, distributors and suppliers resulting from but not limited to, strikes, financial instabilities, computer malfunctions or cybersecurity incidents, inventory excesses, natural disasters or other disasters such as fires, floods, earthquakes, hurricanes or explosions.</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Any of the foregoing or similar factors could result in reduced demand for our services which, in turn, could have material adverse effects on our business and results of operations.</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The Holding Foreign Companies Accountable Act could result in delisting of our common stock from Nasdaq Capital Market and lack of a readily available market for our common stock.</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December 18, 2020, the Holding Foreign Companies Accountable Act ("HFCAA") became law. Among other things, the HFCAA requires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to identify public companies that have retained a registered public accounting firm to issue an audit report where that firm has a branch or office that:</w:t>
      </w:r>
    </w:p>
    <w:p>
      <w:pPr>
        <w:spacing w:after="0" w:line="9" w:lineRule="exact"/>
        <w:rPr>
          <w:sz w:val="20"/>
          <w:szCs w:val="20"/>
          <w:color w:val="auto"/>
        </w:rPr>
      </w:pPr>
    </w:p>
    <w:p>
      <w:pPr>
        <w:jc w:val="both"/>
        <w:ind w:firstLine="8"/>
        <w:spacing w:after="0" w:line="251" w:lineRule="auto"/>
        <w:tabs>
          <w:tab w:leader="none" w:pos="26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located in a foreign jurisdiction, and (2) the Public Company Accounting Oversight Board (“PCAOB”) has determined that it is unable to inspect or investigate completely because of a position taken by an authority in the foreign jurisdiction. PCAOB has identified several public accounting firms in China and Hong Kong SAR that PCAOB cannot inspect or investigate completely because of a position taken by that foreign government. The PCAOB has oversight authority over public accounting firms that audit financial results of companies subject to the Securities Exchange Act of 1934 (the “Exchange Act”). On December 16, 2021, PCAOB issued the HFCAA Determination Report, which includes a list of those public accounting firms located outside the U.S. that PCAOB is unable to inspect or investigate completely because of a position taken by an authority in the foreign jurisdiction (each a “Listed Auditor”). Our auditor, Ernst &amp; Yong Hua Ming LLP (the “Auditor”), for our 2022 fiscal year audit and currently our public auditor is a Listed Auditor subject to the determinations announced by the PCAOB on December 16, 2021. On December 15, 2022 PCAOB issued HFCAA Determination Report vacating the previous HFCAA Determination Report dated December 16, 2021. Our Auditor is located in China.</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HFCAA states if the SEC determines that we have filed audit reports issued by a registered public accounting firm that has not been subject to inspection by PCAOB for three consecutive years beginning in 2021, being a Listed Auditor, the SEC shall prohibit our shares from being traded on a national securities exchange or in the over-the counter trading market in the U.S. Accordingly, under the current law this could happen in 2024. On December 2, 2021, the SEC adopted final amendments to its rules implementing the HFCAA (the “Final Amendments”). The Final Amendments include requirements to disclose information, including the auditor name and location, the percentage of shares of the issuer owned by governmental entities, whether governmental entities in the applicable foreign jurisdiction with respect to the auditor has a controlling financial interest with respect to the issuer, the name of each official of the Chinese Communist Party who is a member of the board of the issuer, and whether the articles of incorporation of the issuer contains any charter of the Chinese Communist Party, including the text of any such charter.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SEC publishes a list of Exchange Act reporting companies that retain a Listed Auditor that has issued an audit report for a fiscal year (each company listed is a “Commission Identified Issuer” for purposes of HFCAA). If a Commission Identified Issuer has a Listed Auditor issue audit reports for three consecutive fiscal years, being 2021, 2022 and 2023, then the SEC will impose an initial trading ban on the publicly traded securities of the Commission Identified Issuer in early 2024, which trading ban can be lifted if Commission Identified Issuer retains a public auditor that is not a Listed Auditor and that public auditor issues an audit report for a fiscal year for the Commission Identified Issuer. The SEC’s role at this stage of the process is solely to identify issuers that have used Listed Auditors to audit their financial statements. Our Company is on the conclusive list of identified companies under the HFCAA.</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Auditor is the independent registered public accounting firm that issues the audit report included elsewhere in our Form 20-F and conducts the audit of our annual financial results. As an auditor of a company that has its stock traded publicly in the United States, our Auditor is registered with and supervised by the PCAOB and is subject to laws in the United States. Under those laws, the PCAOB conducts regular inspections or audits to assess public accounting firms acting as auditors, including our Auditor, compliance with the applicable PCAOB rules and professional standards. Since our Auditor is located in China, a jurisdiction where the PCAOB has been unable to conduct audits and inspections completely without the approval of the Chinese authorities, our Auditor is not currently audited or inspected completely by the PCAOB and is consequently a Listed Auditor.</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inability of the PCAOB to conduct unfettered inspections of public accounting firms in Mainland China and Hong Kong SAR, including our Auditor, prevents the PCAOB from fully evaluating audits and quality control procedures of our Auditor. This lack of full audit and inspection effectively deprives investors in our Common Stock of the benefits of PCAOB oversight and inspections. The inability of the PCAOB to conduct inspections of auditors in China and Hong Kong SAR makes it more difficult to evaluate the effectiveness of our Auditor’s audit procedures or quality control procedures as compared to auditors outside of Mainland China and Hong Kong SAR that are subject to complete audit and investigation by the PCAOB. This limitation on PCAOB audit and inspection could cause investors and potential investors in our Common Stock to lose confidence in our audit procedures and reported financial information and the quality of our financial statements. This lack or loss of confidence could also not only cause investors to avoid trading our Common Stock or sell positions in our Common Stock, but could also undermine efforts of the Company to secure equity or debt financing, hinder any efforts to up-list the Common Stock to a national securities exchange, adversely influence the decision of third parties to conduct business with our company, or have other adverse business or financial consequences. Trading in our securities may be prohibited under the HFCAA if PCAOB determines that it cannot inspect or investigate completely our Auditor, and that as a result, Nasdaq may determine to delist our securities.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uncertainties with respect to regulatory cooperation between PCAOB and Chinese regulators under the Statement of Protocol signed by the PCAOB and the CSRC of the People’s Republic of China on August 26, 2022.</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August 26, 2022, the PCAOB signed a Statement of Protocol with the China Securities Regulatory Commission and the Ministry of Finance of the People’s Republic of China, taking the first step toward opening access for the PCAOB to inspect and investigate registered public accounting firms headquartered in Mainland China and Hong Kong. Having made the determinations in 2021 that the positions taken by PRC authorities prevented the PCAOB from inspecting and investigating in Mainland China and Hong Kong completely, on December 15, 2022 PCAOB issued HFCAA Determination Report vacating the previous HFCAA Determination Report dated December 16, 2021.As required by the HFCAA, if in the future the PCAOB determines it no longer can inspect or investigate completely because of a position taken by an authority in the PRC, the PCAOB will consider to issue a new determination, and, as a result Nasdaq Capital Market LLC may determine to delist our securities.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light of an independent auditor’s settlement with the SEC on September 29, 2022 for allegedly asking its clients to select their own samples for testing and to prepare audit documentation to show that the independent auditor itself had gotten and evaluated the supporting evidence for certain clients’ accounting entries, our independent auditor has never asked us to select our own samples for testing or to prepare audit documentation to show that our independent auditor itself had gotten and evaluated the supporting evidence for our accounting entries.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Under the current version of HFCAA, an SEC ban on trading shares of Common Stock in the U.S. could take place in early 2024 if we have a Listed Auditor (a public auditor that cannot be completely audited and investigated by the PCAOB for three consecutive fiscal years (being 2021, 2022 and 2023)). If this happens, there is no certainty that we will be able to list or otherwise trade our shares on a non-U.S. exchange or that a market for our shares of Common Stock will develop outside of the U.S. The ban on trading of our shares in, or the threat of their being banned from trading in, the U.S. may materially and adversely affect the value of our Shareholders’ investment.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Company is subject to a trading ban in the United States, it may be unable to list its Common Stock on a non-U.S. public stock market, or even if listed on a non-U.S. public stock market, that the Common Stock would enjoy any liquidity or investor support. As such, the Common Stock may be difficult to establish or be unable to be established on a foreign public stock market or quotation system. The absence of a public market for the Common Stock could render the shares of Common Stock an illiquid, potentially worthless investment.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HFCAA or other efforts to increase U.S. regulatory access to audit information could cause investor uncertainty for affected issuers, like our company, and the market price of the shares could be adversely affected. Additionally, whether the PCAOB will be able to conduct inspections of our Auditor before the issuance of our financial statements to be included in our Form 20-F for the fiscal year 2023 or at all, is subject to substantial uncertainty and depends on factors out of our control and our Auditor’s control. If our Auditor is unable to be inspected in time, and we do not engage a public auditor who is not a Listed Auditor prior to the 2023 annual audit, we could be delisted from the Nasdaq Capital Market in 2024 and not eligible for trading on other tiers of the over the counter markets. A ban on trading of our Common Stock would substantially impair your ability to sell or purchase our shares when you wish to do so, and the risk and uncertainty associated with the ban would have a negative impact on the price of our shares of Common Stock. The ban on trading would also significantly affect our ability to raise capital on terms acceptable to us, or at all, which would have a material adverse impact on our business, financial condition, and prospects. If our shares are prohibited from trading in the U.S., there is no certainty that we will be able to list on a non-U.S. exchange or that a market for our shares will develop outside of the U.S.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the Company intends to engage an auditor who is audited and investigated completely by the PCAOB in prior to fiscal year 2023, the Company has not engaged such an auditor as of the date of Form F-3. The Company, as a smaller reporting company, may experience delays or difficulties in engaging a public auditor who can be audited and investigated completely by the PCAOB and also audit our operations, which operations are located in Mainland China and Hong Kong SAR.</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Efforts to increase U.S. Regulatory access to information about companies in China or Hong Kong SAR in order to enhance transparency for investors in U.S. corporations traded on U.S. stock markets but with substantial operations in China or Hong Kong SAR, like the Company, and Chinese opposition and reaction to those U.S. efforts could foster additional measures to restrict access to U.S. capital markets by such corporations or expedite delisting of securities of such corporations from U.S. stock markets and quotation systems. The potential enactment of the Accelerating Holding Foreign Companies Accountable Act, if it is enacted into law in the U.S., would decrease the number of non-inspection years from three to two years under HFCAA, thus reducing the time period before our shares of Common Stock may be banned from being traded in the U.S. If this bill were enacted as proposed, and we have a Listed Auditor for fiscal years 2021 and 2022, our shares may be banned from trading in the U.S. in early 2023, not early 2024.</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22, 2021, the U.S. Senate passed a bill known as the Accelerating Holding Foreign Companies Accountable Act, to amend Section 104(i) of the Sarbanes-Oxley Act of 2002 (15 U.S.C. 7214(i)) (“Proposed Law”) to prohibit securities of any registrant from being listed on any of the U.S. securities exchanges or traded over-the-counter if the auditor of the registrant’s financial statements is not subject to PCAOB investigation and inspection completely for two consecutive years, instead of three consecutive years as currently provided in the HFCAA.</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4, 2022, the U.S. House of Representatives passed the America Competes Act of 2022 which includes the same amendments as the bill passed by the Senate. The America Competes Act, however, includes a broader range of legislation not related to the HFCAA in response to the U.S. Innovation and Competition Act passed by the Senate in 2021. The U.S. House of Representatives and U.S. Senate will need to agree on amendments to these respective bills to align the legislation and pass their amended bills before the U.S. President can sign into law. It is unclear when the U.S. Senate and U.S. House of Representatives will resolve the differences in the U.S. Innovation and Competition Act and the America Competes Act of 2022 bills currently passed, or when the U.S. President will sign the bill to make the amendment into law, if at all. In the case that the bill becomes the law, it may reduce the time period before our shares could be prohibited from trading in the U.S. from 2024 to 2023. Company is not certain as of the date of this Form F-3 of when and if the Proposed Law will become law and applicable to public companies like our company.</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Company becomes directly subject to the recent scrutiny, criticism and negative publicity involving U.S.-listed Chinese/Hong Kong SAR companies, we may have to expend significant resources to investigate and resolve the matters. Any unfavorable results from the investigations could harm our business operations and our reputation.</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2021 and onwards, U.S. public companies with operations based in China have been subjects of intense scrutiny, criticism and negative publicity by investors, financial commentators and regulatory agencies, such as the SEC and certain members of Congress. Much of the scrutiny, criticism and negative publicity has centered on alleged financial and accounting irregularities, lack of effective internal control over financial reporting, inadequate corporate governance and ineffective implementation thereof and, in many cases, allegations of fraud. As a result of enhanced scrutiny, criticism and negative publicity, the publicly traded stocks of many U.S.-listed Chinese companies have decreased in value and, in some cases, have become virtually worthless or illiquid. Shareholder lawsuits and SEC investigations and enforcement actions can be fostered by intense, negative public focus on Chinese or Hong Kong SAR based companies. The Company does not believe that it is subject to any of these allegations, investigations or enforcement actions as of the date of this Form F-3. If the Company becomes a subject of any unfavorable allegations, whether such allegations are proven to be true or untrue, the Company will have to expend significant resources to investigate such allegations and defend the Company. If such allegations were not proven to be baseless, the Company would be severely hampered and the price of the stock of the Company could decline substantially. If such allegations were proven to be groundless, the investigation might have significantly distracted the attention of the Company’s management. The mere commencement of an investigation by a regulator, like the SEC, even without evidence of any misconduct or violation of laws, can undermine investor confidence in the Company as an investment and do so even if the investigation finds no misconduct or violations of laws or regulations. Regulator investigations can take months or longer to resolve and can require considerable resources of a company to adequately respond to such. investigations.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The recent government regulation of business activities of U.S.-listed Chinese companies may negatively impact our operations.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Chinese regulatory authorities issued Opinions on Strictly Cracking Down on Illegal Securities Activities, which were available to the public on July 6, 2021, which further emphasized their goal to strengthen the cross-border regulatory collaboration, to improve relevant laws and regulations on data security, cross-border data transmission, and confidential information management, and provided that efforts will be made to revise the regulations on strengthening the confidentiality and file management relating to the offering and listing of securities overseas, to implement the responsibility on information security of overseas listed companies, and to strengthen the standardized management of cross-border information provision mechanisms and procedures. These opinions are issued in mid-2021, and there were no known further explanations or detailed rules or regulations with respect to such opinions, and there are still uncertainties regarding the interpretation and implementation of these opinions. China intends to improve regulation of cross-border data flows and security, crack down on illegal activity in the securities market and punish fraudulent securities issuance, market manipulation and insider trading. China will also check sources of funding for securities investment and control leverage ratios. If the Chinese government’s regulatory involvement expands and we become subject to that expanded involvement, our operations may be negatively impacted, although, as of the date of this Form F-3, there is no known regulatory involvement of the nature described in this paragraph and there is no discernible immediate impact on our company under the recent regulatory developments described in this paragraph.</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face various risks and uncertainties relating to doing business in Mainland China and Hong Kong SAR. Our business operations are primarily conducted in Mainland China and Hong Kong SAR, and we are subject to complex and evolving Chinese and Hong Kong SAR laws and regulations. For example, the Anti-monopoly Law of the People's Republic of China (Revised in 2022) (“Anti-monopoly Law”) came into effect on August 1, 2022. The “monopolistic practices” defined by the Anti-monopoly Law include (a) the conclusion of a monopolistic agreement; (b) the abuse of dominant market positions; and (c) the concentration that eliminates or restricts competition or may eliminate or restrict competition. Based on Company’s China and global market share, the Company does not have a dominant market position that enables the Company to restrict or eliminate the competition. China promulgated several laws and regulations on data security and personal information protections in the last two years, mainly the Data Security Law of the People's Republic of China (“Data Security Law”), which came into effect on September 1, 2021, and the Personal Information Protection Law of the People's Republic of China (“PIP Law”), which came into effect on November 1, 2021. In the Company's day-to-day business operations, sensitive customer data and personal information will not be received from the Company's clients. The legal consequence of this fact is that neither the Data Security Law or the PIP Law applies to the Company’s business activities in China. And we also face risks associated with regulatory approvals on offshore offerings, as well as the lack of inspection on our Auditor by the PCAOB, which may impact our ability to conduct certain businesses, accept foreign investments, or list and conduct offerings on a United States or other foreign exchange. These risks could result in a material adverse change in our operations and the value of our shares of Common Stock, significantly limit or completely hinder our ability to continue to offer securities to investors, or cause the value of our Common Stock to decline.</w:t>
      </w:r>
    </w:p>
    <w:p>
      <w:pPr>
        <w:spacing w:after="0" w:line="19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PRC legal system, including uncertainties regarding the enforcement of laws, and sudden or unexpected changes in policies, laws and regulations in China, could adversely affect us.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PRC legal system is based on written statutes and court decisions that have limited precedential value. The PRC legal system is evolving rapidly, and therefore the interpretations and enforcement of many laws, regulations and rules may contain inconsistencies and uncertainties.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From time to time, we may have to resort to administrative and court proceedings to enforce our legal rights. However, since PRC judicial and administrative authorities have significant discretion in interpreting and implementing statutory and contractual terms, it may be more difficult to predict the outcome of a judicial or administrative proceeding than in more developed legal systems. Furthermore, the PRC legal system is based, in part, on government policies and internal rules, some of which are not published in a timely manner, or at all, but which may have retroactive effect. As a result, we may not always be aware of any potential violation of these policies and rules. These uncertainties may impede our contractual, property and procedural rights, which could adversely affect our business, financial condition and results of operations.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PRC government has significant oversight and discretion over the conduct of our business and may intervene with or influence our operations as the government deems appropriate to further regulatory, political and societal goals. The PRC government has recently published new policies that significantly affected certain industries such as the education and internet industries, and we cannot rule out the possibility that it will in the future release regulations or policies regarding our industry that could adversely affect our business, financial condition and results of operations. Furthermore, the PRC government has also recently indicated an intent to exert more oversight and control over securities offerings and other capital markets activities that are conducted overseas and foreign investment in China-based companies like us. Any such action, once taken by the PRC government, could significantly limit or completely hinder our ability to offer or continue to offer securities to investors and cause the value of such securities to significantly decline or in extreme cases, become worthless.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Permissions Required from the PRC Authorities for Our Operations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conduct our business primarily through our subsidiaries in China. Our operations in China are governed by PRC laws and regulations. As of the date of this Form F-3, our PRC subsidiaries have obtained the requisite licenses and permits from the PRC government authorities that are material for the business operations of our subsidiaries in China, including, Business license, the Human Resource Services License. Given the uncertainties of interpretation and implementation of relevant laws and regulations and the enforcement practice by relevant government authorities, we may be required to obtain additional licenses, permits, filings or approvals for the services in the future.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in connection with our issuance of securities to foreign investors, under current PRC laws, regulations and regulatory rules, as of the date of this Form F-3, we, our PRC subsidiaries, (i) are not required to obtain permissions from the China Securities Regulatory Commission, or the CSRC,</w:t>
      </w:r>
    </w:p>
    <w:p>
      <w:pPr>
        <w:ind w:firstLine="8"/>
        <w:spacing w:after="0" w:line="260" w:lineRule="auto"/>
        <w:tabs>
          <w:tab w:leader="none" w:pos="2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required to go through cybersecurity review by the Cyberspace Administration of China, or the CAC, and (iii) have not been asked to obtain such permissions by any PRC authority.</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However, the PRC government has recently indicated an intent to exert more oversight and control over offerings that are conducted overseas and/or foreign investment in China-based issuers.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any of our Company, our subsidiaries do not receive or maintain the requisite permissions or approvals for our operations, or inadvertently conclude that such permissions or approvals are not required, the relevant PRC regulatory authorities would have broad discretion in dealing with such violations or failures, including imposing fines, confiscating our incomes and products that are deemed to have been obtained through illegal operations, and discontinuing or restricting our operations. It could result in substantial additional costs, adversely affect our ability to conduct our business, compete with other companies, our financial performance and negatively affect investors’ confidence in our financial performance and business prospects. Even if such permissions or approvals are ultimately granted, we may not successfully maintain or renew them and they may be withdrawn. Since applicable laws, regulations, or interpretations for the permissions or approvals may change and we may be required to obtain additional permissions or approvals in the future, we cannot assure you that we may obtain such permissions or approvals in a timely manner, or at all. It could result in a material change in our operations and we may be required to recall some of our current or future products, or even to partially suspend or totally shut down our production. In addition, regulatory changes may relax certain requirements that could benefit our competitors or lower market entry barriers and increase competition. Furthermore, it could significantly limit or completely hinder our ability to offer or continue to offer securities to investors and cause the value of our securities to significantly decline or become worthless.</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filing, approval or other administrative requirements of the CSRC or other PRC government authorities may be required to maintain our listing status or conduct future offshore securities or debt offerings.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PRC government authorities may strengthen oversight over offerings that are conducted overseas and/or foreign investment in overseas-listed China-based issuers like us from time to time. Such actions taken by the PRC government authorities may intervene our operations at any time, which are beyond our control. For instance, the relevant PRC governments promulgated the Opinions on Strictly Cracking Down on Illegal Securities Activities, among which, it is mentioned that the administration and supervision of overseas-listed China-based companies will be strengthened, and the special provisions of the State Council on overseas issuance and listing of shares by such companies will be revised, clarifying the responsibilities of domestic industry competent authorities and regulatory authorities. However, due to lack of further interpretations or applications from the competent authorities on such opinions, there are still uncertainties regarding the interpretation and implementation of these opinions, and any new rules or regulations promulgated in the future may impose additional requirements on us.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December 24, 2021, the CSRC published the draft Regulations of the State Council on the Administration of Overseas Issuance and Listing of Securities by Domestic Companies (Draft for Comments) (the “Administrative Provisions”) and the draft Measures for the Record-Filing of Overseas Issuance and Listing of Securities by Domestic Companies (Draft for Comments) (the “Filing Measures”) for public comments till January 23, 2022. Pursuant to these drafts, a filing-based regulatory system will be applied to both “direct overseas offering and listing” and “indirect overseas offering and listing” of PRC domestic companies. The “indirect overseas offering and listing” of PRC domestic companies refers to such securities offering and listing in an overseas market made in the name of an offshore entity, but based on the underlying equity, assets, earnings or other similar rights of a domestic company which operates its main business domestically. If the issuer meets the following conditions, the offering and listing shall be determined as an indirect overseas offering and listing by a domestic company: (i) the total assets, net assets, revenues or profits of the domestic operating entity or entities of the issuer in the most recent accounting year account for more than 50% of the corresponding figure in the issuer’s audited consolidated financial statements for the same period; (ii) most of the senior managers in charge of business operation and management of the issuer are Chinese citizens or have domicile in China, and its main places of business are located in China or main business activities are conducted in China. As of the date of this Form F-3, it remains uncertain when the final Administrative Provisions and Filing Measures will be adopted and whether they will be adopted in the current draft form. If the Administrative Provisions and Filing Measures are adopted in the current form, we may be required to file the relevant documents with the CSRC within three business days after submitting our listing application documents to the relevant regulator in the place of intended listing, and complete the filing procedures with the CSRC in connection with such future offshore securities offering. Failure to complete the filing under the Administrative Provisions and Filing Measures may subject a PRC domestic company to a warning and a fine of RMB1 million to RMB10 million. In the event of a serious violation of the Administrative Provisions, the PRC domestic company may be ordered to discontinue the related business or suspend its operations for rectification, and its permits or business licenses may be revoked.</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Furthermore, on April 2, 2022, the CSRC published the draft Provisions on Strengthening the Confidentiality and Archives Management Related to Overseas Issuance and Listing of Securities by Domestic Companies (Draft for Comments), or the Draft Confidentiality and Archives Management Provisions, for public comments. Pursuant to the Draft Confidentiality and Archives Management Provisions, PRC domestic companies that seek to offer and list securities in overseas markets shall establish confidentiality and archives system. The PRC domestic companies shall obtain approval from the competent authority and file with the confidential administration department at the same level when providing or publicly disclosing documents and materials related to state secrets or secrets of the governmental authorities to the relevant securities companies, securities service agencies or the offshore regulatory authorities or providing or publicly disclosing such documents and materials through its offshore listing entity, and shall complete corresponding procedures when providing or publicly disclosing documents and materials which may adversely influence national security and the public interest to the relevant securities companies, securities service agencies or the offshore regulatory authorities or providing or publicly disclosing such documents and materials through its offshore listing entity. The PRC domestic companies shall provide written statements on the implementation on the aforementioned rules to the relevant securities companies and securities service agencies and the PRC domestic companies shall not provide accounting files to an overseas accounting firm unless such firm comply with the corresponding procedures. As of the date of this Form F-3, the Draft Confidentiality and Archives Management Provisions were released for public comments only and the final version and effective date of such regulations are subject to change with substantial uncertainty.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474" w:gutter="0" w:footer="0" w:header="0"/>
        </w:sectPr>
      </w:pPr>
    </w:p>
    <w:bookmarkStart w:id="13" w:name="page14"/>
    <w:bookmarkEnd w:id="1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the CSRC or other PRC regulatory authorities subsequently determine that we need to obtain their approval or complete the required filing or other administrative procedures for any future offshore securities offering or other financing activities, or if such government authorities promulgate any interpretation or implement rules that would require us to obtain approvals from the CSRC or other regulatory authorities or complete required filing or other administrative procedures for any future offshore securities offering or other financing activities, it is uncertain whether we can or how long it will take us to obtain such approval or complete such filing or other administrative procedures, or obtain any waiver of aforesaid requirements if and when procedures are established to obtain such waiver. Any failure to obtain or delay in obtaining such approval or completing such filing or other administrative procedures for any future offshore securities offering, or a rescission of any such approval obtained by us, could subject us to sanctions by the CSRC or other PRC regulatory agencies. In any such event, these regulatory authorities may also impose fines and penalties on our operations in China, limit our operating privileges in China, delay or restrict the repatriation of the proceeds from any future offshore securities offering into the PRC or take other actions that could adversely affect our business, operating results and financial condition, as well as our ability to complete any future offshore securities offering. The CSRC or any other PRC government authorities may also take actions requiring us, or making it advisable for us, to halt any future offshore securities offering. Consequently, if you engage in market trading or other activities in anticipation of and prior to settlement and delivery, you do so at the risk that such settlement and delivery may not occur. Any uncertainties or negative publicity regarding such approval requirements could materially and adversely affect the trading price of our shares.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subsidiaries in Mainland China are subject to restrictions on paying dividends and making other payments to our holding company.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CLPS Incorporation is our holding company incorporated in the Cayman Islands and has no operation of its own. As a result of the holding company structure, it currently relies on dividend payments from our subsidiaries in Mainland China. However, PRC regulations currently permit payment of dividends only out of accumulated profits, as determined in accordance with PRC accounting standards and regulations. Our subsidiaries in Mainland China are also required to set aside a portion of their after-tax profits according to PRC accounting standards and regulations to fund certain reserve funds. The PRC government also imposes controls on the conversion of RMB into foreign currencies and the remittance of foreign currencies out of Mainland China. We may experience difficulties in completing the administrative procedures necessary to obtain and remit foreign currency. The Company does not believe that any recent new regulations on foreign exchange controls will cause CLPS entities within Mainland China to encounter restrictions or obstacles in distributing profits to foreign shareholders. Furthermore, if our subsidiaries in Mainland China incur debt on their own in the future, the instruments governing the debt may restrict their ability to pay dividends or make other payments. If our subsidiaries in Mainland China are unable to pay dividends or make other payments to us, we may be unable to pay dividends on our shares.</w:t>
      </w:r>
    </w:p>
    <w:p>
      <w:pPr>
        <w:spacing w:after="0" w:line="1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subsidiaries have not declared or paid any cash dividends to the holding company. CLPS Incorporation has not declared or paid any cash dividends to pay any cash dividends on its ordinary shares.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provides cash support to its subsidiaries according its business development plan. For fiscal year 2020, 2021, 2022, the Company provided cash support to its subsidiaries in Mainland China, Singapore and Hong Kong SAR. The amounts were offset when the Company’s consolidated financial statements were prepared. The balances due from subsidiaries to the Company were US$7.1 million, US$7.6 million and US$22.8 million as of June 30 for fiscal 2020, 2021 and 2022, respectively. The subsidiaries provide cash support to the Company according its business development plan. The balances due to subsidiaries from the Company were Nil, Nil and US$7.1 million. as of June 30 for fiscal 2020, 2021 and 2022, respectively. The balances were reflected in the section “PARENT COMPANY ONLY CONDENSED FINANCIAL INFORMATION” in our financial statements for fiscal 2020, 2021, and 2022, respectively.</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Recent regulatory developments in China may subject us to additional regulatory review and disclosure requirements, expose us to government interference, or otherwise restrict or completely hinder our ability to offer securities and raise capitals outside China, all of which could materially and adversely affect our business, and cause the value of our securities to significantly decline or become worthless.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December 2021, the CAC promulgated the amended Measures of Cybersecurity Review which require cyberspace operators with personal information of more than one million users to file for cybersecurity review with the CRO, in the event such operators plan for an overseas listing. The amended Measures of Cybersecurity Review provide that, among others, an application for cybersecurity review must be made by an issuer that is a “network platform operator” as defined therein before such issuer’s securities become listed in a foreign country, if the issuer possesses personal information of more than one million users, and that the relevant governmental authorities in the PRC may initiate cybersecurity review if such governmental authorities determine an operator’s cyber products or services or data processing activities affect or may affect China’s national security. The amended Measures of Cybersecurity Review took effect on February 15, 2022.</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current PRC cybersecurity laws in China, critical information infrastructure operators that intend to purchase internet products and services that may affect national security must be subject to the cybersecurity review. On July 30, 2021, the State Council of the PRC promulgated the Regulations on the Protection of the Security of Critical Information Infrastructure, which took effect on September 1, 2021. The regulations require, among others, that certain competent authorities shall identify critical information infrastructures. If any critical information infrastructure is identified, they shall promptly notify the relevant operators and the Ministry of Public Security.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Currently, the cybersecurity laws and regulations have not directly affected our business and operations, As the amended Measures of Cybersecurity Review took effect in February 2022, we may be subject to review when conducting data processing activities, and may face challenges in addressing its requirements and make necessary changes to our internal policies and practices in data processing. As of the date of this Form F-3, we have not been involved in any investigations on cybersecurity review made by the CAC on such basis, and we have not received any inquiry, notice, warning, or sanctions in such respect. Based on the foregoing, we and our PRC legal counsel do not expect that, as of the date of this Form F-3, the current applicable PRC laws on cybersecurity would have a material adverse impact on our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122"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including the documents incorporated by reference herein, contains information that may be forward-looking statements within the meaning of applicable securities laws.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Words such as “may”, “will”, “should”, “could”, “would”, “predicts”, “potential”, “continue”, “expects”, “anticipates”, “future”, “intends”, “plans”, “believes”, “estimates” and similar expressions, as well as statements in the future tense, identify forward-looking statements.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statements are necessarily subjective and involve known and unknown risks, uncertainties and other important factors that could cause our actual results, performance or achievements, or industry results, to differ materially from any future results, performance or achievements described in or implied by such statements. Actual results may differ materially from expected results described in our forward-looking statements, including with respect to correct measurement and identification of factors affecting our business or the extent of their likely impact, the accuracy and completeness of the publicly available information with respect to the factors upon which our business strategy is based on the success of our business.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Forward-looking statements should not be read as a guarantee of future performance or results, and will not necessarily be accurate indications of whether, or the times by which, our performance or results may be achieved. Forward-looking statements are based on information available at the time those statements are made and management’s belief as of that time with respect to future events, and are subject to risks and uncertainties that could cause actual performance or results to differ materially from those expressed in or suggested by the forward-looking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through Our Organization</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CLPS Incorporation is a holding company with no operations of its own. We conduct our operations in mainland China primarily through our subsidiaries in China. As a result, although other means are available for us to obtain financing at the holding company level, CLPS Incorporation’s ability to pay dividends to the shareholders and to service any debt it may incur may depend upon dividends paid by our PRC subsidiaries. If any of our subsidiaries incurs debt on its own behalf, the instruments governing such debt may restrict its ability to pay dividends to CLPS Incorporation. In addition, our PRC subsidiaries are permitted to pay dividends to CLPS Incorporation only out of their retained earnings, if any, as determined in accordance with PRC accounting standards and regulations. Further, our PRC subsidiaries are required to make appropriations to certain statutory reserve funds. Under PRC law, CLPS Incorporation may provide funding to our PRC subsidiaries only through capital contributions or loans, subject to satisfaction of applicable government registration and approval requirements. The subsidiaries have not declared or paid any cash dividends to the holding company. CLPS Incorporation has not declared or paid any cash dividends to pay any cash dividends on its ordinary shares. The Company provides cash support to its subsidiaries according its business development plan. For fiscal year 2020, 2021, 2022, the Company provided cash support to its subsidiaries in Mainland China, Singapore and Hong Kong SAR. The amounts were offset when the Company’s consolidated financial statements were prepared. The balances due from subsidiaries to the Company were US$7.1 million, US$7.6 million and US$22.8 million as of June 30 for fiscal 2020, 2021 and 2022, respectively. The subsidiaries provide cash support to the Company according its business development plan. The balances due to subsidiaries from the Company were Nil, Nil and US$7.1 million. as of June 30 for fiscal 2020, 2021 and 2022, respectively. The balances were reflected in the section “PARENT COMPANY ONLY CONDENSED FINANCIAL INFORMATION” in our financial statements for fiscal 2020, 2021, and 2022, respectively. For the years ended June 30, 2020, 2021 and 2022, cash and cash equivalents of PRC companies were 77.91 million (US$11.03 million), 62.66 million (US$9.71 million), and 99.0 million (US$14.8 million).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is conducted in China and majority of our revenues is denominated in RMB. Capital accounts of our financial statements are translated into U.S. dollars from RMB at their historical exchange rates when the capital transactions occurred. RMB is not freely convertible into foreign currency and all foreign exchange transactions must take place through authorized institutions. No representation is made that the RMB amounts could have been, or could be, converted into U.S. dollars at the rates used in translation.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exchange rates between the RMB and the U.S. dollar for the periods indicated. On November 4, 2022, the buying rate announced by the Federal Reserve Statistical Release was RMB 7.2996 to $1.00.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Spot Exchange Rate</w:t>
            </w: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470"/>
              <w:spacing w:after="0" w:line="194" w:lineRule="exact"/>
              <w:rPr>
                <w:sz w:val="20"/>
                <w:szCs w:val="20"/>
                <w:color w:val="auto"/>
              </w:rPr>
            </w:pPr>
            <w:r>
              <w:rPr>
                <w:rFonts w:ascii="Times New Roman" w:cs="Times New Roman" w:eastAsia="Times New Roman" w:hAnsi="Times New Roman"/>
                <w:sz w:val="18"/>
                <w:szCs w:val="18"/>
                <w:b w:val="1"/>
                <w:bCs w:val="1"/>
                <w:color w:val="auto"/>
              </w:rPr>
              <w:t>Period</w:t>
            </w:r>
          </w:p>
        </w:tc>
        <w:tc>
          <w:tcPr>
            <w:tcW w:w="1420" w:type="dxa"/>
            <w:vAlign w:val="bottom"/>
          </w:tcPr>
          <w:p>
            <w:pPr>
              <w:jc w:val="right"/>
              <w:ind w:right="45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42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(1)</w:t>
            </w: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Low</w:t>
            </w: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High</w:t>
            </w: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380" w:type="dxa"/>
            <w:vAlign w:val="bottom"/>
            <w:tcBorders>
              <w:top w:val="single" w:sz="8" w:color="auto"/>
            </w:tcBorders>
          </w:tcPr>
          <w:p>
            <w:pPr>
              <w:spacing w:after="0"/>
              <w:rPr>
                <w:sz w:val="19"/>
                <w:szCs w:val="19"/>
                <w:color w:val="auto"/>
              </w:rPr>
            </w:pPr>
          </w:p>
        </w:tc>
        <w:tc>
          <w:tcPr>
            <w:tcW w:w="2740" w:type="dxa"/>
            <w:vAlign w:val="bottom"/>
            <w:tcBorders>
              <w:top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(RMB per US$1.00)</w:t>
            </w: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6.9618</w:t>
            </w:r>
          </w:p>
        </w:tc>
        <w:tc>
          <w:tcPr>
            <w:tcW w:w="1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6.9081</w:t>
            </w:r>
          </w:p>
        </w:tc>
        <w:tc>
          <w:tcPr>
            <w:tcW w:w="13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7.1786</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6.5250</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6.9043</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7.1681</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6.5208</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6.3726</w:t>
            </w: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6.4382</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6.3640</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6.5518</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July</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6.7433</w:t>
            </w: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6.7352</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6.6945</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6.7655</w:t>
            </w: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August</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6.8890</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6.8007</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6.7230</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6.9100</w:t>
            </w: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7.1135</w:t>
            </w: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7.0195</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6.8985</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7.1990</w:t>
            </w:r>
          </w:p>
        </w:tc>
      </w:tr>
      <w:tr>
        <w:trPr>
          <w:trHeight w:val="234"/>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October</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7.3048</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7.1902</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7.1103</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7.3048</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https://www.federalreserve.gov/releases/h10/hist/default.htm.</w:t>
      </w:r>
    </w:p>
    <w:p>
      <w:pPr>
        <w:spacing w:after="0" w:line="225" w:lineRule="exact"/>
        <w:rPr>
          <w:sz w:val="20"/>
          <w:szCs w:val="20"/>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averages, lows, and highs are calculated from month-end rates. Monthly averages, lows, and highs are calculated using the average of the daily rates during the relevant period.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indicated in a prospectus supplement, the net proceeds that we receive from the sale of the securities offered by this prospectus will be used by us for working capital and general corporate purposes. We have not allocated any portion of the net proceeds for any particular use as of the date of this prospectus. The net proceeds may be invested temporarily until they are used for their stated purpose. Specific information concerning the use of proceeds from the sale of any securities will be included in the prospectus supplement relating to such securities.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PRICE RANGE OF COMMON SHARES AND TRADING MARKETS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Since May 24, 2018, our shares have been listed on the NASDAQ under the ticker symbol CLPS. The following tables set forth, for the periods indicated, the high and low market prices of our shares as reported on the NASDAQ.</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NASDAQ</w:t>
            </w: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3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High US$</w:t>
            </w:r>
          </w:p>
        </w:tc>
        <w:tc>
          <w:tcPr>
            <w:tcW w:w="11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Low US$</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2022</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4.26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top w:val="single" w:sz="8" w:color="CCEEFF"/>
            </w:tcBorders>
            <w:shd w:val="clear" w:color="auto" w:fill="CCEEFF"/>
          </w:tcPr>
          <w:p>
            <w:pPr>
              <w:spacing w:after="0"/>
              <w:rPr>
                <w:sz w:val="18"/>
                <w:szCs w:val="18"/>
                <w:color w:val="auto"/>
              </w:rPr>
            </w:pPr>
          </w:p>
        </w:tc>
      </w:tr>
      <w:tr>
        <w:trPr>
          <w:trHeight w:val="45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NASDAQ</w:t>
            </w: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3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High US$</w:t>
            </w:r>
          </w:p>
        </w:tc>
        <w:tc>
          <w:tcPr>
            <w:tcW w:w="11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Low US$</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1st Quarter ended September 30, 2022</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1.92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holders of common shares are entitled to vote at all meetings of our shareholders. The holders of common shares are entitled to receive dividends as and when declared by the board, if 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 Cayman Islands company and our affairs are governed by our Memorandum and Articles of Association and Companies Act (Revised) of the Cayman Islands, which we refer to as the Companies Act below. As of the date hereof, our authorized share capital consists of 100,000,000 common shares with a par value of US$0.0001 per share. As of December 16, 2022, there were 23,626,122 shares issued and outstanding. The following summary description sets forth some of the general terms and provisions of our common shares. Because this is a summary description, it does not contain all of the information that may be important to you. For a more detailed description of our common shares, you should refer to our Memorandum and Articles of Association in effect at the time of any offering.</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authorized and unissued common shares are available for issuance without further action by our shareholders, unless such action is required by applicable law or the rules of the Nasdaq Global Market, or any stock exchange on which our securities may be listed at such time. Unless approval of our shareholders is so required, our board of directors will not seek shareholders' approval for the issuance and sale of our common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All of our outstanding common shares are fully paid and non-assessable. Certificates representing the common shares are issued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registered form. Our shareholders, whether or not they are non-residents of the Cayman Islands, may freely hold and transfer their common shares in accordance with the Memorandum and Articles of Association.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The holders of our common shares are entitled to such dividends as may be declared by our board of directors. Our articles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association provide that our board of directors may declare and pay dividends if justified by our financial position and permitted by law.</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In respect of all matters subject to a shareholders’ vote, each common share is entitled to one vote. Voting at any meeting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is by show of hands unless voting by way of a poll is required by the rules of any stock exchange on which our shares are listed for trading, or a poll is demanded by the chairman of such meeting or one or more shareholders holding not less than 10% of the total voting rights of all shareholders having the right to vote at the meeting. A quorum required for a meeting of shareholders consists of one shareholder who holds at least one-third of our issued voting shares. Shareholders’ meetings may be held annually. Each general meeting, other than an annual general meeting, shall be an extraordinary general meeting. Extraordinary general meetings may be called by a majority of our board of directors or upon a requisition of shareholders holding at the date of deposit of the requisition not less than 40% of the aggregate share capital of our company that carries the right to vote at a general meeting, in which case an advance notice of at least 120 clear days is required for the convening of our annual general meeting and other general meetings by requisition of the shareholders. An ordinary resolution to be passed at a meeting by the shareholders requires the affirmative vote of a simple majority of the votes attaching to the common shares cast at a meeting, while a special resolution requires the affirmative vote of no less than two-thirds of the votes attaching to the common shares cast at a meeting. A special resolution will be required for important matters such as a change of name or making changes to our memorandum and articles of association.</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of Common Shares. </w:t>
      </w:r>
      <w:r>
        <w:rPr>
          <w:rFonts w:ascii="Times New Roman" w:cs="Times New Roman" w:eastAsia="Times New Roman" w:hAnsi="Times New Roman"/>
          <w:sz w:val="18"/>
          <w:szCs w:val="18"/>
          <w:color w:val="auto"/>
        </w:rPr>
        <w:t>Subject to the restrictions set out below, any of our shareholders may transfer all or any of his or her common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an instrument of transfer in the usual or common form or any other form approved by our board of directors. Our board of directors may, in its absolute discretion, decline to register any transfer of any common share irrespective of whether the shares is fully paid or the Company has no lien over it. If our board of directors refuses to register a transfer, it shall, within two months after the date on which the transfer was lodged, send to each of the transferor and the transferee notice of such refusal. Upon completion of this offering, we intend to waive our right to refuse transfers of any common shares. The registration of transfers may, after compliance with any notice required of the stock exchange on which our shares are listed, be suspended at such times and for such periods as our board of directors may determine, provided, however, that the registration of transfers shall not be suspended for more than 30 days in any year as our board of directors may determine.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Calls on Common Shares and Forfeiture of Common Shares. </w:t>
      </w:r>
      <w:r>
        <w:rPr>
          <w:rFonts w:ascii="Times New Roman" w:cs="Times New Roman" w:eastAsia="Times New Roman" w:hAnsi="Times New Roman"/>
          <w:sz w:val="18"/>
          <w:szCs w:val="18"/>
          <w:color w:val="auto"/>
        </w:rPr>
        <w:t>Our board of directors may from time to time make calls upon shareholders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amounts unpaid on their common shares in a notice served to such shareholders at least 14 clear days prior to the specified time of payment. The common shares that have been called upon and remain unpaid are subject to forfeiture.</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Common Shares. </w:t>
      </w:r>
      <w:r>
        <w:rPr>
          <w:rFonts w:ascii="Times New Roman" w:cs="Times New Roman" w:eastAsia="Times New Roman" w:hAnsi="Times New Roman"/>
          <w:sz w:val="18"/>
          <w:szCs w:val="18"/>
          <w:color w:val="auto"/>
        </w:rPr>
        <w:t>The Companies Act and our memorandum of association permit us to purchase our own shares. In accordance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our articles of association and provided the necessary shareholders or board approval have been obtained, we may issue shares on terms that are subject to redemption, at our option or at the option of the holders of these shares, on such terms and in such manner, provided the requirements under the Companies Act have been satisfied, including out of capital, as may be determined by our board of directors.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Inspection of Books and Records. </w:t>
      </w:r>
      <w:r>
        <w:rPr>
          <w:rFonts w:ascii="Times New Roman" w:cs="Times New Roman" w:eastAsia="Times New Roman" w:hAnsi="Times New Roman"/>
          <w:sz w:val="18"/>
          <w:szCs w:val="18"/>
          <w:color w:val="auto"/>
        </w:rPr>
        <w:t>Holders of our common shares have no general right under our articles of association to inspect or obtain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copies of our list of shareholders or our corporate records. However, we will provide our shareholders with annual audited financial statements. See “Where You Can Find Additional Information.”</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Issuance of Additional Shares. </w:t>
      </w:r>
      <w:r>
        <w:rPr>
          <w:rFonts w:ascii="Times New Roman" w:cs="Times New Roman" w:eastAsia="Times New Roman" w:hAnsi="Times New Roman"/>
          <w:sz w:val="18"/>
          <w:szCs w:val="18"/>
          <w:color w:val="auto"/>
        </w:rPr>
        <w:t>Our memorandum of association authorizes our board of directors to issue additional common shares from time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as our board of directors shall determine, to the extent of available authorized but unissued shares. Our memorandum and articles of association also authorizes our board of directors to establish from time to time one or more series of shares and to determine, with respect to any series of shares, the terms and rights of that series, including:</w:t>
      </w:r>
    </w:p>
    <w:p>
      <w:pPr>
        <w:spacing w:after="0" w:line="180"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 to be issued;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may issue these shares without action by our shareholders to the extent authorized but unissued. Issuance of these shares may dilute the voting power of holders of common shares.</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Anti-Takeover Provisions. </w:t>
      </w:r>
      <w:r>
        <w:rPr>
          <w:rFonts w:ascii="Times New Roman" w:cs="Times New Roman" w:eastAsia="Times New Roman" w:hAnsi="Times New Roman"/>
          <w:sz w:val="18"/>
          <w:szCs w:val="18"/>
          <w:color w:val="auto"/>
        </w:rPr>
        <w:t>Some provisions of our memorandum and articles of association may discourage, delay or prevent a change of control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company or management that shareholders may consider favorable, including provisions that authorize our board of directors to issue shares in one or more series and to designate the price, rights, preferences, privileges and restrictions of such shares without any further vote or action by our shareholders, to the extent authorized but unissued.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 – Exclusive Forum Provision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Articles of Association provides that the courts of the Cayman Islands shall be the sole and exclusive forum for (i) any derivative action or proceeding brought on behalf of the Company, (ii) any action asserting a claim of breach of a fiduciary duty owed by any director or officer of the Company to the Company or the Company’s shareholders, (iii) any action asserting a claim against the Company arising pursuant to any provision of the Companies Act, the Memorandum of Association of the Company or the Articles of Association of the Company, and (iv) any action asserting a claim against the Company in respect of shareholders’ rights as shareholders or distributions of dividends. This choice of forum provision may limit a shareholder’s ability to bring a claim in a judicial forum that it finds favorable for disputes with us or our directors, officers or other employees, which may discourage such lawsuits against us and our directors, officers and employees. Alternatively, a court, including a Cayman Islands court, could find these provisions of our Articles of Association to be inapplicable or unenforceable in respect of one or more of the specified types of actions or proceedings, which may require us to incur additional costs associated with resolving such matters in other jurisdictions, which could adversely affect our business and financial condition.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Companies Act is modeled after the corporate legislation of the United Kingdom but does not follow recent United Kingdom statutory enactments. In addition, the Companies Act differs from laws applicable to United States corporations and their shareholders. Set forth below is a summary of some of the significant differences between the provisions of the Companies Act applicable to us and the laws applicable to companies incorporated in the United States (particularly Delaware) and their shareholders.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Mergers and Similar Arrangements. </w:t>
      </w:r>
      <w:r>
        <w:rPr>
          <w:rFonts w:ascii="Times New Roman" w:cs="Times New Roman" w:eastAsia="Times New Roman" w:hAnsi="Times New Roman"/>
          <w:sz w:val="18"/>
          <w:szCs w:val="18"/>
          <w:color w:val="auto"/>
        </w:rPr>
        <w:t>The Companies Act provides for the merger or consolidation of two or more companies into a single entity.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legislation makes a distinction between a “consolidation” and a “merger.” In a consolidation, a new entity is formed from the combination of each participating company, and the separate consolidating parties, as a consequence, cease to exist and are each stricken by the Registrar of Companies. In a merger, one company remains as the surviving entity, having in effect absorbed the other merging parties that are then stricken and cease to exist.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Two or more Cayman-registered companies may merge or consolidate. Cayman-registered companies may also merge or consolidate with foreign companies provided that the laws of the foreign jurisdiction permit such merger or consolidation.</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Under the Companies Act, a plan of merger or consolidation shall be authorized by each constituent company by way of (i) a special resolution of the members of each such constituent company; and (ii) such other authorization, if any, as may be specified in such constituent company’s memorandum and articles of association.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subsidiary is a company of which at least ninety percent (90%) of the votes are owned by the parent company.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Save in certain circumstances, a dissentient shareholder of a Cayman constituent company is entitled to payment of the fair value of his shares upon dissenting to a merger or consolidation. The exercise of appraisal rights will preclude the exercise of any other rights save for the right to seek relief on the grounds that the merger or consolidation is void or unlawful.</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there are statutory provisions that facilitate the reconstruction and amalgamation of companies, provided that the arrangement is approved by a majority in number of each class of shareholders and creditors with whom the arrangement is to be made, and who must in addition represent seventy-five percent (75%)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While a dissenting shareholder has the right to express to the court the view that the transaction ought not to be approved, the court can be expected to approve the arrangement if it determines that:</w:t>
      </w:r>
    </w:p>
    <w:p>
      <w:pPr>
        <w:spacing w:after="0" w:line="162"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an intelligent and honest man of that class acting in respect of his interest ;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 or that would amount to a "fraud on the minority".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a take-over offer is made and accepted by holders of not less than 90% of the shares within four months, the offer, or may, within a two-month period commencing on the expiration of such four months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arrangement and reconstruction is thus approved, the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Shareholders’ Suits. </w:t>
      </w:r>
      <w:r>
        <w:rPr>
          <w:rFonts w:ascii="Times New Roman" w:cs="Times New Roman" w:eastAsia="Times New Roman" w:hAnsi="Times New Roman"/>
          <w:sz w:val="18"/>
          <w:szCs w:val="18"/>
          <w:color w:val="auto"/>
        </w:rPr>
        <w:t>In principle, we will normally be the proper plaintiff to sue for a wrong done to us as a company and as a general rule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derivative action may not be brought by a minority shareholder. However, based on English authorities, which would in all likelihood be of persuasive authority in the Cayman Islands, there are exceptions to the foregoing principle, including when:</w:t>
      </w:r>
    </w:p>
    <w:p>
      <w:pPr>
        <w:spacing w:after="0" w:line="175"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duly effected if authorized by more than a simple majority vote that has not been obtained;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 of Directors and Executive Officers and Limitation of Liability. </w:t>
      </w:r>
      <w:r>
        <w:rPr>
          <w:rFonts w:ascii="Times New Roman" w:cs="Times New Roman" w:eastAsia="Times New Roman" w:hAnsi="Times New Roman"/>
          <w:sz w:val="18"/>
          <w:szCs w:val="18"/>
          <w:color w:val="auto"/>
        </w:rPr>
        <w:t>The Companies Act does not limit the extent to which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or against the indemnified person's own fraud or dishonesty. Our memorandum and articles of association permit indemnification of current and former officers and directors for all actions, proceedings, costs, charges, expenses, losses, damages or liabilities incurred or sustained in their capacities as such unless such losses or damages arise from dishonesty of such directors or officers’ willful default of fraud. This standard of conduct is generally the same as permitted under the Delaware General Corporation Law for a Delaware corporation. Insofar as indemnification of each current and former officer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Directors’ Fiduciary Duties. </w:t>
      </w:r>
      <w:r>
        <w:rPr>
          <w:rFonts w:ascii="Times New Roman" w:cs="Times New Roman" w:eastAsia="Times New Roman" w:hAnsi="Times New Roman"/>
          <w:sz w:val="18"/>
          <w:szCs w:val="18"/>
          <w:color w:val="auto"/>
        </w:rPr>
        <w:t>Under Delaware corporate law, a director of a Delaware corporation has a fiduciary duty to the corporation and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 As a matter of Cayman Islands law, directors of Cayman Islands companies owe fiduciary duties to their respective companies to, amongst other things, act in good faith in their dealings with or on behalf of the company and exercise their powers and fulfill the duties of their office honestly. Core duties are: a duty to act in good faith in what the directors bona fide consider to be the best interests of the company (and in this regard, it should be noted that the duty is owed to the company and not to associate companies, subsidiaries or holding companies); a duty not to personally profit from opportunities that arise from the office of director; a duty of trusteeship of the company’s assets, a duty not to put himself or herself in a position where the interests of the company conflict with his or her personal interest or his or her duty to a third party, and a duty to exercise powers for the purpose for which such powers were conferred. A director of a Cayman Islands company also owes to the company a duty to act with skill, care and diligence. A director need not exhibit in the performance of his or her duties a greater degree of skill than may reasonably be expected from a person of his or her knowledge and experience.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Action by Written Consent. </w:t>
      </w:r>
      <w:r>
        <w:rPr>
          <w:rFonts w:ascii="Times New Roman" w:cs="Times New Roman" w:eastAsia="Times New Roman" w:hAnsi="Times New Roman"/>
          <w:sz w:val="18"/>
          <w:szCs w:val="18"/>
          <w:color w:val="auto"/>
        </w:rPr>
        <w:t>Under the Delaware General Corporation Law, a corporation may eliminate the right of shareholders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 by written consent by amendment to its certificate of incorporation. Cayman Islands law and our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Proposals. </w:t>
      </w:r>
      <w:r>
        <w:rPr>
          <w:rFonts w:ascii="Times New Roman" w:cs="Times New Roman" w:eastAsia="Times New Roman" w:hAnsi="Times New Roman"/>
          <w:sz w:val="18"/>
          <w:szCs w:val="18"/>
          <w:color w:val="auto"/>
        </w:rPr>
        <w:t>Under the Delaware General Corporation Law, a shareholder has the right to put any proposal before the annual meeting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shareholders, provided it complies with the notice provisions in the governing documents. A special meeting may be called by the board of directors or any other person authorized to do so in the governing documents, but shareholders may be precluded from calling special meetings. The Companies Act provides shareholders with only limited rights to requisition a general meeting and does not provide shareholders with any right to bring business before a general meeting or requisition a general meeting. However, these rights may be provided in articles of association. Our articles of association allow our shareholders holding not less than 40% of all voting power of our share capital in issue to requisition a shareholder’s meeting. Other than this right to requisition a shareholders’ meeting, our articles of association do not provide our shareholders other right to put proposal before a meeting. As an exempted Cayman Islands company, we are not obliged by law to call shareholders’ annual general meetings.</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Cumulative Voting. </w:t>
      </w:r>
      <w:r>
        <w:rPr>
          <w:rFonts w:ascii="Times New Roman" w:cs="Times New Roman" w:eastAsia="Times New Roman" w:hAnsi="Times New Roman"/>
          <w:sz w:val="18"/>
          <w:szCs w:val="18"/>
          <w:color w:val="auto"/>
        </w:rPr>
        <w:t>Under the Delaware General Corporation Law, cumulative voting for elections of directors is not permitted unless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Companies Act but our articles of association do not provide for cumulative voting.</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Removal of Directors. </w:t>
      </w:r>
      <w:r>
        <w:rPr>
          <w:rFonts w:ascii="Times New Roman" w:cs="Times New Roman" w:eastAsia="Times New Roman" w:hAnsi="Times New Roman"/>
          <w:sz w:val="18"/>
          <w:szCs w:val="18"/>
          <w:color w:val="auto"/>
        </w:rPr>
        <w:t>Under the Delaware General Corporation Law, a director of a corporation with a may be removed with the approval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majority of the outstanding shares entitled to vote, unless the certificate of incorporation provides otherwise. Under our articles of association, directors may be removed, by an ordinary resolution of our shareholders.</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with Interested Shareholders. </w:t>
      </w:r>
      <w:r>
        <w:rPr>
          <w:rFonts w:ascii="Times New Roman" w:cs="Times New Roman" w:eastAsia="Times New Roman" w:hAnsi="Times New Roman"/>
          <w:sz w:val="18"/>
          <w:szCs w:val="18"/>
          <w:color w:val="auto"/>
        </w:rPr>
        <w:t>The Delaware General Corporation Law contains a business combination statute applicable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 The Companies Act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corporate purpose and not with the effect of constituting a fraud on the minority shareholders.</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Dissolution; Winding up. </w:t>
      </w:r>
      <w:r>
        <w:rPr>
          <w:rFonts w:ascii="Times New Roman" w:cs="Times New Roman" w:eastAsia="Times New Roman" w:hAnsi="Times New Roman"/>
          <w:sz w:val="18"/>
          <w:szCs w:val="18"/>
          <w:color w:val="auto"/>
        </w:rPr>
        <w:t>Under the Delaware General Corporation Law, unless the board of directors approves the proposal to dissolve,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the Companies Act,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articles of association, our company may be dissolved, liquidated or wound up by a special resolution of our shareholders.</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Variation of Rights of Shares. </w:t>
      </w:r>
      <w:r>
        <w:rPr>
          <w:rFonts w:ascii="Times New Roman" w:cs="Times New Roman" w:eastAsia="Times New Roman" w:hAnsi="Times New Roman"/>
          <w:sz w:val="18"/>
          <w:szCs w:val="18"/>
          <w:color w:val="auto"/>
        </w:rPr>
        <w:t>Under the Delaware General Corporation Law, a corporation may vary the rights of a class of shares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approval of a majority of the outstanding shares of such class, unless the certificate of incorporation provides otherwise. Under the Companies Act and our articles of association, if our share capital is divided into more than one class of shares, we may vary the rights attached to any class with the written consent of the holders of two-thirds of the issued shares of that class or with the sanction of a special resolution passed at a separate general meeting of the holders of the shares of that class.</w:t>
      </w:r>
    </w:p>
    <w:p>
      <w:pPr>
        <w:spacing w:after="0" w:line="179"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of Governing Documents. </w:t>
      </w:r>
      <w:r>
        <w:rPr>
          <w:rFonts w:ascii="Times New Roman" w:cs="Times New Roman" w:eastAsia="Times New Roman" w:hAnsi="Times New Roman"/>
          <w:sz w:val="18"/>
          <w:szCs w:val="18"/>
          <w:color w:val="auto"/>
        </w:rPr>
        <w:t>Under the Delaware General Corporation Law, a corporation’s governing documents may be amended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approval of a majority of the outstanding shares entitled to vote, unless the certificate of incorporation provides otherwise. As permitted by the Companies Act, our memorandum and articles of association may only be amended with a special resolution of our shareholders.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Rights of Non-resident or Foreign Shareholders. </w:t>
      </w:r>
      <w:r>
        <w:rPr>
          <w:rFonts w:ascii="Times New Roman" w:cs="Times New Roman" w:eastAsia="Times New Roman" w:hAnsi="Times New Roman"/>
          <w:sz w:val="18"/>
          <w:szCs w:val="18"/>
          <w:color w:val="auto"/>
        </w:rPr>
        <w:t>There are no limitations imposed by our memorandum and articles of association on the rights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PREFERRED SHARES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description of preferred shares and the description of the terms of any particular series of preferred shares that we choose to issue hereunder and that will be set forth in the related prospectus supplement are not complete. These descriptions are qualified in their entirety by reference to the certificate of designation relating to that series. The rights, preferences, privileges and restrictions of the preferred shares of each series will be fixed by the certificate of designation relating to that series.</w:t>
      </w:r>
    </w:p>
    <w:p>
      <w:pPr>
        <w:spacing w:after="0" w:line="1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authorized share capital of the Company is currently US$10,000 divided into 100,000,000 shares of US$0.0001 par value each of a single class. Accordingly, the Company will need to obtain shareholders' approval to create a new class of preferred shares and to amend its memorandum and articles of association to provide for the rights of the preferred shares prior to its issuance. Subject to the Company having duly authorized the creation of the new class of preferred shares,</w:t>
      </w:r>
    </w:p>
    <w:p>
      <w:pPr>
        <w:spacing w:after="0" w:line="1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will have the authority, subject to limitations prescribed by law and the then effective memorandum and articles of association, to provide for the issuance of the preferred shares in one or more series, to establish from time to time the number of shares to be included in each such series, and to fix the designation, powers, preferences and rights of the shares of each series and the qualifications, limitations or restrictions, including, but not limited to, the following:</w:t>
      </w:r>
    </w:p>
    <w:p>
      <w:pPr>
        <w:spacing w:after="0" w:line="112"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constituting that series;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rights and rates;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terms;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and terms of redemption (including sinking fund provisions); and</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the series in the event of liquidation, dissolution or winding up.</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preferred shares offered hereby (after the same have been duly created and authorized for issuance) will, when issued, be fully paid and nonassessable and will not have any preemptive or similar rights. Subject to the Company having duly authorized the creation of the new class of preferred shares and the rights of the preferred shares set out in the memorandum and article of association, our board of directors could authorize the issuance of preferred shares with terms and conditions that could have the effect of discouraging a takeover or other transaction that might involve a premium price for holders of the shares or which holders might believe to be in their best interests.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set forth in a prospectus supplement relating to the series of preferred shares being offered the following items:</w:t>
      </w:r>
    </w:p>
    <w:p>
      <w:pPr>
        <w:spacing w:after="0" w:line="158"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 of the preferred shares;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preferred shares offered, the liquidation preference per share and the offering price of the preferred shares;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date(s) or method(s) of calculation applicable to the preferred shares;</w:t>
      </w:r>
    </w:p>
    <w:p>
      <w:pPr>
        <w:spacing w:after="0" w:line="15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are cumulative or non-cumulative and, if cumulative, the date from which dividends on the preferred shares will accumulate;</w:t>
      </w:r>
    </w:p>
    <w:p>
      <w:pPr>
        <w:spacing w:after="0" w:line="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 for the preferred shares;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 for the preferred shares;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redemption, if applicable, of the preferred shares;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shares on any securities exchange;</w:t>
      </w:r>
    </w:p>
    <w:p>
      <w:pPr>
        <w:spacing w:after="0" w:line="15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the preferred shares will be convertible into common shares, including the conversion price (or manner of calculation) and conversion period;</w:t>
      </w:r>
    </w:p>
    <w:p>
      <w:pPr>
        <w:spacing w:after="0" w:line="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shares;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and/or special United States federal income tax considerations applicable to the preferred shares;</w:t>
      </w:r>
    </w:p>
    <w:p>
      <w:pPr>
        <w:spacing w:after="0" w:line="15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shares as to dividend rights and rights upon the liquidation, dissolution or winding up of our affairs;</w:t>
      </w:r>
    </w:p>
    <w:p>
      <w:pPr>
        <w:spacing w:after="0" w:line="9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shares ranking senior to or on a parity with the class or series of preferred shares as to dividend rights and rights upon liquidation, dissolution or winding up of our affairs; and</w:t>
      </w:r>
    </w:p>
    <w:p>
      <w:pPr>
        <w:spacing w:after="0" w:line="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the preferred shares.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any series of preferred shares will be set forth in the applicable prospectus supplement.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warrants for the purchase of common shares. Warrants may be offered separately or together with other securities offered by this prospectus, as the case may be. Unless the applicable prospectus supplement otherwise indicates, each series of warrants will be issued under a separate warrant agreement to be entered into between us and one or more banks or trust companies acting as warrant agent. The applicable prospectus supplement will include details of the warrant agreements covering the warrants being offered. The warrant agent will act solely as our agent and will not assume a relationship of agency with any holders of warrant certificates or beneficial owners of warrants.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sets forth certain general terms and provisions of the warrants offered under this prospectus. The specific terms of the warrants, and the extent to which the general terms described in this section apply to those warrants, will be set forth in the applicable prospectus supplement. The terms of any warrants offered under a prospectus supplement may differ from the terms described below.</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particular terms of each issue of warrants will be described in the related prospectus supplement. This description will include some or all of the following:</w:t>
      </w:r>
    </w:p>
    <w:p>
      <w:pPr>
        <w:spacing w:after="0" w:line="162"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aggregate number of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warrants will be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warrants will be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our common shares purchasable upon exercise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that may be purchased upon exercise of each warrant and the price at which and currency or currencies in which our common shares may be purchased upon exercise of each warrant;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securities with which the warrants will be offered, if any, and the number of the warrants that will be offered with each security;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or after which the warrants and the related securities will be transferable separately;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whether the warrants will be subject to redemption or call and, if so, the terms of such redemption or call provisions;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United States tax consequences of owning the warrants;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or conditions of the warrants.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warrant will entitle the holder to purchase common shares, as specified in the applicable prospectus supplement at the exercise price that we describe therein.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description is a summary of the material provisions of the debt securities and the related indenture. We urge you to read the form of indenture filed as an exhibit to the registration statement of which this prospectus is a part because the indenture, and not this description, governs your rights as a holder of debt securities. References in this prospectus to an “indenture” refer to the particular indenture under which we may issue a series of debt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an officers’ certificate or by a supplemental indenture. Debt securities may be issued in separate series without limitation as to aggregate principal amount. We may specify a maximum aggregate principal amount for the debt securities of any series. The particular terms of each series of debt securities will be described in a prospectus supplement relating to such series, including any pricing supplement. The prospectus supplement will set forth specific terms relating to some or all of the following:</w:t>
      </w:r>
    </w:p>
    <w:p>
      <w:pPr>
        <w:spacing w:after="0" w:line="183"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who shall be entitled to receive interest, if other than the record holder on the record date;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principal will be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if any, the date interest will accrue, the interest payment dates and the regular record 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where payments may be made;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mandatory or optional redemption provisions;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method for determining how the principal, premium, if any, or interest will be calculated by reference to an index or formula;</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U.S. currency, the currency or currency units in which principal, premium, if any, or interest will be payable and whether we or the holder may elect payment to be made in a different currency;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that will be payable upon acceleration of stated maturity, if other than the entire principal amount;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defeasance provisions if different from those described below under “Satisfaction and Discharge; Defeasance”;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or exchange provisions;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to redeem or purchase the debt securities pursuant to a sinking fund;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issuable in the form of a global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subordination provisions, if different from those described below under “Subordination”;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of, or changes or additions to, the events of default or covenants;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such debt securities.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prospectus supplement, the debt securities will be registered debt securities. Debt securities may be sold at a substantial discount below their stated principal amount, bearing no interest or interest at a rate which at the time of issuance is below market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and Transfer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Debt securities may be transferred or exchanged at the office of the security registrar or at the office of any transfer agent designated by us.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will not impose a service charge for any transfer or exchange, but we may require holders to pay any tax or other governmental charges associated with any transfer or exchange.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event of any potential redemption of debt securities of any series, we will not be required to:</w:t>
      </w:r>
    </w:p>
    <w:p>
      <w:pPr>
        <w:spacing w:after="0" w:line="225" w:lineRule="exact"/>
        <w:rPr>
          <w:sz w:val="20"/>
          <w:szCs w:val="20"/>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security of that series during a period beginning at the opening of business 15 days before the day of mailing of a notice of redemption and ending at the close of business on the day of the mailing; or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security of that series selected for redemption, in whole or in part, except the unredeemed portion being redeemed in part.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initially appoint the trustee as the security registrar. Any transfer agent, in addition to the security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debt securities of any series may be represented, in whole or in part, by one or more global securities. Each global security will:</w:t>
      </w:r>
    </w:p>
    <w:p>
      <w:pPr>
        <w:spacing w:after="0" w:line="225"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registered in the name of a depositary that we will identify in a prospectus supplement;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deposited with the depositary or nominee or custodian;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any required legends.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 global security may be exchanged in whole or in part for debt securities registered in the name of any person other than the depositary or any nominee unless:</w:t>
      </w:r>
    </w:p>
    <w:p>
      <w:pPr>
        <w:spacing w:after="0" w:line="162" w:lineRule="exact"/>
        <w:rPr>
          <w:sz w:val="20"/>
          <w:szCs w:val="20"/>
          <w:color w:val="auto"/>
        </w:rPr>
      </w:pPr>
    </w:p>
    <w:p>
      <w:pPr>
        <w:jc w:val="center"/>
        <w:ind w:left="5540" w:right="660" w:hanging="4884"/>
        <w:spacing w:after="0" w:line="783" w:lineRule="auto"/>
        <w:tabs>
          <w:tab w:leader="none" w:pos="98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notified us that it is unwilling or unable to continue as depositary or has ceased to be qualified to act as depositary;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is continuing;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executes and delivers to the trustee an officers’ certificate stating that the global security is exchangeable.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long as the depositary, or its nominee, is the registered owner of a global security, the depositary or nominee will be considered the sole owner and holder of the debt securities represented by the global security for all purposes under the indenture. Except in the above limited circumstances, owners of beneficial interests in a global security:</w:t>
      </w:r>
    </w:p>
    <w:p>
      <w:pPr>
        <w:spacing w:after="0" w:line="176"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the debt securities registered in their names;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physical delivery of certificated debt securities;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to be holders of those debt securities under the indentures.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Institutions that have accounts with the depositary or its nominee are referred to as “participants.” Ownership of beneficial interests in a global security will be limited to participants and to persons that may hold beneficial interests through participants. The depositary will credit, on its book-entry registration and transfer system, the respective principal amounts of debt securities represented by the global security to the accounts of its participants.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shown on and effected through records maintained by the depositary, with respect to participants’ interests, or any participant, with respect to interests of persons held by participants on their behalf.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Payments, transfers and exchanges relating to beneficial interests in a global security will be subject to policies and procedures of the depositary.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depositary policies and procedures may change from time to time. Neither we nor the trustee will have any responsibility or liability for the depositary’s or any participant’s records with respect to beneficial interests in a global security.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provisions of this paragraph will apply to the debt securities unless otherwise indicated in the prospectus supplement.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corporate trust office will be designated as our sole paying agent.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also name any other paying agents in the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All moneys paid by us to a paying agent for payment on any debt security which remain unclaimed at the end of two years after such payment was due will be repaid to us. Thereafter, the holder may look only to us for such payment.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set forth in the prospectus supplement, we may not consolidate with or merge into any other person, in a transaction in which we are not the surviving corporation, or convey, transfer or lease our properties and assets substantially as an entirety to, any person, unless:</w:t>
      </w:r>
    </w:p>
    <w:p>
      <w:pPr>
        <w:spacing w:after="0" w:line="162"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if any, is a U.S. corporation, limited liability company, partnership, trust or other entity;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assumes our obligations on the debt securities and under the indenture;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conditions are met.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Unless we inform you otherwise in the prospectus supplement, the indenture will define an event of default with respect to any series of debt securities as one or more of the following events:</w:t>
      </w:r>
    </w:p>
    <w:p>
      <w:pPr>
        <w:spacing w:after="0" w:line="162"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of or any premium on any debt security of that series when due;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any interest on any debt security of that series for 30 days when due;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deposit any sinking fund payment when due;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any other covenant in the indenture continued for 90 days after being given the notice required in the indenture;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bankruptcy, insolvency or reorganization;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specified in the prospectus supplement.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event of default of one series of debt securities is not necessarily an event of default for any other series of debt securities.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 event of default, other than an event of default described in clause (5) above, shall occur and be continuing, either the trustee or the holders of at least 25% in aggregate principal amount of the outstanding securities of that series may declare the principal amount of the debt securities of that series to be due and payable immediately.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 event of default described in clause (5) above shall occur, the principal amount of all the debt securities of that series will automatically become immediately due and payable. Any payment by us on subordinated debt securities following any such acceleration will be subject to the subordination provisions described below under “Subordinated Debt Securities.”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 have been cured or waived.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ind w:firstLine="648"/>
        <w:spacing w:after="0" w:line="282" w:lineRule="auto"/>
        <w:rPr>
          <w:sz w:val="20"/>
          <w:szCs w:val="20"/>
          <w:color w:val="auto"/>
        </w:rPr>
      </w:pPr>
      <w:r>
        <w:rPr>
          <w:rFonts w:ascii="Times New Roman" w:cs="Times New Roman" w:eastAsia="Times New Roman" w:hAnsi="Times New Roman"/>
          <w:sz w:val="18"/>
          <w:szCs w:val="18"/>
          <w:color w:val="auto"/>
        </w:rPr>
        <w:t>A holder will not have any right to institute any proceeding under the indentures, or for the appointment of a receiver or a trustee, or for any other remedy under the indentures, unless:</w:t>
      </w:r>
    </w:p>
    <w:p>
      <w:pPr>
        <w:spacing w:after="0" w:line="162" w:lineRule="exact"/>
        <w:rPr>
          <w:sz w:val="20"/>
          <w:szCs w:val="20"/>
          <w:color w:val="auto"/>
        </w:rPr>
      </w:pPr>
    </w:p>
    <w:p>
      <w:pPr>
        <w:ind w:left="960" w:hanging="30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previously given to the trustee written notice of a continuing event of default with respect to the debt securities of that series;</w:t>
      </w:r>
    </w:p>
    <w:p>
      <w:pPr>
        <w:spacing w:after="0" w:line="225" w:lineRule="exact"/>
        <w:rPr>
          <w:rFonts w:ascii="Times New Roman" w:cs="Times New Roman" w:eastAsia="Times New Roman" w:hAnsi="Times New Roman"/>
          <w:sz w:val="18"/>
          <w:szCs w:val="18"/>
          <w:color w:val="auto"/>
        </w:rPr>
      </w:pPr>
    </w:p>
    <w:p>
      <w:pPr>
        <w:ind w:left="960" w:hanging="304"/>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a written request and have offered reasonable indemnity to the trustee to institute the proceeding; and</w:t>
      </w:r>
    </w:p>
    <w:p>
      <w:pPr>
        <w:spacing w:after="0" w:line="161" w:lineRule="exact"/>
        <w:rPr>
          <w:rFonts w:ascii="Times New Roman" w:cs="Times New Roman" w:eastAsia="Times New Roman" w:hAnsi="Times New Roman"/>
          <w:sz w:val="18"/>
          <w:szCs w:val="18"/>
          <w:color w:val="auto"/>
        </w:rPr>
      </w:pPr>
    </w:p>
    <w:p>
      <w:pPr>
        <w:ind w:left="960" w:hanging="304"/>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failed to institute the proceeding and has not received direction inconsistent with the original request from the holders of a majority in aggregate principal amount of the outstanding debt securities of that series within 90 days after the original request.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may, however, sue to enforce the payment of principal or interest on any debt security on or after the due date without following the procedures listed in (1) through (3)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provided in the next two succeeding paragraphs, the applicable trustee and we may make modifications and amendments to the indentures (including, without limitation, through consents obtained in connection with a tender offer or exchange offer for, outstanding securities) and may waive any existing default or event of default (including, without limitation, through consents obtained in connection with a tender offer or exchange offer for, outstanding securities) with the consent of the holders of a majority in aggregate principal amount of the outstanding securities of each series affected by the modification or amendment.</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However, neither we nor the trustee may make any amendment or waiver without the consent of the holder of each outstanding security of that series affected by the amendment or waiver if such amendment or waiver would, among other things:</w:t>
      </w:r>
    </w:p>
    <w:p>
      <w:pPr>
        <w:spacing w:after="0" w:line="162" w:lineRule="exact"/>
        <w:rPr>
          <w:sz w:val="20"/>
          <w:szCs w:val="20"/>
          <w:color w:val="auto"/>
        </w:rPr>
      </w:pPr>
    </w:p>
    <w:p>
      <w:pPr>
        <w:ind w:left="960" w:hanging="30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amount of securities whose holders must consent to an amendment, supplement or waiver;</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any debt security;</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on any debt security or reduce the amount of, or postpone the date fixed for, the payment of any sinking fund;</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an original issue discount security on acceleration of maturity;</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interest or extend the time for payment of interest on any debt security;</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principal or interest payment on any debt security in any currency other than that stated in the debt security;</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enforce any payment after the stated maturity or redemption date;</w:t>
      </w:r>
    </w:p>
    <w:p>
      <w:pPr>
        <w:spacing w:after="0" w:line="225" w:lineRule="exact"/>
        <w:rPr>
          <w:rFonts w:ascii="Times New Roman" w:cs="Times New Roman" w:eastAsia="Times New Roman" w:hAnsi="Times New Roman"/>
          <w:sz w:val="18"/>
          <w:szCs w:val="18"/>
          <w:color w:val="auto"/>
        </w:rPr>
      </w:pPr>
    </w:p>
    <w:p>
      <w:pPr>
        <w:ind w:left="960" w:hanging="304"/>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default or event of default in payment of the principal of, premium or interest on any debt security (except certain rescissions of acceleration); or</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or modify any of the redemption provisions of any debt security;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preceding, without the consent of any holder of outstanding securities, we and the trustee may amend or supplement the indentures:</w:t>
      </w:r>
    </w:p>
    <w:p>
      <w:pPr>
        <w:spacing w:after="0" w:line="162" w:lineRule="exact"/>
        <w:rPr>
          <w:sz w:val="20"/>
          <w:szCs w:val="20"/>
          <w:color w:val="auto"/>
        </w:rPr>
      </w:pPr>
    </w:p>
    <w:p>
      <w:pPr>
        <w:ind w:left="960" w:hanging="30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225" w:lineRule="exact"/>
        <w:rPr>
          <w:rFonts w:ascii="Times New Roman" w:cs="Times New Roman" w:eastAsia="Times New Roman" w:hAnsi="Times New Roman"/>
          <w:sz w:val="18"/>
          <w:szCs w:val="18"/>
          <w:color w:val="auto"/>
        </w:rPr>
      </w:pPr>
    </w:p>
    <w:p>
      <w:pPr>
        <w:ind w:left="960" w:hanging="304"/>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our obligations to holders of any debt security in the case of a merger, consolidation, transfer or sale of all or substantially all of our assets;</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legal rights under the indenture of any such holder;</w:t>
      </w:r>
    </w:p>
    <w:p>
      <w:pPr>
        <w:spacing w:after="0" w:line="225" w:lineRule="exact"/>
        <w:rPr>
          <w:rFonts w:ascii="Times New Roman" w:cs="Times New Roman" w:eastAsia="Times New Roman" w:hAnsi="Times New Roman"/>
          <w:sz w:val="18"/>
          <w:szCs w:val="18"/>
          <w:color w:val="auto"/>
        </w:rPr>
      </w:pPr>
    </w:p>
    <w:p>
      <w:pPr>
        <w:ind w:left="960" w:hanging="304"/>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Commission in order to effect or maintain the qualification of an indenture under the Trust Indenture Act; or</w:t>
      </w:r>
    </w:p>
    <w:p>
      <w:pPr>
        <w:spacing w:after="0" w:line="161" w:lineRule="exact"/>
        <w:rPr>
          <w:rFonts w:ascii="Times New Roman" w:cs="Times New Roman" w:eastAsia="Times New Roman" w:hAnsi="Times New Roman"/>
          <w:sz w:val="18"/>
          <w:szCs w:val="18"/>
          <w:color w:val="auto"/>
        </w:rPr>
      </w:pPr>
    </w:p>
    <w:p>
      <w:pPr>
        <w:jc w:val="both"/>
        <w:ind w:left="960" w:hanging="304"/>
        <w:spacing w:after="0" w:line="266"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by a successor trustee with respect to the debt securities of one or more series and to add to or change any of the provisions of the indenture as shall be necessary to provide for or facilitate the administration of the trusts by more than one Trustee.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consent of holders is not necessary under the indentures to approve the particular form of any proposed amendment. It is sufficient if such consent approves the substance of the proposed amendment.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be discharged from our obligations on the debt securities of any series that have matured or will mature or be redeemed within one year if we deposit with the trustee enough cash to pay all the principal, interest and any premium due to the stated maturity date or redemption date of the debt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indenture contains a provision that permits us to elect:</w:t>
      </w:r>
    </w:p>
    <w:p>
      <w:pPr>
        <w:spacing w:after="0" w:line="225" w:lineRule="exact"/>
        <w:rPr>
          <w:sz w:val="20"/>
          <w:szCs w:val="20"/>
          <w:color w:val="auto"/>
        </w:rPr>
      </w:pPr>
    </w:p>
    <w:p>
      <w:pPr>
        <w:ind w:left="960" w:hanging="30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discharged from all of our obligations, subject to limited exceptions, with respect to any series of debt securities then outstanding; and/or</w:t>
      </w:r>
    </w:p>
    <w:p>
      <w:pPr>
        <w:spacing w:after="0" w:line="225" w:lineRule="exact"/>
        <w:rPr>
          <w:rFonts w:ascii="Times New Roman" w:cs="Times New Roman" w:eastAsia="Times New Roman" w:hAnsi="Times New Roman"/>
          <w:sz w:val="18"/>
          <w:szCs w:val="18"/>
          <w:color w:val="auto"/>
        </w:rPr>
      </w:pPr>
    </w:p>
    <w:p>
      <w:pPr>
        <w:ind w:left="960" w:hanging="304"/>
        <w:spacing w:after="0" w:line="28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released from our obligations under the following covenants and from the consequences of an event of default resulting from a breach of certain covenants, including covenants as to payment of taxes and maintenance of corporate existence.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make either of the above elections, we must deposit in trust with the trustee enough money to pay in full the principal and interest on the debt securities. This amount may be made in cash and/or U.S. government obligations. As a condition to either of the above elections, we must deliver to the trustee an opinion of counsel that the holders of the debt securities will not recognize income, gain or loss for federal income tax purposes as a result of the action.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of the above events occurs,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Notices to holders will be given by mail to the addresses of the holders in the security register.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under, the law of the State of New York.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 limits the right of the trustee, should it become a creditor of us, to obtain payment of claims or secure its claims.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trustee is permitted to engage in certain other transactions. However, if the trustee acquires any conflicting interest, and there is a default under the debt securities of any series for which they are trustee, the trustee must eliminate the conflict or resign.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Payment on subordinated debt securities will, to the extent provided in the indenture, be subordinated in right of payment to the prior payment in full of all of our senior indebtedness (except that holders of the notes may receive and retain (i) permitted junior securities and (ii) payments made from the trust described under “Satisfaction and Discharge; Defeasance”). Any subordinated debt securities also are effectively subordinated to all debt and other liabilities, including lease obligations, if any.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Upon any distribution of our assets upon any dissolution, winding up, liquidation or reorganization, the payment of the principal of and interest on subordinated debt securities will be subordinated in right of payment to the prior payment in full in cash or other payment satisfactory to the holders of senior indebtedness. In the event of any acceleration of subordinated debt securities because of an event of default, the holders of any senior indebtedness would be entitled to payment in full in cash or other payment satisfactory to such holders of all senior indebtedness obligations before the holders of subordinated debt securities are entitled to receive any payment or distribution, except for certain payments made by the trust described under “Satisfaction and Discharge; Defeasance.” The indenture requires us or the trustee to promptly notify holders of designated senior indebtedness if payment of subordinated debt securities is accelerated because of an event of default.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not make any payment on subordinated debt securities, including upon redemption at the option of the holder of any subordinated debt securities or at our option, if:</w:t>
      </w:r>
    </w:p>
    <w:p>
      <w:pPr>
        <w:spacing w:after="0" w:line="162" w:lineRule="exact"/>
        <w:rPr>
          <w:sz w:val="20"/>
          <w:szCs w:val="20"/>
          <w:color w:val="auto"/>
        </w:rPr>
      </w:pPr>
    </w:p>
    <w:p>
      <w:pPr>
        <w:ind w:left="960" w:hanging="304"/>
        <w:spacing w:after="0" w:line="282"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the principal, premium, if any, interest, rent or other obligations in respect of designated senior indebtedness occurs and is continuing beyond any applicable period of grace (called a “payment default”); or</w:t>
      </w:r>
    </w:p>
    <w:p>
      <w:pPr>
        <w:spacing w:after="0" w:line="161" w:lineRule="exact"/>
        <w:rPr>
          <w:rFonts w:ascii="Times New Roman" w:cs="Times New Roman" w:eastAsia="Times New Roman" w:hAnsi="Times New Roman"/>
          <w:sz w:val="18"/>
          <w:szCs w:val="18"/>
          <w:color w:val="auto"/>
        </w:rPr>
      </w:pPr>
    </w:p>
    <w:p>
      <w:pPr>
        <w:jc w:val="both"/>
        <w:ind w:left="960" w:hanging="304"/>
        <w:spacing w:after="0" w:line="266"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other than a payment default on any designated senior indebtedness occurs and is continuing that permits holders of designated senior indebtedness to accelerate its maturity, and the trustee receives notice of such default (called a “payment blockage notice) from us or any other person permitted to give such notice under the indenture (called a “non-payment default”).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trustee or any holder of the notes receives any payment or distribution of our assets in contravention of the subordination provisions on subordinated debt securities before all senior indebtedness is paid in full in cash, property or securities, including by way of set-off, or other payment satisfactory to holders of senior indebtedness, then such payment or distribution will be held in trust for the benefit of holders of senior indebtedness or their representatives to the extent necessary to make payment in full in cash or payment satisfactory to the holders of senior indebtedness of all unpaid senior indebtedness.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our bankruptcy, dissolution or reorganization, holders of senior indebtedness may receive more, ratably, and holders of subordinated debt securities may receive less, ratably, than our other creditors (including our trade creditors). This subordination will not prevent the occurrence of any event of default under the indenture.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not prohibited from incurring debt, including senior indebtedness, under the indenture. We may from time to time incur additional debt, including senior indebtedness.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obligated to pay reasonable compensation to the trustee and to indemnify the trustee against certain losses, liabilities or expenses incurred by the trustee in connection with its duties under the indenture. The trustee’s claims for these payments will generally be senior to those of noteholders in respect of all funds collected or held by the trustee.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“indebtedness” means:</w:t>
      </w:r>
    </w:p>
    <w:p>
      <w:pPr>
        <w:spacing w:after="0" w:line="225" w:lineRule="exact"/>
        <w:rPr>
          <w:sz w:val="20"/>
          <w:szCs w:val="20"/>
          <w:color w:val="auto"/>
        </w:rPr>
      </w:pPr>
    </w:p>
    <w:p>
      <w:pPr>
        <w:jc w:val="both"/>
        <w:ind w:firstLine="656"/>
        <w:spacing w:after="0" w:line="261" w:lineRule="auto"/>
        <w:tabs>
          <w:tab w:leader="none" w:pos="92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obligations and other liabilities for borrowed money, including overdrafts, foreign exchange contracts, currency exchange agreements, interest rate protection agreements, and any loans or advances from banks, or evidenced by bonds, debentures, notes or similar instruments, other than any account payable or other accrued current liability or obligation incurred in the ordinary course of business in connection with the obtaining of materials or services;</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reimbursement obligations and other liabilities with respect to letters of credit, bank guarantees or bankers’ acceptances;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1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and liabilities in respect of leases required in conformity with generally accepted accounting principles to be accounted for as capitalized lease obligations on our balance sheet;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and other liabilities under any lease or related document in connection with the lease of real property which provides that we are contractually obligated to purchase or cause a third party to purchase the leased property and thereby guarantee a minimum residual value of the leased property to the lessor and our obligations under the lease or related document to purchase or to cause a third party to purchase the leased property;</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2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with respect to an interest rate or other swap, cap or collar agreement or other similar instrument or agreement or foreign currency hedge, exchange, purchase or other similar instrument or agreement;</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0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 or indirect guaranties or similar agreements in respect of, and our obligations or liabilities to purchase, acquire or otherwise assure a creditor against loss in respect of, indebtedness, obligations or liabilities of others of the type described in (1) through (5) above;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or other obligations described in (1) through (6) above secured by any mortgage, pledge, lien or other encumbrance existing on property which is owned or held by us;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refinancings, replacements, deferrals, renewals, extensions and refundings of, or amendments, modifications or supplements to, any indebtedness, obligation or liability of the kind described in clauses (1) through (7) above.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“permitted junior securities” means (i) equity interests in the Company; or (ii) debt securities of the Company that are subordinated to all senior indebtedness and any debt securities issued in exchange for senior indebtedness to substantially the same extent as, or to a greater extent than the notes are subordinated to senior indebtedness under the indenture.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“senior indebtedness” means the principal, premium, if any, interest, including any interest accruing after bankruptcy, and rent or termination payment on or other amounts due on our current or future indebtedness, whether created, incurred, assumed, guaranteed or in effect guaranteed by us, including any deferrals, renewals, extensions, refundings, amendments, modifications or supplements to the above. However, senior indebtedness does not include:</w:t>
      </w:r>
    </w:p>
    <w:p>
      <w:pPr>
        <w:spacing w:after="0" w:line="180" w:lineRule="exact"/>
        <w:rPr>
          <w:sz w:val="20"/>
          <w:szCs w:val="20"/>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that expressly provides that it shall not be senior in right of payment to subordinated debt securities or expressly provides that it is on the same basis or junior to subordinated debt securities;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to any of our majority-owned subsidiaries;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debt securities.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RIGHTS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section describes the general terms and provisions of the rights to purchase certain of our securities that we may issue to holders of our securities by this prospectus. The applicable prospectus supplement will describe the specific terms of the rights then issued, and the terms and provisions described in this section will apply only to the extent not superseded by the terms of the applicable prospectus supplement.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issue, as a dividend at no cost, to holders of record of our securities or any class or series thereof on the applicable record date, rights to purchase common shares or preferred shares, to the extent duly authorized and created, to purchase warrants exercisable for common shares, preferred shares, depositary shares, debt securities or units, to purchase debt securities, to purchase depositary shares or to purchase units consisting of two or more of the foregoing. In this prospectus, we refer to such rights as “stockholder rights.” If stockholder rights are so issued to existing holders of securities, each stockholder right will entitle the registered holder thereof to purchase the securities issuable upon exercise of the rights pursuant to the terms set forth in the applicable prospectus supplement.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stockholder rights are issued, the applicable prospectus supplement will describe the terms of such stockholder rights including the following where applicable:</w:t>
      </w:r>
    </w:p>
    <w:p>
      <w:pPr>
        <w:spacing w:after="0" w:line="162"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date;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agent;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common shares, preferred shares, warrants, depositary shares or units, or principal amount of debt securities, purchasable upon exercise of such stockholder rights;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stockholder rights for preferred shares, preferred share warrants, depositary shares or depositary share warrants, the designation, aggregate number, and terms of the class or series of preferred shares purchasable upon exercise of such stockholder rights or warrants;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stockholder rights for debt securities or debt security warrants, the principal amount of debt securities purchasable upon exercise of such stockholder rights or warrants and the price at, and currency in which, this principal amount of debt securities may be purchased upon such exercise;</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stockholder rights shall commence and the expiration date on which such right shall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income tax considerations;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material terms of such stockholder rights.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terms of the stockholder rights and the securities issuable upon exercise thereof, the prospectus supplement may describe, for a holder of such stockholder rights who validly exercises all stockholder rights issued to such holder, how to subscribe for unsubscribed securities, issuable pursuant to unexercised stockholder rights issued to other holders, to the extent such stockholder rights have not been exercised.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Holders of stockholder rights will not be entitled by virtue of being such holders, to vote, to consent, to receive dividends, to receive notice with respect to any meeting of stockholders for the election of our directors or any other matter, or to exercise any rights whatsoever as shareholders of the Company, except to the extent described in the related prospectus supplement. In addition, holders of shareholder rights to purchase debt security warrants will not be entitled by virtue of being such holders, to receive payments of principal of, or premium, if any, or interest on, the debt securities purchasable upon exercise or to enforce covenants in the applicable indenture, except to the extent described in the related prospectus supplement.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DEPOSITARY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may, at our option, elect to offer fractional shares rather than full shares of the common shares. In the event that we determine to do so, we will issue receipts for depositary shares, each of which will represent a fraction of a common share as more fully described below.</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fraction of common shares represented by depositary shares will be deposited under one or more deposit agreements among us, a depositary to be named in the applicable prospectus supplement, and the holders from time to time of depositary receipts issued thereunder. Subject to the terms of the applicable deposit agreement, each holder of a depositary share will be entitled, in proportion to the applicable fraction of a common share by the depositary shares, to all the rights of the common shares represented thereby (including, as applicable, dividend, voting, redemption, subscription and liquidation rights).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depositary shares will be evidenced by depositary receipts issued pursuant to the deposit agreement. Depositary receipts will be distributed to those persons purchasing the fractional common shares.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description sets forth certain general terms and provisions of the depositary shares to which any prospectus supplement may relate. The particular terms of the depositary shares to which any prospectus supplement may relate and the extent, if any, to which such general provisions may apply to the depositary shares so offered will be described in the applicable prospectus supplement. To the extent that any particular terms of the depositary shares or the deposit agreement described in a prospectus supplement differ from any of the terms described below, then the terms described below will be deemed to have been superseded by that prospectus supplement relating to such deposited shares. The forms of deposit agreement and depositary receipt will be filed as exhibits to the documents incorporated or deemed to be incorporated by reference into this prospectus.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summary of certain provisions of the depositary shares and deposit agreement does not purport to be complete and is subject to, and is qualified in its entirety by express reference to, all the provisions of the deposit agreement and the applicable prospectus supplement, including the definitions.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Immediately following our issuance of common shares that will be offered as fractional shares, we will deposit the shares with the depositary, which will then issue and deliver the depositary receipts to the purchasers thereof. Depositary receipts will only be issued evidencing whole depositary shares. A depositary receipt may evidence any number of whole depositary shares.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Pending the preparation of definitive depositary receipts, the depositary may, upon our written order, issue temporary depositary receipts substantially identical to (and entitling the holders thereof to all the rights pertaining to) the definitive depositary receipts but not in definitive form. Definitive depositary receipts will be prepared thereafter without unreasonable delay, and such temporary depositary receipts will be exchangeable for definitive depositary receipts at our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depositary will distribute all cash dividends or other cash distributions received in respect of the common shares to the record holders of depositary shares relating to the common shares in proportion to the number of the depositary shares owned by the holders.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event of a distribution other than in cash, the depositary will distribute property received by it to the record holders of depositary shares entitled thereto in proportion to the number of depositary shares owned by the holders, unless the depositary determines that the distribution cannot be made proportionately among the holders or that it is not feasible to make the distributions, in which case the depositary may, with our approval, adopt any method as it deems equitable and practicable for the purpose of effecting the distribution, including the sale (at public or private sale) of the securities or property thus received, or any part thereof, at the place or places and upon those terms as it may deem proper. The amount distributed in any of the foregoing cases will be reduced by any amounts required to be withheld by us or the depositary on account of taxes or other governmental charges.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any common shares underlying the depositary shares is subject to redemption, the depositary shares will be redeemed from the proceeds received by the depositary resulting from any redemption, in whole or in part, of the common shares held by the depositary. The redemption price per depositary shares will be equal to the applicable fraction of the redemption price per share payable with respect to the common shares. If we redeem common shares held by the depositary, the depositary will redeem as of the same redemption date the number of depositary shares representing the common shares so redeemed. If less than all the depositary shares are to be redeemed, the depositary shares to be redeemed will be selected by lot or substantially equivalent method determined by the depositary.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After the date fixed for redemption, the depositary shares so called for redemption will no longer be deemed to be outstanding and all rights of the holders of the depositary shares will cease, except the right to receive the monies payable upon redemption and any money or other property to which the holders of the depositary shares were entitled upon such redemption, upon surrender to the depositary of the depositary receipts evidencing the depositary shares. Any funds deposited by us with the depositary for any depositary shares that the holders thereof fail to redeem will be returned to us after a period of two years from the date the funds are so deposited.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the Underlying Common Shares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any common shares are entitled to vote, the depositary will mail the information contained in the notice of meeting to the record holders of the depositary shares relating to the common shares. Each record holder of the depositary shares on the record date (which will be the same date as the record date for the related common shares) will be entitled to instruct the depositary as to the exercise of the voting rights pertaining to the number of common shares represented by that holder’s depositary shares. The depositary will endeavor, insofar as practicable, to vote or cause to be voted the number of common shares represented by the depositary shares in accordance with the instructions, provided the depositary receives the instructions sufficiently in advance of the meeting to enable it to so vote or cause to be voted the common shares, and we will agree to take all reasonable action that may be deemed necessary by the depositary in order to enable the depositary to do so. The depositary will abstain from voting the common shares to the extent it does not receive specific instructions from the holders of depositary shares representing the common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of Stock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surrender of the depositary receipts at the corporate trust office of the depositary and upon payment of the taxes, charges and fees provided for in the deposit agreement and subject to the terms thereof, the holder of the depositary shares evidenced thereby will be entitled to delivery at such office, to or upon his or her order, of the number of whole shares of the related common shares and any money or other property, if any, represented by the depositary shares. Holders of depositary shares will be entitled to receive whole shares of the related common shares, but holders of the whole common shares will not thereafter be entitled to deposit the common shares with the depositary or to receive depositary shares therefor. If the depositary receipts delivered by the holder evidence a number of depositary shares in excess of the number of depositary shares representing the number of whole shares of the related common shares to be withdrawn, the depositary will deliver to the holder or upon his or her order at the same time a new depositary receipt evidencing the excess number of depositary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Amendment and Termination of a Deposit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of any series and any provision of the applicable deposit agreement may at any time and from time to time be amended by agreement between us and the depositary. However, any amendment that materially adversely alters the rights of the holders of depositary shares of any series will not be effective unless the amendment has been approved by the holders of at least a majority of the depositary shares then outstanding. Every holder of a depositary receipt at the time the amendment becomes effective will be deemed, by continuing to hold the depositary receipt, to be bound by the deposit agreement as so amended. Notwithstanding the foregoing, in no event may any amendment impair the right of any holder of any depositary shares, upon surrender of the depositary receipts evidencing the depositary shares and subject to any conditions specified in the deposit agreement, to receive shares of the related common shares and any money or other property represented thereby, except in order to comply with mandatory provisions of applicable law. The deposit agreement may be terminated by us at any time upon not less than 60 days prior written notice to the depositary, in which case, on a date that is not later than 30 days after the date of the notice, the depositary shall deliver or make available for delivery to holders of depositary shares, upon surrender of the depositary receipts evidencing the depositary shares, the number of whole or fractional shares of the related common shares as are represented by the depositary shares. The deposit agreement shall automatically terminate after all outstanding depositary shares have been redeemed or there has been a final distribution in respect of the related common shares in connection with any liquidation, dissolution or winding up of us and the distribution has been distributed to the holders of depositary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Charges of Depositary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pay all transfer and other taxes and the governmental charges arising solely from the existence of the depositary arrangements. We will pay the charges of the depositary, including charges in connection with the initial deposit of the related common shares and the initial issuance of the depositary shares and all withdrawals of shares of the related common shares, except that holders of depositary shares will pay transfer and other taxes and governmental charges and any other charges as are expressly provided in the deposit agreement to be for their accounts.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may resign at any time by delivering to us written notice of its election to do so, and we may at any time remove the depositary. Any resignation or removal will take effect upon the appointment of a successor depositary, which successor depositary must be appointed within 60 days after delivery of the notice of resignation or removal and must be a bank or trust company having its principal office in the United States and having a combined capital and surplus of at least $50,000,000.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will forward to the holders of depositary shares all reports and communications from us that are delivered to the depositary and which we are required to furnish to the holders of the related common shares. The depositary’s corporate trust office will be identified in the applicable prospectus supplement. Unless otherwise set forth in the applicable prospectus supplement, the depositary will act as transfer agent and registrar for depositary receipts and if common shares are redeemable, the depositary will also act as redemption agent for the corresponding depositary receipts.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units comprised of one or more of the other securities that may be offered under this prospectus, in any combination. The following information, together with the additional information we may include in any applicable prospectus supplements, summarizes the material terms and provisions of any such the units that we may offer under this prospectus. While the information below will apply generally to any units that we may offer under this prospectus, we will describe the particular terms of any series of units in detail in the applicable prospectus supplement. The terms of any units offered under a prospectus supplement may differ from the general terms described below.</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file the form of unit agreement, if any, between us and a unit agent that describes the terms and conditions of the series of units we are offering, and any supplemental agreements, concurrently with the filing of the applicable prospectus supplement under which such series of units are offered. This summary is subject to, and qualified in their entirety by reference to, all the provisions of the unit agreement, if any, and any supplemental agreements applicable to a particular series of units. We urge you to read the applicable prospectus supplements related to the particular series of units that we sell under this prospectus, as well as the complete unit agreement, if any, and any supplemental agreements that contain the terms of the units.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issue units comprising one or more of shares and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may be issued, if any, may provide that the securities included in the unit may not be held or transferred separately, at any time or at any time before a specified date. We will describe in the applicable prospectus supplement the terms of the series of units.</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Share Capital” and “Description of Warrants” will apply to each unit and to any share or warrant included in each unit, respectively. We may issue units in such amounts and in numerous distinct series as we determine.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sell the securities offered by this prospectus to or through underwriters or dealers, and also may sell those securities to one or more other purchasers directly or through agents, including sales pursuant to ordinary brokerage transactions and transactions in which a broker-dealer solicits purchasers, or if indicated in a prospectus supplement, pursuant to delayed delivery contracts, by remarketing firms or by other means. Underwriters may sell securities to or through dealers. Each prospectus supplement will set forth the terms of the offering, including the name or names of any underwriters, dealers or agents and any fees or compensation payable to them in connection with the offering and sale of a particular series or issue of securities, the public offering price or prices of the securities and the proceeds from the sale of the securities.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securities may be sold, from time to time in one or more transactions at a fixed price or prices which may be changed or at market prices prevailing at the time of sale, at prices related to such prevailing market prices or at negotiated prices, including sales made directly on the NASDAQ or other existing trading markets for the securities. The prices at which the securities may be offered may vary as between purchasers and during the period of distribution. If, in connection with the offering of securities at a fixed price or prices, the underwriters have made a bona fide effort to sell all of the securities at the initial offering price fixed in the applicable prospectus supplement, the public offering price may be decreased and thereafter further changed, from time to time, to an amount not greater than the initial public offering price fixed in such prospectus supplement, in which case the compensation realized by the underwriters will be decreased by the amount that the aggregate price paid by purchasers for the securities is less than the gross proceeds paid by the underwriters to us.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Underwriters, dealers and agents who participate in the distribution of the securities may be entitled under agreements to be entered into with us to indemnification by us against certain liabilities, including liabilities under the Securities Act, or to contribution with respect to payments which such underwriters, dealers or agents may be required to make in respect thereof. Such underwriters, dealers and agents may be customers of, engage in transactions with, or perform services for us in the ordinary course of business.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any offering of securities, the underwriters may over-allot or effect transactions which stabilize or maintain the market price of the securities offered at a level above that which might otherwise prevail in the open market. Such transactions, if commenced, may be discontinued at any time. Any underwriters, dealers or agents to or through which securities other than our common shares are sold by us for public offering and sale may make a market in such securities, but such underwriters, dealers or agents will not be obligated to do so and may discontinue any such market making at any time and without notice. No assurance can be given that a market for trading in securities of any series or issue will develop or as to the liquidity of any such market, whether or not such securities are listed on a securities exchange.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place, time of delivery, and other terms of the offered securities will be described in the applicable prospectus supplement.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INCOME TAX CONSIDERATIONS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may describe certain United States federal income tax consequences of the acquisition, ownership and disposition of securities offered by this prospectus by an initial investor who is subject to United States federal income taxation.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an exempted company with limited liability incorporated under the laws of the Cayman Islands and our affairs are governed by our memorandum and articles of association and the Companies Act, and the common law of the Cayman Islands. We are incorporated in the Cayman Islands because of certain benefits associated with being a Cayman Islands company, such as: (1) political and economic stability; (2) an effective judicial system; (3) a favorable tax system; (4) the absence of exchange control or currency restrictions; and (5) the availability of professional and support services.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 the following: (1) the Cayman Islands has a less developed body of securities laws as compared to the United States and provide less protection for investors; and (2) Cayman Islands companies may not have standing to sue before the federal courts of the United States. Our constitutional documents do not contain provisions requiring that disputes, including those arising under the securities laws of the United States, between us, our officers, directors and shareholders, be arbitrated.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All of our operations are conducted outside the United States, and all of our assets are located outside the United States. A substantial number of our officers are nationals or residents of jurisdictions other than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 It may also be difficult for you to enforce judgments obtained in U.S. courts based on the civil liability provisions of the U.S. federal securities laws against us and our executive officers and directors.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appointed Corporation Service Company, 251 Little Falls Drive, Wilmington, DE 19808, as our agent upon whom process may be served in any action brought against us under the securities laws of the United States.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Ogier, our counsel as to Cayman Islands law, and Grandway Law Offices, our counsel as to PRC law, have advised us, respectively, that there is uncertainty as to whether the courts of the Cayman Islands and China, respectively, would:</w:t>
      </w:r>
    </w:p>
    <w:p>
      <w:pPr>
        <w:spacing w:after="0" w:line="162" w:lineRule="exact"/>
        <w:rPr>
          <w:sz w:val="20"/>
          <w:szCs w:val="20"/>
          <w:color w:val="auto"/>
        </w:rPr>
      </w:pPr>
    </w:p>
    <w:p>
      <w:pPr>
        <w:ind w:left="98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Ogier has advised us that it is uncertain whether the courts of the Cayman Islands will allow shareholders of our company to originate actions in the Cayman Islands based upon securities laws of the United States. In addition, there is uncertainty with regard to Cayman Islands law related to whether a judgment obtained from the U.S. courts under civil liability provisions of U.S. securities laws will be determined by the courts of the Cayman Islands as penal or punitive in nature. If such determination is made, the courts of the Cayman Islands will not recognize or enforce the judgment against a Cayman Islands company, such as our company. As the courts of the Cayman Islands have yet to rule on making such a determination in relation to judgments obtained from U.S. courts under civil liability provisions of U.S. securities laws, it is uncertain whether such judgments would be enforceable in the Cayman Islands. Ogier has further advised us that although there is no statutory enforcement in the Cayman Islands of judgments obtained in the United States,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(e) was not obtained in a manner and (f) is not of a kind the enforcement of which is contrary to natural justice or the public policy of the Cayman Islands.</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Grandway Law Offices has advised us that the recognition and enforcement of foreign judgments are provided for under PRC Civil Procedure Law. PRC courts may recognize and enforce foreign judgments in accordance with the requirements of PRC Civil Procedure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CLPS Incorporation appearing in CLPS Incorporation’s Annual Report (Form 20-F) for the year ended June 30, 2022 have been audited by Ernst &amp; Young Hua Ming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The offices of Ernst &amp; Young Hua Ming LLP are located at 50/F, Shanghai World Financial Center, 100 Century Avenue, Pudong New Area, Shanghai, the People’s Republic of China.</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matters as to U.S. federal law in connection with this offering will be passed upon for us by Loeb &amp; Loeb LLP. The validity of the shares and certain legal matters relating to the offering as to Cayman Islands law will be passed upon for us by Ogier. Certain legal matters relating to the offering as to Chinese law will be passed upon for us by Grandway Law Offices of People’s Republic of China. In addition, certain legal matters in connection with any offering of securities under this prospectus will be passed upon for any underwriters, dealers or agents by counsel to be designated at the time of the offering by such underwriters, dealers or agents with respect to matters of applicable law.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Indemnification of Directors and Officers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Companies Act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or Securities Act, may be permitted to directors, officers or persons controlling the registrant pursuant to the foregoing provisions, the registrant has been informed that in the opinion of the Securities and Exchange Commission, or the SEC,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600" w:type="dxa"/>
            <w:vAlign w:val="bottom"/>
            <w:tcBorders>
              <w:top w:val="single" w:sz="8" w:color="auto"/>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5"/>
          </w:tcPr>
          <w:p>
            <w:pPr>
              <w:spacing w:after="0" w:line="17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Specimen Certificate for Common Shares (incorporated by reference to Exhibit 4.1 from Registration Statement on F-1 (File No. 333-</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5"/>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223956) filed with the SEC on March 27, 2018).</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Warrant</w:t>
            </w: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Form of Indenture</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Warrant Agreement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Debt Security</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Deposit Agreement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Unit Agreement</w:t>
            </w: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shd w:val="clear" w:color="auto" w:fill="CCEEFF"/>
          </w:tcPr>
          <w:p>
            <w:pPr>
              <w:spacing w:after="0"/>
              <w:rPr>
                <w:sz w:val="17"/>
                <w:szCs w:val="17"/>
                <w:color w:val="auto"/>
              </w:rPr>
            </w:pPr>
          </w:p>
        </w:tc>
        <w:tc>
          <w:tcPr>
            <w:tcW w:w="30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Consent of Ernst &amp; Young Hua Ming LLP</w:t>
            </w:r>
          </w:p>
        </w:tc>
        <w:tc>
          <w:tcPr>
            <w:tcW w:w="7040" w:type="dxa"/>
            <w:vAlign w:val="bottom"/>
            <w:tcBorders>
              <w:bottom w:val="single" w:sz="8" w:color="CCEEFF"/>
            </w:tcBorders>
            <w:gridSpan w:val="2"/>
            <w:shd w:val="clear" w:color="auto" w:fill="CCEEFF"/>
          </w:tcPr>
          <w:p>
            <w:pPr>
              <w:spacing w:after="0"/>
              <w:rPr>
                <w:sz w:val="17"/>
                <w:szCs w:val="17"/>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18"/>
                <w:szCs w:val="18"/>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Statement of Eligibility on Form T-1</w:t>
            </w: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5"/>
                <w:szCs w:val="15"/>
                <w:color w:val="auto"/>
              </w:rPr>
            </w:pPr>
          </w:p>
        </w:tc>
        <w:tc>
          <w:tcPr>
            <w:tcW w:w="1010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Calculation of Filing Fee Table</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6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00" w:hanging="538"/>
        <w:spacing w:after="0" w:line="261" w:lineRule="auto"/>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as an exhibit to a post-effective amendment to this registration statement or as an exhibit to a report filed on Form 6-K under the Exchange Act and incorporated herein by reference.</w:t>
      </w:r>
    </w:p>
    <w:p>
      <w:pPr>
        <w:ind w:left="600" w:hanging="538"/>
        <w:spacing w:after="0"/>
        <w:tabs>
          <w:tab w:leader="none" w:pos="6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as a 305B2 filing in connection with an offering of debt securities.</w:t>
      </w:r>
    </w:p>
    <w:p>
      <w:pPr>
        <w:spacing w:after="0" w:line="9" w:lineRule="exact"/>
        <w:rPr>
          <w:rFonts w:ascii="Times New Roman" w:cs="Times New Roman" w:eastAsia="Times New Roman" w:hAnsi="Times New Roman"/>
          <w:sz w:val="18"/>
          <w:szCs w:val="18"/>
          <w:color w:val="auto"/>
        </w:rPr>
      </w:pPr>
    </w:p>
    <w:p>
      <w:pPr>
        <w:ind w:left="600" w:hanging="538"/>
        <w:spacing w:after="0"/>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Undertakings.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900" w:hanging="244"/>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sz w:val="20"/>
          <w:szCs w:val="20"/>
          <w:color w:val="auto"/>
        </w:rPr>
      </w:pPr>
    </w:p>
    <w:p>
      <w:pPr>
        <w:jc w:val="both"/>
        <w:ind w:firstLine="656"/>
        <w:spacing w:after="0" w:line="256" w:lineRule="auto"/>
        <w:tabs>
          <w:tab w:leader="none" w:pos="92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98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undertakings set forth in paragraphs (a)(1)(i), (a)(1)(ii) and (a)</w:t>
      </w: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(1)(iii) above do not apply if the information required to be included in a post-effective amendment by those paragraphs is contained in reports filed with or furnished to the SEC by the registrant pursuant to Section 13 or Section 15(d) of the Securities Exchange Act of 1934, or the Exchange Act, that are incorporated by reference into the registration statement, or is contained in a form of prospectus filed pursuant to Rule 424(b) that is part of the registration statement.</w:t>
      </w:r>
    </w:p>
    <w:p>
      <w:pPr>
        <w:spacing w:after="0" w:line="189" w:lineRule="exact"/>
        <w:rPr>
          <w:sz w:val="20"/>
          <w:szCs w:val="20"/>
          <w:color w:val="auto"/>
        </w:rPr>
      </w:pPr>
    </w:p>
    <w:p>
      <w:pPr>
        <w:ind w:right="20" w:firstLine="656"/>
        <w:spacing w:after="0" w:line="282" w:lineRule="auto"/>
        <w:tabs>
          <w:tab w:leader="none" w:pos="92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 application for the purpose of determining the eligibility of the trustee to act under subsection (a) of section 310 of the Trust Indenture Act (“Act”) in accordance with the rules and regulations prescribed by the Commission under section 305(b)(2) of the 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082" w:gutter="0" w:footer="0" w:header="0"/>
        </w:sectPr>
      </w:pPr>
    </w:p>
    <w:bookmarkStart w:id="39" w:name="page40"/>
    <w:bookmarkEnd w:id="39"/>
    <w:p>
      <w:pPr>
        <w:jc w:val="both"/>
        <w:ind w:firstLine="656"/>
        <w:spacing w:after="0" w:line="266" w:lineRule="auto"/>
        <w:tabs>
          <w:tab w:leader="none" w:pos="91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3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1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 need not be furnished,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registrant includes in the prospectus, by means of post-effective amendment, financial statements required pursuant to this paragraph (4)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or Rule 3-19 of Regulation S-K if such financial statements and information are contained in periodic reports filed with or furnished to the SEC by the registrant pursuant to Section 13 or Section 15(d) of the Exchange Act that are incorporated by reference into the registration statement.</w:t>
      </w:r>
    </w:p>
    <w:p>
      <w:pPr>
        <w:spacing w:after="0" w:line="19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225" w:lineRule="exact"/>
        <w:rPr>
          <w:sz w:val="20"/>
          <w:szCs w:val="20"/>
          <w:color w:val="auto"/>
        </w:rPr>
      </w:pPr>
    </w:p>
    <w:p>
      <w:pPr>
        <w:jc w:val="both"/>
        <w:ind w:firstLine="656"/>
        <w:spacing w:after="0" w:line="261" w:lineRule="auto"/>
        <w:tabs>
          <w:tab w:leader="none" w:pos="9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 (B) Each prospectus required to be filed pursuant to Rule 424(b)(2), (b)</w:t>
      </w: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3" w:lineRule="exact"/>
        <w:rPr>
          <w:sz w:val="20"/>
          <w:szCs w:val="20"/>
          <w:color w:val="auto"/>
        </w:rPr>
      </w:pPr>
    </w:p>
    <w:p>
      <w:pPr>
        <w:jc w:val="both"/>
        <w:ind w:firstLine="656"/>
        <w:spacing w:after="0" w:line="258" w:lineRule="auto"/>
        <w:tabs>
          <w:tab w:leader="none" w:pos="93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sz w:val="20"/>
          <w:szCs w:val="20"/>
          <w:color w:val="auto"/>
        </w:rPr>
      </w:pPr>
    </w:p>
    <w:p>
      <w:pPr>
        <w:ind w:left="880" w:hanging="224"/>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94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6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jc w:val="both"/>
        <w:ind w:firstLine="656"/>
        <w:spacing w:after="0" w:line="261" w:lineRule="auto"/>
        <w:tabs>
          <w:tab w:leader="none" w:pos="9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Hong Kong SAR, on December 19, 2022.</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Ming Hui Lin</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Ming Hui Lin</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1240"/>
          </w:cols>
          <w:pgMar w:left="320" w:top="900"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64033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4033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Xiao Feng Yang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64033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Raymond Ming Hui Lin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Rui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4033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Rui Yang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4033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Zhaohui Feng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4033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Chong Seng Kee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4033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Jin He Shao</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00" w:type="dxa"/>
            <w:vAlign w:val="bottom"/>
          </w:tcPr>
          <w:p>
            <w:pPr>
              <w:spacing w:after="0"/>
              <w:rPr>
                <w:sz w:val="21"/>
                <w:szCs w:val="21"/>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2"/>
        </w:trPr>
        <w:tc>
          <w:tcPr>
            <w:tcW w:w="4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19, 2022</w:t>
            </w:r>
          </w:p>
        </w:tc>
      </w:tr>
      <w:tr>
        <w:trPr>
          <w:trHeight w:val="670"/>
        </w:trPr>
        <w:tc>
          <w:tcPr>
            <w:tcW w:w="4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19, 2022</w:t>
            </w:r>
          </w:p>
        </w:tc>
      </w:tr>
      <w:tr>
        <w:trPr>
          <w:trHeight w:val="234"/>
        </w:trPr>
        <w:tc>
          <w:tcPr>
            <w:tcW w:w="4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480" w:type="dxa"/>
            <w:vAlign w:val="bottom"/>
          </w:tcPr>
          <w:p>
            <w:pPr>
              <w:spacing w:after="0"/>
              <w:rPr>
                <w:sz w:val="20"/>
                <w:szCs w:val="20"/>
                <w:color w:val="auto"/>
              </w:rPr>
            </w:pPr>
          </w:p>
        </w:tc>
      </w:tr>
      <w:tr>
        <w:trPr>
          <w:trHeight w:val="441"/>
        </w:trPr>
        <w:tc>
          <w:tcPr>
            <w:tcW w:w="4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19, 2022</w:t>
            </w:r>
          </w:p>
        </w:tc>
      </w:tr>
      <w:tr>
        <w:trPr>
          <w:trHeight w:val="234"/>
        </w:trPr>
        <w:tc>
          <w:tcPr>
            <w:tcW w:w="4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(Principal Accounting and Financial Officer)</w:t>
            </w:r>
          </w:p>
        </w:tc>
        <w:tc>
          <w:tcPr>
            <w:tcW w:w="2480" w:type="dxa"/>
            <w:vAlign w:val="bottom"/>
          </w:tcPr>
          <w:p>
            <w:pPr>
              <w:spacing w:after="0"/>
              <w:rPr>
                <w:sz w:val="20"/>
                <w:szCs w:val="20"/>
                <w:color w:val="auto"/>
              </w:rPr>
            </w:pPr>
          </w:p>
        </w:tc>
      </w:tr>
      <w:tr>
        <w:trPr>
          <w:trHeight w:val="445"/>
        </w:trPr>
        <w:tc>
          <w:tcPr>
            <w:tcW w:w="4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Independent 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19, 2022</w:t>
            </w:r>
          </w:p>
        </w:tc>
      </w:tr>
      <w:tr>
        <w:trPr>
          <w:trHeight w:val="675"/>
        </w:trPr>
        <w:tc>
          <w:tcPr>
            <w:tcW w:w="4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Independent 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19, 2022</w:t>
            </w:r>
          </w:p>
        </w:tc>
      </w:tr>
      <w:tr>
        <w:trPr>
          <w:trHeight w:val="675"/>
        </w:trPr>
        <w:tc>
          <w:tcPr>
            <w:tcW w:w="4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Independent 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19, 2022</w:t>
            </w:r>
          </w:p>
        </w:tc>
      </w:tr>
    </w:tbl>
    <w:p>
      <w:pPr>
        <w:spacing w:after="0" w:line="200" w:lineRule="exact"/>
        <w:rPr>
          <w:sz w:val="20"/>
          <w:szCs w:val="20"/>
          <w:color w:val="auto"/>
        </w:rPr>
      </w:pPr>
    </w:p>
    <w:p>
      <w:pPr>
        <w:spacing w:after="0" w:line="241" w:lineRule="exact"/>
        <w:rPr>
          <w:sz w:val="20"/>
          <w:szCs w:val="20"/>
          <w:color w:val="auto"/>
        </w:rPr>
      </w:pPr>
    </w:p>
    <w:p>
      <w:pPr>
        <w:ind w:left="2360"/>
        <w:spacing w:after="0"/>
        <w:tabs>
          <w:tab w:leader="none" w:pos="2900" w:val="left"/>
        </w:tabs>
        <w:rPr>
          <w:sz w:val="20"/>
          <w:szCs w:val="20"/>
          <w:color w:val="auto"/>
        </w:rPr>
      </w:pPr>
      <w:r>
        <w:rPr>
          <w:rFonts w:ascii="Times New Roman" w:cs="Times New Roman" w:eastAsia="Times New Roman" w:hAnsi="Times New Roman"/>
          <w:sz w:val="18"/>
          <w:szCs w:val="18"/>
          <w:color w:val="auto"/>
        </w:rPr>
        <w:t>*By:</w:t>
        <w:tab/>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17145</wp:posOffset>
            </wp:positionV>
            <wp:extent cx="249428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Raymond Ming Hui Lin</w:t>
      </w:r>
    </w:p>
    <w:p>
      <w:pPr>
        <w:spacing w:after="0" w:line="2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0" w:lineRule="exact"/>
        <w:rPr>
          <w:sz w:val="20"/>
          <w:szCs w:val="20"/>
          <w:color w:val="auto"/>
        </w:rPr>
      </w:pPr>
    </w:p>
    <w:p>
      <w:pPr>
        <w:sectPr>
          <w:pgSz w:w="11900" w:h="16838" w:orient="portrait"/>
          <w:cols w:equalWidth="0" w:num="2">
            <w:col w:w="3680" w:space="720"/>
            <w:col w:w="6840"/>
          </w:cols>
          <w:pgMar w:left="320" w:top="900" w:right="339" w:bottom="1440" w:gutter="0" w:footer="0" w:header="0"/>
          <w:type w:val="continuous"/>
        </w:sect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AUTHORIZED UNITED STATES REPRESENTATIVE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 of the Securities Act of 1933, the undersigned, the duly authorized representative in the United States of the aforementioned Registrant, has signed this registration statement in the City of Newark, State of Delaware, on December 19,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PUGLISI &amp; ASSOCIATES</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Donald J. Puglisi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Donald J. Puglisi</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Amendment No. 4 to the Registration Statement (Form F-3 No. 333-266951) and related prospectus of CLPS Incorporation for the registration of its common shares, preferred shares, warrants, debt securities, rights, depositary shares and units of its securities and to the incorporation by reference therein of our report dated October 20, 2022, with respect to the consolidated financial statements of CLPS Incorporation, included in its Annual Report (Form 20-F) for the year ended June 30, 2022, filed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Hua Ming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The People’s Republic of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19, 2022</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lowerRoman"/>
      <w:start w:val="2"/>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1)"/>
      <w:numFmt w:val="lowerLetter"/>
      <w:start w:val="1"/>
    </w:lvl>
  </w:abstractNum>
  <w:abstractNum w:abstractNumId="34">
    <w:nsid w:val="2463B9EA"/>
    <w:multiLevelType w:val="hybridMultilevel"/>
    <w:lvl w:ilvl="0">
      <w:lvlJc w:val="left"/>
      <w:lvlText w:val="(%1)"/>
      <w:numFmt w:val="lowerLetter"/>
      <w:start w:val="9"/>
    </w:lvl>
  </w:abstractNum>
  <w:abstractNum w:abstractNumId="35">
    <w:nsid w:val="5E884ADC"/>
    <w:multiLevelType w:val="hybridMultilevel"/>
    <w:lvl w:ilvl="0">
      <w:lvlJc w:val="left"/>
      <w:lvlText w:val="(%1)"/>
      <w:numFmt w:val="lowerRoman"/>
      <w:start w:val="2"/>
    </w:lvl>
  </w:abstractNum>
  <w:abstractNum w:abstractNumId="36">
    <w:nsid w:val="51EAD36B"/>
    <w:multiLevelType w:val="hybridMultilevel"/>
    <w:lvl w:ilvl="0">
      <w:lvlJc w:val="left"/>
      <w:lvlText w:val="(%1)"/>
      <w:numFmt w:val="lowerLetter"/>
      <w:start w:val="2"/>
    </w:lvl>
  </w:abstractNum>
  <w:abstractNum w:abstractNumId="37">
    <w:nsid w:val="2D517796"/>
    <w:multiLevelType w:val="hybridMultilevel"/>
    <w:lvl w:ilvl="0">
      <w:lvlJc w:val="left"/>
      <w:lvlText w:val="(%1)"/>
      <w:numFmt w:val="decimal"/>
      <w:start w:val="2"/>
    </w:lvl>
  </w:abstractNum>
  <w:abstractNum w:abstractNumId="38">
    <w:nsid w:val="580BD78F"/>
    <w:multiLevelType w:val="hybridMultilevel"/>
    <w:lvl w:ilvl="0">
      <w:lvlJc w:val="left"/>
      <w:lvlText w:val="(%1)"/>
      <w:numFmt w:val="upperLetter"/>
      <w:start w:val="1"/>
    </w:lvl>
  </w:abstractNum>
  <w:abstractNum w:abstractNumId="39">
    <w:nsid w:val="153EA438"/>
    <w:multiLevelType w:val="hybridMultilevel"/>
    <w:lvl w:ilvl="0">
      <w:lvlJc w:val="left"/>
      <w:lvlText w:val="(%1)"/>
      <w:numFmt w:val="decimal"/>
      <w:start w:val="6"/>
    </w:lvl>
  </w:abstractNum>
  <w:abstractNum w:abstractNumId="40">
    <w:nsid w:val="3855585C"/>
    <w:multiLevelType w:val="hybridMultilevel"/>
    <w:lvl w:ilvl="0">
      <w:lvlJc w:val="left"/>
      <w:lvlText w:val="(%1)"/>
      <w:numFmt w:val="lowerRoman"/>
      <w:start w:val="1"/>
    </w:lvl>
  </w:abstractNum>
  <w:abstractNum w:abstractNumId="41">
    <w:nsid w:val="70A64E2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22" Type="http://schemas.openxmlformats.org/officeDocument/2006/relationships/hyperlink" Target="http://www.sec.gov/ix?doc=/Archives/edgar/data/1724542/000121390022065082/f20f2022_clpsinc.htm" TargetMode="External"/><Relationship Id="rId23" Type="http://schemas.openxmlformats.org/officeDocument/2006/relationships/hyperlink" Target="http://www.sec.gov/Archives/edgar/data/1724542/000121390018003524/ff12018_clpsincorporation.htm" TargetMode="External"/><Relationship Id="rId24" Type="http://schemas.openxmlformats.org/officeDocument/2006/relationships/hyperlink" Target="http://www.sec.gov/Archives/edgar/data/1724542/000121390018006724/f8a12b0518_clpsincorporation.htm" TargetMode="External"/><Relationship Id="rId58" Type="http://schemas.openxmlformats.org/officeDocument/2006/relationships/hyperlink" Target="http://www.sec.gov/Archives/edgar/data/1724542/000121390018003524/ff12018ex4-1_clpsincorp.htm" TargetMode="External"/><Relationship Id="rId59" Type="http://schemas.openxmlformats.org/officeDocument/2006/relationships/hyperlink" Target="http://www.sec.gov/Archives/edgar/data/1724542/000121390022063551/ea167034ex4-3_clpsinc.htm" TargetMode="External"/><Relationship Id="rId60" Type="http://schemas.openxmlformats.org/officeDocument/2006/relationships/hyperlink" Target="http://www.sec.gov/Archives/edgar/data/1724542/000121390022049179/ea164343ex-fee_clpsin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2022-12-19T07:55:39Z</dcterms:created>
  <dcterms:modified xsi:type="dcterms:W3CDTF">2022-12-19T07:55:39Z</dcterms:modified>
</cp:coreProperties>
</file>