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SCHEDULE 13D</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5)</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CLPS Incorporation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G31642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Raymond Ming Hui Lin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 Unit 1000, 10th Floor, Millennium City III</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370 Kwun Tong Road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Kwun Tong, Kowloon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Hong Kong SAR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Tel: +852 37073600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Address and Telephone Number of Person Authorized to Receive Notices and Communications)</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August 16,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spacing w:after="0" w:line="238"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which is the subject of this Schedule 13D, and is filing this schedule because of Rule 13d-1(b)(3) or (4), check the following box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7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Note: Schedules filed in paper format shall include a signed original and five copies of the schedule, including all exhibits. See §240.13d-7 for other 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588645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70"/>
        </w:trPr>
        <w:tc>
          <w:tcPr>
            <w:tcW w:w="2280" w:type="dxa"/>
            <w:vAlign w:val="bottom"/>
            <w:tcBorders>
              <w:top w:val="single" w:sz="8" w:color="auto"/>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CUSIP No. G31642</w:t>
            </w:r>
          </w:p>
        </w:tc>
        <w:tc>
          <w:tcPr>
            <w:tcW w:w="6720" w:type="dxa"/>
            <w:vAlign w:val="bottom"/>
            <w:tcBorders>
              <w:right w:val="single" w:sz="8" w:color="auto"/>
            </w:tcBorders>
          </w:tcPr>
          <w:p>
            <w:pPr>
              <w:ind w:left="3180"/>
              <w:spacing w:after="0"/>
              <w:rPr>
                <w:sz w:val="20"/>
                <w:szCs w:val="20"/>
                <w:color w:val="auto"/>
              </w:rPr>
            </w:pPr>
            <w:r>
              <w:rPr>
                <w:rFonts w:ascii="Arial" w:cs="Arial" w:eastAsia="Arial" w:hAnsi="Arial"/>
                <w:sz w:val="18"/>
                <w:szCs w:val="18"/>
                <w:b w:val="1"/>
                <w:bCs w:val="1"/>
                <w:color w:val="auto"/>
              </w:rPr>
              <w:t>13D</w:t>
            </w:r>
          </w:p>
        </w:tc>
        <w:tc>
          <w:tcPr>
            <w:tcW w:w="2240" w:type="dxa"/>
            <w:vAlign w:val="bottom"/>
            <w:tcBorders>
              <w:top w:val="single" w:sz="8" w:color="auto"/>
              <w:right w:val="single" w:sz="8" w:color="auto"/>
            </w:tcBorders>
          </w:tcPr>
          <w:p>
            <w:pPr>
              <w:ind w:left="900"/>
              <w:spacing w:after="0"/>
              <w:rPr>
                <w:sz w:val="20"/>
                <w:szCs w:val="20"/>
                <w:color w:val="auto"/>
              </w:rPr>
            </w:pPr>
            <w:r>
              <w:rPr>
                <w:rFonts w:ascii="Arial" w:cs="Arial" w:eastAsia="Arial" w:hAnsi="Arial"/>
                <w:sz w:val="18"/>
                <w:szCs w:val="18"/>
                <w:color w:val="auto"/>
                <w:w w:val="87"/>
              </w:rPr>
              <w:t>Page 2 of 5 Pages</w:t>
            </w:r>
          </w:p>
        </w:tc>
      </w:tr>
      <w:tr>
        <w:trPr>
          <w:trHeight w:val="34"/>
        </w:trPr>
        <w:tc>
          <w:tcPr>
            <w:tcW w:w="2280" w:type="dxa"/>
            <w:vAlign w:val="bottom"/>
            <w:tcBorders>
              <w:left w:val="single" w:sz="8" w:color="auto"/>
              <w:bottom w:val="single" w:sz="8" w:color="auto"/>
              <w:right w:val="single" w:sz="8" w:color="auto"/>
            </w:tcBorders>
          </w:tcPr>
          <w:p>
            <w:pPr>
              <w:spacing w:after="0"/>
              <w:rPr>
                <w:sz w:val="2"/>
                <w:szCs w:val="2"/>
                <w:color w:val="auto"/>
              </w:rPr>
            </w:pPr>
          </w:p>
        </w:tc>
        <w:tc>
          <w:tcPr>
            <w:tcW w:w="6720" w:type="dxa"/>
            <w:vAlign w:val="bottom"/>
            <w:tcBorders>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5606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5606415"/>
                    </a:xfrm>
                    <a:prstGeom prst="rect">
                      <a:avLst/>
                    </a:prstGeom>
                    <a:noFill/>
                  </pic:spPr>
                </pic:pic>
              </a:graphicData>
            </a:graphic>
          </wp:anchor>
        </w:drawing>
      </w:r>
    </w:p>
    <w:p>
      <w:pPr>
        <w:spacing w:after="0" w:line="209" w:lineRule="exact"/>
        <w:rPr>
          <w:sz w:val="20"/>
          <w:szCs w:val="20"/>
          <w:color w:val="auto"/>
        </w:rPr>
      </w:pPr>
    </w:p>
    <w:p>
      <w:pPr>
        <w:ind w:left="980" w:hanging="551"/>
        <w:spacing w:after="0"/>
        <w:tabs>
          <w:tab w:leader="none" w:pos="98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NAME OF REPORTING PERSON</w:t>
      </w:r>
    </w:p>
    <w:p>
      <w:pPr>
        <w:spacing w:after="0" w:line="221"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Qinhui Ltd.</w:t>
      </w:r>
    </w:p>
    <w:p>
      <w:pPr>
        <w:spacing w:after="0" w:line="40" w:lineRule="exact"/>
        <w:rPr>
          <w:sz w:val="20"/>
          <w:szCs w:val="20"/>
          <w:color w:val="auto"/>
        </w:rPr>
      </w:pPr>
    </w:p>
    <w:p>
      <w:pPr>
        <w:ind w:left="980" w:hanging="551"/>
        <w:spacing w:after="0"/>
        <w:tabs>
          <w:tab w:leader="none" w:pos="98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1064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9" w:lineRule="exact"/>
        <w:rPr>
          <w:sz w:val="20"/>
          <w:szCs w:val="20"/>
          <w:color w:val="auto"/>
        </w:rPr>
      </w:pPr>
    </w:p>
    <w:p>
      <w:pPr>
        <w:ind w:left="106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42" w:lineRule="exact"/>
        <w:rPr>
          <w:sz w:val="20"/>
          <w:szCs w:val="20"/>
          <w:color w:val="auto"/>
        </w:rPr>
      </w:pPr>
    </w:p>
    <w:p>
      <w:pPr>
        <w:ind w:left="980" w:hanging="551"/>
        <w:spacing w:after="0"/>
        <w:tabs>
          <w:tab w:leader="none" w:pos="98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37" w:lineRule="exact"/>
        <w:rPr>
          <w:sz w:val="20"/>
          <w:szCs w:val="20"/>
          <w:color w:val="auto"/>
        </w:rPr>
      </w:pPr>
    </w:p>
    <w:p>
      <w:pPr>
        <w:ind w:left="980" w:hanging="551"/>
        <w:spacing w:after="0"/>
        <w:tabs>
          <w:tab w:leader="none" w:pos="98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SOURCE OF FUNDS*</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OO (See Item 3)</w:t>
      </w:r>
    </w:p>
    <w:p>
      <w:pPr>
        <w:spacing w:after="0" w:line="40" w:lineRule="exact"/>
        <w:rPr>
          <w:sz w:val="20"/>
          <w:szCs w:val="20"/>
          <w:color w:val="auto"/>
        </w:rPr>
      </w:pPr>
    </w:p>
    <w:p>
      <w:pPr>
        <w:ind w:left="980" w:hanging="551"/>
        <w:spacing w:after="0"/>
        <w:tabs>
          <w:tab w:leader="none" w:pos="9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CHECK BOX IF DISCLOSURE OF LEGAL PROCEEDINGS IS REQUIRED PURSUANT TO ITEMS 2(d) OR 2(e)</w:t>
      </w:r>
    </w:p>
    <w:p>
      <w:pPr>
        <w:spacing w:after="0" w:line="18" w:lineRule="exact"/>
        <w:rPr>
          <w:sz w:val="20"/>
          <w:szCs w:val="20"/>
          <w:color w:val="auto"/>
        </w:rPr>
      </w:pPr>
    </w:p>
    <w:p>
      <w:pPr>
        <w:ind w:left="10940"/>
        <w:spacing w:after="0" w:line="181" w:lineRule="exact"/>
        <w:rPr>
          <w:sz w:val="20"/>
          <w:szCs w:val="20"/>
          <w:color w:val="auto"/>
        </w:rPr>
      </w:pPr>
      <w:r>
        <w:rPr>
          <w:rFonts w:ascii="MS PGothic" w:cs="MS PGothic" w:eastAsia="MS PGothic" w:hAnsi="MS PGothic"/>
          <w:sz w:val="18"/>
          <w:szCs w:val="18"/>
          <w:color w:val="auto"/>
        </w:rPr>
        <w:t>☐</w:t>
      </w:r>
    </w:p>
    <w:p>
      <w:pPr>
        <w:spacing w:after="0" w:line="69" w:lineRule="exact"/>
        <w:rPr>
          <w:sz w:val="20"/>
          <w:szCs w:val="20"/>
          <w:color w:val="auto"/>
        </w:rPr>
      </w:pPr>
    </w:p>
    <w:p>
      <w:pPr>
        <w:ind w:left="980" w:hanging="551"/>
        <w:spacing w:after="0"/>
        <w:tabs>
          <w:tab w:leader="none" w:pos="9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British Virgin Islands</w:t>
      </w:r>
    </w:p>
    <w:p>
      <w:pPr>
        <w:spacing w:after="0" w:line="36" w:lineRule="exact"/>
        <w:rPr>
          <w:sz w:val="20"/>
          <w:szCs w:val="20"/>
          <w:color w:val="auto"/>
        </w:rPr>
      </w:pPr>
    </w:p>
    <w:tbl>
      <w:tblPr>
        <w:tblLayout w:type="fixed"/>
        <w:tblInd w:w="520" w:type="dxa"/>
        <w:tblCellMar>
          <w:top w:w="0" w:type="dxa"/>
          <w:left w:w="0" w:type="dxa"/>
          <w:bottom w:w="0" w:type="dxa"/>
          <w:right w:w="0" w:type="dxa"/>
        </w:tblCellMar>
      </w:tblPr>
      <w:tr>
        <w:trPr>
          <w:trHeight w:val="234"/>
        </w:trPr>
        <w:tc>
          <w:tcPr>
            <w:tcW w:w="1740" w:type="dxa"/>
            <w:vAlign w:val="bottom"/>
          </w:tcPr>
          <w:p>
            <w:pPr>
              <w:spacing w:after="0"/>
              <w:rPr>
                <w:sz w:val="20"/>
                <w:szCs w:val="20"/>
                <w:color w:val="auto"/>
              </w:rPr>
            </w:pPr>
          </w:p>
        </w:tc>
        <w:tc>
          <w:tcPr>
            <w:tcW w:w="760" w:type="dxa"/>
            <w:vAlign w:val="bottom"/>
          </w:tcPr>
          <w:p>
            <w:pPr>
              <w:jc w:val="center"/>
              <w:ind w:left="70"/>
              <w:spacing w:after="0"/>
              <w:rPr>
                <w:sz w:val="20"/>
                <w:szCs w:val="20"/>
                <w:color w:val="auto"/>
              </w:rPr>
            </w:pPr>
            <w:r>
              <w:rPr>
                <w:rFonts w:ascii="Arial" w:cs="Arial" w:eastAsia="Arial" w:hAnsi="Arial"/>
                <w:sz w:val="18"/>
                <w:szCs w:val="18"/>
                <w:b w:val="1"/>
                <w:bCs w:val="1"/>
                <w:color w:val="auto"/>
                <w:w w:val="79"/>
              </w:rPr>
              <w:t>7</w:t>
            </w:r>
          </w:p>
        </w:tc>
        <w:tc>
          <w:tcPr>
            <w:tcW w:w="8220" w:type="dxa"/>
            <w:vAlign w:val="bottom"/>
          </w:tcPr>
          <w:p>
            <w:pPr>
              <w:ind w:left="2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39"/>
        </w:trPr>
        <w:tc>
          <w:tcPr>
            <w:tcW w:w="1740" w:type="dxa"/>
            <w:vAlign w:val="bottom"/>
            <w:vMerge w:val="restart"/>
          </w:tcPr>
          <w:p>
            <w:pPr>
              <w:jc w:val="center"/>
              <w:ind w:right="390"/>
              <w:spacing w:after="0"/>
              <w:rPr>
                <w:sz w:val="20"/>
                <w:szCs w:val="20"/>
                <w:color w:val="auto"/>
              </w:rPr>
            </w:pPr>
            <w:r>
              <w:rPr>
                <w:rFonts w:ascii="Arial" w:cs="Arial" w:eastAsia="Arial" w:hAnsi="Arial"/>
                <w:sz w:val="18"/>
                <w:szCs w:val="18"/>
                <w:color w:val="auto"/>
                <w:w w:val="98"/>
              </w:rPr>
              <w:t>NUMBER OF</w:t>
            </w:r>
          </w:p>
        </w:tc>
        <w:tc>
          <w:tcPr>
            <w:tcW w:w="760" w:type="dxa"/>
            <w:vAlign w:val="bottom"/>
            <w:tcBorders>
              <w:bottom w:val="single" w:sz="8" w:color="auto"/>
            </w:tcBorders>
          </w:tcPr>
          <w:p>
            <w:pPr>
              <w:spacing w:after="0"/>
              <w:rPr>
                <w:sz w:val="24"/>
                <w:szCs w:val="24"/>
                <w:color w:val="auto"/>
              </w:rPr>
            </w:pPr>
          </w:p>
        </w:tc>
        <w:tc>
          <w:tcPr>
            <w:tcW w:w="822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07"/>
        </w:trPr>
        <w:tc>
          <w:tcPr>
            <w:tcW w:w="1740" w:type="dxa"/>
            <w:vAlign w:val="bottom"/>
            <w:vMerge w:val="continue"/>
          </w:tcPr>
          <w:p>
            <w:pPr>
              <w:spacing w:after="0"/>
              <w:rPr>
                <w:sz w:val="9"/>
                <w:szCs w:val="9"/>
                <w:color w:val="auto"/>
              </w:rPr>
            </w:pPr>
          </w:p>
        </w:tc>
        <w:tc>
          <w:tcPr>
            <w:tcW w:w="760" w:type="dxa"/>
            <w:vAlign w:val="bottom"/>
            <w:vMerge w:val="restart"/>
          </w:tcPr>
          <w:p>
            <w:pPr>
              <w:jc w:val="center"/>
              <w:ind w:left="70"/>
              <w:spacing w:after="0"/>
              <w:rPr>
                <w:sz w:val="20"/>
                <w:szCs w:val="20"/>
                <w:color w:val="auto"/>
              </w:rPr>
            </w:pPr>
            <w:r>
              <w:rPr>
                <w:rFonts w:ascii="Arial" w:cs="Arial" w:eastAsia="Arial" w:hAnsi="Arial"/>
                <w:sz w:val="18"/>
                <w:szCs w:val="18"/>
                <w:b w:val="1"/>
                <w:bCs w:val="1"/>
                <w:color w:val="auto"/>
                <w:w w:val="79"/>
              </w:rPr>
              <w:t>8</w:t>
            </w:r>
          </w:p>
        </w:tc>
        <w:tc>
          <w:tcPr>
            <w:tcW w:w="8220" w:type="dxa"/>
            <w:vAlign w:val="bottom"/>
            <w:vMerge w:val="restart"/>
          </w:tcPr>
          <w:p>
            <w:pPr>
              <w:ind w:left="2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27"/>
        </w:trPr>
        <w:tc>
          <w:tcPr>
            <w:tcW w:w="1740" w:type="dxa"/>
            <w:vAlign w:val="bottom"/>
            <w:vMerge w:val="restart"/>
          </w:tcPr>
          <w:p>
            <w:pPr>
              <w:jc w:val="center"/>
              <w:ind w:right="390"/>
              <w:spacing w:after="0"/>
              <w:rPr>
                <w:sz w:val="20"/>
                <w:szCs w:val="20"/>
                <w:color w:val="auto"/>
              </w:rPr>
            </w:pPr>
            <w:r>
              <w:rPr>
                <w:rFonts w:ascii="Arial" w:cs="Arial" w:eastAsia="Arial" w:hAnsi="Arial"/>
                <w:sz w:val="18"/>
                <w:szCs w:val="18"/>
                <w:color w:val="auto"/>
                <w:w w:val="94"/>
              </w:rPr>
              <w:t>SHARES</w:t>
            </w:r>
          </w:p>
        </w:tc>
        <w:tc>
          <w:tcPr>
            <w:tcW w:w="760" w:type="dxa"/>
            <w:vAlign w:val="bottom"/>
            <w:vMerge w:val="continue"/>
          </w:tcPr>
          <w:p>
            <w:pPr>
              <w:spacing w:after="0"/>
              <w:rPr>
                <w:sz w:val="11"/>
                <w:szCs w:val="11"/>
                <w:color w:val="auto"/>
              </w:rPr>
            </w:pPr>
          </w:p>
        </w:tc>
        <w:tc>
          <w:tcPr>
            <w:tcW w:w="8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17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8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740" w:type="dxa"/>
            <w:vAlign w:val="bottom"/>
          </w:tcPr>
          <w:p>
            <w:pPr>
              <w:jc w:val="center"/>
              <w:ind w:right="390"/>
              <w:spacing w:after="0"/>
              <w:rPr>
                <w:sz w:val="20"/>
                <w:szCs w:val="20"/>
                <w:color w:val="auto"/>
              </w:rPr>
            </w:pPr>
            <w:r>
              <w:rPr>
                <w:rFonts w:ascii="Arial" w:cs="Arial" w:eastAsia="Arial" w:hAnsi="Arial"/>
                <w:sz w:val="18"/>
                <w:szCs w:val="18"/>
                <w:color w:val="auto"/>
                <w:w w:val="99"/>
              </w:rPr>
              <w:t>BENEFICIALLY</w:t>
            </w:r>
          </w:p>
        </w:tc>
        <w:tc>
          <w:tcPr>
            <w:tcW w:w="760" w:type="dxa"/>
            <w:vAlign w:val="bottom"/>
          </w:tcPr>
          <w:p>
            <w:pPr>
              <w:spacing w:after="0"/>
              <w:rPr>
                <w:sz w:val="18"/>
                <w:szCs w:val="18"/>
                <w:color w:val="auto"/>
              </w:rPr>
            </w:pPr>
          </w:p>
        </w:tc>
        <w:tc>
          <w:tcPr>
            <w:tcW w:w="822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4,999,996 common shares (See Item 5)</w:t>
            </w:r>
          </w:p>
        </w:tc>
        <w:tc>
          <w:tcPr>
            <w:tcW w:w="0" w:type="dxa"/>
            <w:vAlign w:val="bottom"/>
          </w:tcPr>
          <w:p>
            <w:pPr>
              <w:spacing w:after="0"/>
              <w:rPr>
                <w:sz w:val="1"/>
                <w:szCs w:val="1"/>
                <w:color w:val="auto"/>
              </w:rPr>
            </w:pPr>
          </w:p>
        </w:tc>
      </w:tr>
      <w:tr>
        <w:trPr>
          <w:trHeight w:val="116"/>
        </w:trPr>
        <w:tc>
          <w:tcPr>
            <w:tcW w:w="1740" w:type="dxa"/>
            <w:vAlign w:val="bottom"/>
            <w:vMerge w:val="restart"/>
          </w:tcPr>
          <w:p>
            <w:pPr>
              <w:jc w:val="center"/>
              <w:ind w:right="390"/>
              <w:spacing w:after="0"/>
              <w:rPr>
                <w:sz w:val="20"/>
                <w:szCs w:val="20"/>
                <w:color w:val="auto"/>
              </w:rPr>
            </w:pPr>
            <w:r>
              <w:rPr>
                <w:rFonts w:ascii="Arial" w:cs="Arial" w:eastAsia="Arial" w:hAnsi="Arial"/>
                <w:sz w:val="18"/>
                <w:szCs w:val="18"/>
                <w:color w:val="auto"/>
                <w:w w:val="99"/>
              </w:rPr>
              <w:t>OWNED BY</w:t>
            </w:r>
          </w:p>
        </w:tc>
        <w:tc>
          <w:tcPr>
            <w:tcW w:w="760" w:type="dxa"/>
            <w:vAlign w:val="bottom"/>
            <w:tcBorders>
              <w:bottom w:val="single" w:sz="8" w:color="auto"/>
            </w:tcBorders>
          </w:tcPr>
          <w:p>
            <w:pPr>
              <w:spacing w:after="0"/>
              <w:rPr>
                <w:sz w:val="10"/>
                <w:szCs w:val="10"/>
                <w:color w:val="auto"/>
              </w:rPr>
            </w:pPr>
          </w:p>
        </w:tc>
        <w:tc>
          <w:tcPr>
            <w:tcW w:w="82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740" w:type="dxa"/>
            <w:vAlign w:val="bottom"/>
            <w:vMerge w:val="continue"/>
          </w:tcPr>
          <w:p>
            <w:pPr>
              <w:spacing w:after="0"/>
              <w:rPr>
                <w:sz w:val="6"/>
                <w:szCs w:val="6"/>
                <w:color w:val="auto"/>
              </w:rPr>
            </w:pPr>
          </w:p>
        </w:tc>
        <w:tc>
          <w:tcPr>
            <w:tcW w:w="760" w:type="dxa"/>
            <w:vAlign w:val="bottom"/>
            <w:vMerge w:val="restart"/>
          </w:tcPr>
          <w:p>
            <w:pPr>
              <w:jc w:val="center"/>
              <w:ind w:left="70"/>
              <w:spacing w:after="0"/>
              <w:rPr>
                <w:sz w:val="20"/>
                <w:szCs w:val="20"/>
                <w:color w:val="auto"/>
              </w:rPr>
            </w:pPr>
            <w:r>
              <w:rPr>
                <w:rFonts w:ascii="Arial" w:cs="Arial" w:eastAsia="Arial" w:hAnsi="Arial"/>
                <w:sz w:val="18"/>
                <w:szCs w:val="18"/>
                <w:b w:val="1"/>
                <w:bCs w:val="1"/>
                <w:color w:val="auto"/>
                <w:w w:val="79"/>
              </w:rPr>
              <w:t>9</w:t>
            </w:r>
          </w:p>
        </w:tc>
        <w:tc>
          <w:tcPr>
            <w:tcW w:w="8220" w:type="dxa"/>
            <w:vAlign w:val="bottom"/>
            <w:vMerge w:val="restart"/>
          </w:tcPr>
          <w:p>
            <w:pPr>
              <w:ind w:left="2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4"/>
        </w:trPr>
        <w:tc>
          <w:tcPr>
            <w:tcW w:w="1740" w:type="dxa"/>
            <w:vAlign w:val="bottom"/>
            <w:vMerge w:val="restart"/>
          </w:tcPr>
          <w:p>
            <w:pPr>
              <w:jc w:val="center"/>
              <w:ind w:right="390"/>
              <w:spacing w:after="0"/>
              <w:rPr>
                <w:sz w:val="20"/>
                <w:szCs w:val="20"/>
                <w:color w:val="auto"/>
              </w:rPr>
            </w:pPr>
            <w:r>
              <w:rPr>
                <w:rFonts w:ascii="Arial" w:cs="Arial" w:eastAsia="Arial" w:hAnsi="Arial"/>
                <w:sz w:val="18"/>
                <w:szCs w:val="18"/>
                <w:color w:val="auto"/>
                <w:w w:val="99"/>
              </w:rPr>
              <w:t>EACH</w:t>
            </w:r>
          </w:p>
        </w:tc>
        <w:tc>
          <w:tcPr>
            <w:tcW w:w="760" w:type="dxa"/>
            <w:vAlign w:val="bottom"/>
            <w:vMerge w:val="continue"/>
          </w:tcPr>
          <w:p>
            <w:pPr>
              <w:spacing w:after="0"/>
              <w:rPr>
                <w:sz w:val="13"/>
                <w:szCs w:val="13"/>
                <w:color w:val="auto"/>
              </w:rPr>
            </w:pPr>
          </w:p>
        </w:tc>
        <w:tc>
          <w:tcPr>
            <w:tcW w:w="82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2"/>
        </w:trPr>
        <w:tc>
          <w:tcPr>
            <w:tcW w:w="174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8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740" w:type="dxa"/>
            <w:vAlign w:val="bottom"/>
          </w:tcPr>
          <w:p>
            <w:pPr>
              <w:jc w:val="center"/>
              <w:ind w:right="410"/>
              <w:spacing w:after="0"/>
              <w:rPr>
                <w:sz w:val="20"/>
                <w:szCs w:val="20"/>
                <w:color w:val="auto"/>
              </w:rPr>
            </w:pPr>
            <w:r>
              <w:rPr>
                <w:rFonts w:ascii="Arial" w:cs="Arial" w:eastAsia="Arial" w:hAnsi="Arial"/>
                <w:sz w:val="18"/>
                <w:szCs w:val="18"/>
                <w:color w:val="auto"/>
                <w:w w:val="93"/>
              </w:rPr>
              <w:t>REPORTING</w:t>
            </w:r>
          </w:p>
        </w:tc>
        <w:tc>
          <w:tcPr>
            <w:tcW w:w="760" w:type="dxa"/>
            <w:vAlign w:val="bottom"/>
          </w:tcPr>
          <w:p>
            <w:pPr>
              <w:spacing w:after="0"/>
              <w:rPr>
                <w:sz w:val="18"/>
                <w:szCs w:val="18"/>
                <w:color w:val="auto"/>
              </w:rPr>
            </w:pPr>
          </w:p>
        </w:tc>
        <w:tc>
          <w:tcPr>
            <w:tcW w:w="822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43"/>
        </w:trPr>
        <w:tc>
          <w:tcPr>
            <w:tcW w:w="1740" w:type="dxa"/>
            <w:vAlign w:val="bottom"/>
            <w:vMerge w:val="restart"/>
          </w:tcPr>
          <w:p>
            <w:pPr>
              <w:jc w:val="center"/>
              <w:ind w:right="390"/>
              <w:spacing w:after="0"/>
              <w:rPr>
                <w:sz w:val="20"/>
                <w:szCs w:val="20"/>
                <w:color w:val="auto"/>
              </w:rPr>
            </w:pPr>
            <w:r>
              <w:rPr>
                <w:rFonts w:ascii="Arial" w:cs="Arial" w:eastAsia="Arial" w:hAnsi="Arial"/>
                <w:sz w:val="18"/>
                <w:szCs w:val="18"/>
                <w:color w:val="auto"/>
                <w:w w:val="96"/>
              </w:rPr>
              <w:t>PERSON WITH</w:t>
            </w:r>
          </w:p>
        </w:tc>
        <w:tc>
          <w:tcPr>
            <w:tcW w:w="760" w:type="dxa"/>
            <w:vAlign w:val="bottom"/>
            <w:tcBorders>
              <w:bottom w:val="single" w:sz="8" w:color="auto"/>
            </w:tcBorders>
          </w:tcPr>
          <w:p>
            <w:pPr>
              <w:spacing w:after="0"/>
              <w:rPr>
                <w:sz w:val="12"/>
                <w:szCs w:val="12"/>
                <w:color w:val="auto"/>
              </w:rPr>
            </w:pPr>
          </w:p>
        </w:tc>
        <w:tc>
          <w:tcPr>
            <w:tcW w:w="82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740" w:type="dxa"/>
            <w:vAlign w:val="bottom"/>
            <w:vMerge w:val="continue"/>
          </w:tcPr>
          <w:p>
            <w:pPr>
              <w:spacing w:after="0"/>
              <w:rPr>
                <w:sz w:val="5"/>
                <w:szCs w:val="5"/>
                <w:color w:val="auto"/>
              </w:rPr>
            </w:pPr>
          </w:p>
        </w:tc>
        <w:tc>
          <w:tcPr>
            <w:tcW w:w="760" w:type="dxa"/>
            <w:vAlign w:val="bottom"/>
            <w:vMerge w:val="restart"/>
          </w:tcPr>
          <w:p>
            <w:pPr>
              <w:jc w:val="center"/>
              <w:ind w:left="90"/>
              <w:spacing w:after="0"/>
              <w:rPr>
                <w:sz w:val="20"/>
                <w:szCs w:val="20"/>
                <w:color w:val="auto"/>
              </w:rPr>
            </w:pPr>
            <w:r>
              <w:rPr>
                <w:rFonts w:ascii="Arial" w:cs="Arial" w:eastAsia="Arial" w:hAnsi="Arial"/>
                <w:sz w:val="18"/>
                <w:szCs w:val="18"/>
                <w:b w:val="1"/>
                <w:bCs w:val="1"/>
                <w:color w:val="auto"/>
                <w:w w:val="89"/>
              </w:rPr>
              <w:t>10</w:t>
            </w:r>
          </w:p>
        </w:tc>
        <w:tc>
          <w:tcPr>
            <w:tcW w:w="8220" w:type="dxa"/>
            <w:vAlign w:val="bottom"/>
            <w:vMerge w:val="restart"/>
          </w:tcPr>
          <w:p>
            <w:pPr>
              <w:ind w:left="2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67"/>
        </w:trPr>
        <w:tc>
          <w:tcPr>
            <w:tcW w:w="17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8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4,999,996 common shares (See Item 5)</w:t>
      </w:r>
    </w:p>
    <w:p>
      <w:pPr>
        <w:spacing w:after="0" w:line="40" w:lineRule="exact"/>
        <w:rPr>
          <w:sz w:val="20"/>
          <w:szCs w:val="20"/>
          <w:color w:val="auto"/>
        </w:rPr>
      </w:pPr>
    </w:p>
    <w:p>
      <w:pPr>
        <w:ind w:left="980" w:hanging="591"/>
        <w:spacing w:after="0"/>
        <w:tabs>
          <w:tab w:leader="none" w:pos="98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21"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4,999,996 (See Item 5)</w:t>
      </w:r>
    </w:p>
    <w:p>
      <w:pPr>
        <w:spacing w:after="0" w:line="40" w:lineRule="exact"/>
        <w:rPr>
          <w:sz w:val="20"/>
          <w:szCs w:val="20"/>
          <w:color w:val="auto"/>
        </w:rPr>
      </w:pPr>
    </w:p>
    <w:p>
      <w:pPr>
        <w:ind w:left="980" w:hanging="596"/>
        <w:spacing w:after="0"/>
        <w:tabs>
          <w:tab w:leader="none" w:pos="98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CHECK BOX IF THE AGGREGATE AMOUNT IN ROW (11) EXCLUDES CERTAIN SHARES: Not Applicable*</w:t>
      </w:r>
    </w:p>
    <w:p>
      <w:pPr>
        <w:spacing w:after="0" w:line="18" w:lineRule="exact"/>
        <w:rPr>
          <w:sz w:val="20"/>
          <w:szCs w:val="20"/>
          <w:color w:val="auto"/>
        </w:rPr>
      </w:pPr>
    </w:p>
    <w:p>
      <w:pPr>
        <w:jc w:val="right"/>
        <w:ind w:right="120"/>
        <w:spacing w:after="0" w:line="181" w:lineRule="exact"/>
        <w:rPr>
          <w:sz w:val="20"/>
          <w:szCs w:val="20"/>
          <w:color w:val="auto"/>
        </w:rPr>
      </w:pPr>
      <w:r>
        <w:rPr>
          <w:rFonts w:ascii="MS PGothic" w:cs="MS PGothic" w:eastAsia="MS PGothic" w:hAnsi="MS PGothic"/>
          <w:sz w:val="18"/>
          <w:szCs w:val="18"/>
          <w:color w:val="auto"/>
        </w:rPr>
        <w:t>☐</w:t>
      </w:r>
    </w:p>
    <w:p>
      <w:pPr>
        <w:spacing w:after="0" w:line="69" w:lineRule="exact"/>
        <w:rPr>
          <w:sz w:val="20"/>
          <w:szCs w:val="20"/>
          <w:color w:val="auto"/>
        </w:rPr>
      </w:pPr>
    </w:p>
    <w:p>
      <w:pPr>
        <w:ind w:left="980" w:hanging="596"/>
        <w:spacing w:after="0"/>
        <w:tabs>
          <w:tab w:leader="none" w:pos="98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(11)</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19.5% of the Company’s outstanding common shares</w:t>
      </w:r>
    </w:p>
    <w:p>
      <w:pPr>
        <w:spacing w:after="0" w:line="40" w:lineRule="exact"/>
        <w:rPr>
          <w:sz w:val="20"/>
          <w:szCs w:val="20"/>
          <w:color w:val="auto"/>
        </w:rPr>
      </w:pPr>
    </w:p>
    <w:p>
      <w:pPr>
        <w:ind w:left="980" w:hanging="596"/>
        <w:spacing w:after="0"/>
        <w:tabs>
          <w:tab w:leader="none" w:pos="98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TYPE OF REPORTING PERSON*</w:t>
      </w:r>
    </w:p>
    <w:p>
      <w:pPr>
        <w:spacing w:after="0" w:line="221" w:lineRule="exact"/>
        <w:rPr>
          <w:rFonts w:ascii="Arial" w:cs="Arial" w:eastAsia="Arial" w:hAnsi="Arial"/>
          <w:sz w:val="18"/>
          <w:szCs w:val="18"/>
          <w:b w:val="1"/>
          <w:bCs w:val="1"/>
          <w:color w:val="auto"/>
        </w:rPr>
      </w:pPr>
    </w:p>
    <w:p>
      <w:pPr>
        <w:ind w:left="13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70"/>
        </w:trPr>
        <w:tc>
          <w:tcPr>
            <w:tcW w:w="2280" w:type="dxa"/>
            <w:vAlign w:val="bottom"/>
            <w:tcBorders>
              <w:top w:val="single" w:sz="8" w:color="auto"/>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CUSIP No. G31642</w:t>
            </w:r>
          </w:p>
        </w:tc>
        <w:tc>
          <w:tcPr>
            <w:tcW w:w="6720" w:type="dxa"/>
            <w:vAlign w:val="bottom"/>
            <w:tcBorders>
              <w:right w:val="single" w:sz="8" w:color="auto"/>
            </w:tcBorders>
          </w:tcPr>
          <w:p>
            <w:pPr>
              <w:ind w:left="3180"/>
              <w:spacing w:after="0"/>
              <w:rPr>
                <w:sz w:val="20"/>
                <w:szCs w:val="20"/>
                <w:color w:val="auto"/>
              </w:rPr>
            </w:pPr>
            <w:r>
              <w:rPr>
                <w:rFonts w:ascii="Arial" w:cs="Arial" w:eastAsia="Arial" w:hAnsi="Arial"/>
                <w:sz w:val="18"/>
                <w:szCs w:val="18"/>
                <w:b w:val="1"/>
                <w:bCs w:val="1"/>
                <w:color w:val="auto"/>
              </w:rPr>
              <w:t>13D</w:t>
            </w:r>
          </w:p>
        </w:tc>
        <w:tc>
          <w:tcPr>
            <w:tcW w:w="2240" w:type="dxa"/>
            <w:vAlign w:val="bottom"/>
            <w:tcBorders>
              <w:top w:val="single" w:sz="8" w:color="auto"/>
              <w:right w:val="single" w:sz="8" w:color="auto"/>
            </w:tcBorders>
          </w:tcPr>
          <w:p>
            <w:pPr>
              <w:ind w:left="900"/>
              <w:spacing w:after="0"/>
              <w:rPr>
                <w:sz w:val="20"/>
                <w:szCs w:val="20"/>
                <w:color w:val="auto"/>
              </w:rPr>
            </w:pPr>
            <w:r>
              <w:rPr>
                <w:rFonts w:ascii="Arial" w:cs="Arial" w:eastAsia="Arial" w:hAnsi="Arial"/>
                <w:sz w:val="18"/>
                <w:szCs w:val="18"/>
                <w:color w:val="auto"/>
                <w:w w:val="87"/>
              </w:rPr>
              <w:t>Page 3 of 5 Pages</w:t>
            </w:r>
          </w:p>
        </w:tc>
      </w:tr>
      <w:tr>
        <w:trPr>
          <w:trHeight w:val="34"/>
        </w:trPr>
        <w:tc>
          <w:tcPr>
            <w:tcW w:w="2280" w:type="dxa"/>
            <w:vAlign w:val="bottom"/>
            <w:tcBorders>
              <w:left w:val="single" w:sz="8" w:color="auto"/>
              <w:bottom w:val="single" w:sz="8" w:color="auto"/>
              <w:right w:val="single" w:sz="8" w:color="auto"/>
            </w:tcBorders>
          </w:tcPr>
          <w:p>
            <w:pPr>
              <w:spacing w:after="0"/>
              <w:rPr>
                <w:sz w:val="2"/>
                <w:szCs w:val="2"/>
                <w:color w:val="auto"/>
              </w:rPr>
            </w:pPr>
          </w:p>
        </w:tc>
        <w:tc>
          <w:tcPr>
            <w:tcW w:w="6720" w:type="dxa"/>
            <w:vAlign w:val="bottom"/>
            <w:tcBorders>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This Amendment No. 5 to Schedule 13D amends the Amendment No. 4 to Schedule 13D filed on January 31, 2022 (the “Original 13D”). This Amendment and the Original 13D are hereby referred to as the “Schedule 13D”.</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Except as specifically amended below, all other provisions of the Schedule 13D remain in effect. Capitalized terms used and not defined in this Amendment are used as defined in the Original 13D. This Amendment is being filed to reflect the change of shareholding percentage by Qinhui Ltd. due to share dilution.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Security and Issuer.</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title and class of equity securities to which this Schedule 13D relates is the common shares, par value $0.0001 per share (“Common Shares”), of CLPS Incorporation, a Cayman Islands corporation (the “Company”). The Company’s principal executive office is located at Unit 1000, 10th Floor, Millennium City III, 370 Kwun Tong Road, Kwun Tong, Kowloon, Hong Kong SAR.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 This report is being filed by Qinhui Ltd. (the “Reporting Persons”). Qinhui Ltd. is a shareholder of the Company. This business address is Unit 1000, 10th Floor, Millennium City III, 378 Kwun Tong Road, Kwun Tong, Kowloon, Hong Kong SAR.</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Qinhui Ltd. is a holding company formed under the laws of the British Virgin Islands. The principal business of Qinhui Ltd. is managing Raymond Ming Hui Lin’s personal assets and investments. Qinhui Ltd.’s mailing address is c/o Ogier Global (BVI) Ltd., Ritter House, Wickham’s Cay II, Road Town, Tortola, VG 1110, British Virgin Islands. Raymond Ming Hui Lin has the sole control of Qinhui Ltd.</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 Neither Raymond Ming Hui Lin nor Qinhui Ltd. has, during the last five years, (i) been convicted in a criminal proceeding (excluding traffic violations or similar misdemeanors) or (ii) been a party to a civil proceeding of a judicial or administrative body of competent jurisdiction and as a result of such proceeding was or is subject to a judgment, decree or final order enjoining future violations of, or prohibiting activities subject to, federal or state securities laws or finding any violation of such laws.</w:t>
      </w:r>
    </w:p>
    <w:p>
      <w:pPr>
        <w:spacing w:after="0" w:line="187" w:lineRule="exact"/>
        <w:rPr>
          <w:sz w:val="20"/>
          <w:szCs w:val="20"/>
          <w:color w:val="auto"/>
        </w:rPr>
      </w:pPr>
    </w:p>
    <w:p>
      <w:pPr>
        <w:ind w:firstLine="8"/>
        <w:spacing w:after="0" w:line="277" w:lineRule="auto"/>
        <w:tabs>
          <w:tab w:leader="none" w:pos="239" w:val="left"/>
        </w:tabs>
        <w:numPr>
          <w:ilvl w:val="0"/>
          <w:numId w:val="11"/>
        </w:numPr>
        <w:rPr>
          <w:rFonts w:ascii="Arial" w:cs="Arial" w:eastAsia="Arial" w:hAnsi="Arial"/>
          <w:sz w:val="18"/>
          <w:szCs w:val="18"/>
          <w:color w:val="auto"/>
        </w:rPr>
      </w:pPr>
      <w:r>
        <w:rPr>
          <w:rFonts w:ascii="Arial" w:cs="Arial" w:eastAsia="Arial" w:hAnsi="Arial"/>
          <w:sz w:val="18"/>
          <w:szCs w:val="18"/>
          <w:color w:val="auto"/>
        </w:rPr>
        <w:t>Raymond Ming Hui Lin is a citizen of Hong Kong Special Administrative Region of the People’s Republic of China. Qinhui Ltd. is a British Virgin Islands corporation.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Source and Amount of Funds and Other Consideration.</w:t>
      </w:r>
    </w:p>
    <w:p>
      <w:pPr>
        <w:spacing w:after="0" w:line="229"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On November 6, 2020, the Board of Directors of the Company (the “Board”) authorized the award of 5,000 shares of restricted stock (the “Shares”) under the Company’s 2020 Equity Incentive Plan (the “2020 Plan”), 2,000 of which each vested on July 1, 2022 and July 1, 2023, and 1,000 of which vested on November 6, 2022.</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May 7, 2021, the Board authorized the award of 12,000 Shares under the Company’s 2020 Plan, which vested on June 11, 2022.</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On August 23, 2021, the Board authorized the award of 1,060,200 Shares under the Company’s 2020 Plan, 907,000 of which vested on May 23, 2022, 10,000 of which vested on June 11, 2022, 2,700 which vested on October 8, 2022, 2,600 of which vested on October 19, 2022, 12,000 of which vested on November 1, 2022, 2,000 of which vested on April 7, 2023, 22,000 of which vested on June 11, 2023, 101,900 of which remain unvested.</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On November 14, 2022, the Board authorized the award of 1,161,000 Shares under the Company’s 2020 Plan, which vested immediately.</w:t>
      </w:r>
    </w:p>
    <w:p>
      <w:pPr>
        <w:spacing w:after="0" w:line="2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August 16, 2023 the Board authorized the award of 1,934,000 Shares under the Company’s 2023 Equity Incentive Plan, which vested immediately.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70"/>
        </w:trPr>
        <w:tc>
          <w:tcPr>
            <w:tcW w:w="2280" w:type="dxa"/>
            <w:vAlign w:val="bottom"/>
            <w:tcBorders>
              <w:top w:val="single" w:sz="8" w:color="auto"/>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CUSIP No. G31642</w:t>
            </w:r>
          </w:p>
        </w:tc>
        <w:tc>
          <w:tcPr>
            <w:tcW w:w="6720" w:type="dxa"/>
            <w:vAlign w:val="bottom"/>
            <w:tcBorders>
              <w:right w:val="single" w:sz="8" w:color="auto"/>
            </w:tcBorders>
          </w:tcPr>
          <w:p>
            <w:pPr>
              <w:ind w:left="3180"/>
              <w:spacing w:after="0"/>
              <w:rPr>
                <w:sz w:val="20"/>
                <w:szCs w:val="20"/>
                <w:color w:val="auto"/>
              </w:rPr>
            </w:pPr>
            <w:r>
              <w:rPr>
                <w:rFonts w:ascii="Arial" w:cs="Arial" w:eastAsia="Arial" w:hAnsi="Arial"/>
                <w:sz w:val="18"/>
                <w:szCs w:val="18"/>
                <w:b w:val="1"/>
                <w:bCs w:val="1"/>
                <w:color w:val="auto"/>
              </w:rPr>
              <w:t>13D</w:t>
            </w:r>
          </w:p>
        </w:tc>
        <w:tc>
          <w:tcPr>
            <w:tcW w:w="2240" w:type="dxa"/>
            <w:vAlign w:val="bottom"/>
            <w:tcBorders>
              <w:top w:val="single" w:sz="8" w:color="auto"/>
              <w:right w:val="single" w:sz="8" w:color="auto"/>
            </w:tcBorders>
          </w:tcPr>
          <w:p>
            <w:pPr>
              <w:ind w:left="900"/>
              <w:spacing w:after="0"/>
              <w:rPr>
                <w:sz w:val="20"/>
                <w:szCs w:val="20"/>
                <w:color w:val="auto"/>
              </w:rPr>
            </w:pPr>
            <w:r>
              <w:rPr>
                <w:rFonts w:ascii="Arial" w:cs="Arial" w:eastAsia="Arial" w:hAnsi="Arial"/>
                <w:sz w:val="18"/>
                <w:szCs w:val="18"/>
                <w:color w:val="auto"/>
                <w:w w:val="87"/>
              </w:rPr>
              <w:t>Page 4 of 5 Pages</w:t>
            </w:r>
          </w:p>
        </w:tc>
      </w:tr>
      <w:tr>
        <w:trPr>
          <w:trHeight w:val="34"/>
        </w:trPr>
        <w:tc>
          <w:tcPr>
            <w:tcW w:w="2280" w:type="dxa"/>
            <w:vAlign w:val="bottom"/>
            <w:tcBorders>
              <w:left w:val="single" w:sz="8" w:color="auto"/>
              <w:bottom w:val="single" w:sz="8" w:color="auto"/>
              <w:right w:val="single" w:sz="8" w:color="auto"/>
            </w:tcBorders>
          </w:tcPr>
          <w:p>
            <w:pPr>
              <w:spacing w:after="0"/>
              <w:rPr>
                <w:sz w:val="2"/>
                <w:szCs w:val="2"/>
                <w:color w:val="auto"/>
              </w:rPr>
            </w:pPr>
          </w:p>
        </w:tc>
        <w:tc>
          <w:tcPr>
            <w:tcW w:w="6720" w:type="dxa"/>
            <w:vAlign w:val="bottom"/>
            <w:tcBorders>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issuances of Shares take place pursuant to the Company’s 2020 Equity Incentive Plan and 2023 Equity Incentive Plan stated above. As a result, Qinhui Ltd.’s shareholding is diluted.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(a)-(d) The calculations in this Item are based upon 25,584,122 common shares issued and outstanding as of August 16, 2023. The foregoing calculation is made pursuant to Rule 13d-3 promulgated under the Securities Act of 1933, as amended to date.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Amount of</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Shared Power to</w:t>
            </w: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Sole Power to</w:t>
            </w: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0"/>
              </w:rPr>
              <w:t>Shared Power to</w:t>
            </w: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Securities</w:t>
            </w: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Percentage of</w:t>
            </w: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Sole Power to Vote</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Vote or Direct the</w:t>
            </w: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Dispose or to Direct</w:t>
            </w: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88"/>
              </w:rPr>
              <w:t>Dispose or to Direct</w:t>
            </w:r>
          </w:p>
        </w:tc>
      </w:tr>
      <w:tr>
        <w:trPr>
          <w:trHeight w:val="241"/>
        </w:trPr>
        <w:tc>
          <w:tcPr>
            <w:tcW w:w="1600" w:type="dxa"/>
            <w:vAlign w:val="bottom"/>
            <w:gridSpan w:val="2"/>
          </w:tcPr>
          <w:p>
            <w:pPr>
              <w:spacing w:after="0"/>
              <w:rPr>
                <w:sz w:val="20"/>
                <w:szCs w:val="20"/>
                <w:color w:val="auto"/>
              </w:rPr>
            </w:pPr>
            <w:r>
              <w:rPr>
                <w:rFonts w:ascii="Arial" w:cs="Arial" w:eastAsia="Arial" w:hAnsi="Arial"/>
                <w:sz w:val="18"/>
                <w:szCs w:val="18"/>
                <w:b w:val="1"/>
                <w:bCs w:val="1"/>
                <w:color w:val="auto"/>
              </w:rPr>
              <w:t>Reporting Person</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Beneficially Owned</w:t>
            </w: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Class</w:t>
            </w: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or Direct the Vote</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Vote</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the Disposition</w:t>
            </w: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87"/>
              </w:rPr>
              <w:t>the Disposition</w:t>
            </w:r>
          </w:p>
        </w:tc>
      </w:tr>
      <w:tr>
        <w:trPr>
          <w:trHeight w:val="202"/>
        </w:trPr>
        <w:tc>
          <w:tcPr>
            <w:tcW w:w="148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Qinhui Ltd.</w:t>
            </w:r>
          </w:p>
        </w:tc>
        <w:tc>
          <w:tcPr>
            <w:tcW w:w="12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4,999,996</w:t>
            </w:r>
          </w:p>
        </w:tc>
        <w:tc>
          <w:tcPr>
            <w:tcW w:w="1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4,999,996 common</w:t>
            </w:r>
          </w:p>
        </w:tc>
        <w:tc>
          <w:tcPr>
            <w:tcW w:w="10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4,999,996 common</w:t>
            </w:r>
          </w:p>
        </w:tc>
      </w:tr>
      <w:tr>
        <w:trPr>
          <w:trHeight w:val="230"/>
        </w:trPr>
        <w:tc>
          <w:tcPr>
            <w:tcW w:w="1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common shares</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19.5%</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5"/>
              </w:rPr>
              <w:t>shares</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20"/>
                <w:szCs w:val="20"/>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1"/>
              </w:rPr>
              <w:t>shares</w:t>
            </w:r>
          </w:p>
        </w:tc>
      </w:tr>
    </w:tbl>
    <w:p>
      <w:pPr>
        <w:spacing w:after="0" w:line="202"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the vested portion of the restricted stock granted dated as of August 16, 2023.</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Because Mr. Lin controls all of the voting and disposition interests of Qinhui Ltd. with respect to the securities, he may be deemed to have indirect beneficial ownership of the common shares directly beneficially owned by Qinhui Ltd. Neither Raymond Ming Hui Lin nor Qinhui Ltd. has effected any transactions in the securities of the Company in the past sixty days. The Reporting Persons affirm that no other person has the right to receive or the power to direct the receipt of dividends from, or the proceeds from the sale of, the common shares beneficially owned by the Reporting Persons reported herein.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(e) 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Contracts, Arrangements, Understandings or Relationships with Respect to Securities of the Issuer.</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Other than as described above, there are no contracts, arrangements, understandings or relationships (legal or otherwise) between the Reporting Persons and any other person with respect to any securities of the Company, including, but not limited to, the transfer or voting of any of the securities, finder’s fees, joint ventures, loan or option arrangements, puts or calls, guarantees of profits, division of profits or loss, or the giving or withholding of proxies or any pledge or contingency, the occurrence of which would give another person voting or investment power over the securities of the Company.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Materials to be Filed as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70"/>
        </w:trPr>
        <w:tc>
          <w:tcPr>
            <w:tcW w:w="2280" w:type="dxa"/>
            <w:vAlign w:val="bottom"/>
            <w:tcBorders>
              <w:top w:val="single" w:sz="8" w:color="auto"/>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CUSIP No. G31642</w:t>
            </w:r>
          </w:p>
        </w:tc>
        <w:tc>
          <w:tcPr>
            <w:tcW w:w="6720" w:type="dxa"/>
            <w:vAlign w:val="bottom"/>
            <w:tcBorders>
              <w:right w:val="single" w:sz="8" w:color="auto"/>
            </w:tcBorders>
          </w:tcPr>
          <w:p>
            <w:pPr>
              <w:ind w:left="3180"/>
              <w:spacing w:after="0"/>
              <w:rPr>
                <w:sz w:val="20"/>
                <w:szCs w:val="20"/>
                <w:color w:val="auto"/>
              </w:rPr>
            </w:pPr>
            <w:r>
              <w:rPr>
                <w:rFonts w:ascii="Arial" w:cs="Arial" w:eastAsia="Arial" w:hAnsi="Arial"/>
                <w:sz w:val="18"/>
                <w:szCs w:val="18"/>
                <w:b w:val="1"/>
                <w:bCs w:val="1"/>
                <w:color w:val="auto"/>
              </w:rPr>
              <w:t>13D</w:t>
            </w:r>
          </w:p>
        </w:tc>
        <w:tc>
          <w:tcPr>
            <w:tcW w:w="2240" w:type="dxa"/>
            <w:vAlign w:val="bottom"/>
            <w:tcBorders>
              <w:top w:val="single" w:sz="8" w:color="auto"/>
              <w:right w:val="single" w:sz="8" w:color="auto"/>
            </w:tcBorders>
          </w:tcPr>
          <w:p>
            <w:pPr>
              <w:ind w:left="900"/>
              <w:spacing w:after="0"/>
              <w:rPr>
                <w:sz w:val="20"/>
                <w:szCs w:val="20"/>
                <w:color w:val="auto"/>
              </w:rPr>
            </w:pPr>
            <w:r>
              <w:rPr>
                <w:rFonts w:ascii="Arial" w:cs="Arial" w:eastAsia="Arial" w:hAnsi="Arial"/>
                <w:sz w:val="18"/>
                <w:szCs w:val="18"/>
                <w:color w:val="auto"/>
                <w:w w:val="87"/>
              </w:rPr>
              <w:t>Page 5 of 5 Pages</w:t>
            </w:r>
          </w:p>
        </w:tc>
      </w:tr>
      <w:tr>
        <w:trPr>
          <w:trHeight w:val="34"/>
        </w:trPr>
        <w:tc>
          <w:tcPr>
            <w:tcW w:w="2280" w:type="dxa"/>
            <w:vAlign w:val="bottom"/>
            <w:tcBorders>
              <w:left w:val="single" w:sz="8" w:color="auto"/>
              <w:bottom w:val="single" w:sz="8" w:color="auto"/>
              <w:right w:val="single" w:sz="8" w:color="auto"/>
            </w:tcBorders>
          </w:tcPr>
          <w:p>
            <w:pPr>
              <w:spacing w:after="0"/>
              <w:rPr>
                <w:sz w:val="2"/>
                <w:szCs w:val="2"/>
                <w:color w:val="auto"/>
              </w:rPr>
            </w:pPr>
          </w:p>
        </w:tc>
        <w:tc>
          <w:tcPr>
            <w:tcW w:w="6720" w:type="dxa"/>
            <w:vAlign w:val="bottom"/>
            <w:tcBorders>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After reasonable inquiry and to the best of my knowledge and belief, the undersigned certify that the information set forth in this Schedule 13D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August 25, 2023</w:t>
      </w:r>
    </w:p>
    <w:p>
      <w:pPr>
        <w:spacing w:after="0" w:line="221"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Qinhui Ltd.</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Raymond Ming Hui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Raymond Ming Hui Lin</w:t>
      </w:r>
    </w:p>
    <w:p>
      <w:pPr>
        <w:spacing w:after="0" w:line="23"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Sole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bullet"/>
      <w:start w:val="1"/>
    </w:lvl>
  </w:abstractNum>
  <w:abstractNum w:abstractNumId="1">
    <w:nsid w:val="41B71EFB"/>
    <w:multiLevelType w:val="hybridMultilevel"/>
    <w:lvl w:ilvl="0">
      <w:lvlJc w:val="left"/>
      <w:lvlText w:val="2"/>
      <w:numFmt w:val="bullet"/>
      <w:start w:val="1"/>
    </w:lvl>
  </w:abstractNum>
  <w:abstractNum w:abstractNumId="2">
    <w:nsid w:val="79E2A9E3"/>
    <w:multiLevelType w:val="hybridMultilevel"/>
    <w:lvl w:ilvl="0">
      <w:lvlJc w:val="left"/>
      <w:lvlText w:val="3"/>
      <w:numFmt w:val="bullet"/>
      <w:start w:val="1"/>
    </w:lvl>
  </w:abstractNum>
  <w:abstractNum w:abstractNumId="3">
    <w:nsid w:val="7545E146"/>
    <w:multiLevelType w:val="hybridMultilevel"/>
    <w:lvl w:ilvl="0">
      <w:lvlJc w:val="left"/>
      <w:lvlText w:val="4"/>
      <w:numFmt w:val="bullet"/>
      <w:start w:val="1"/>
    </w:lvl>
  </w:abstractNum>
  <w:abstractNum w:abstractNumId="4">
    <w:nsid w:val="515F007C"/>
    <w:multiLevelType w:val="hybridMultilevel"/>
    <w:lvl w:ilvl="0">
      <w:lvlJc w:val="left"/>
      <w:lvlText w:val="5"/>
      <w:numFmt w:val="bullet"/>
      <w:start w:val="1"/>
    </w:lvl>
  </w:abstractNum>
  <w:abstractNum w:abstractNumId="5">
    <w:nsid w:val="5BD062C2"/>
    <w:multiLevelType w:val="hybridMultilevel"/>
    <w:lvl w:ilvl="0">
      <w:lvlJc w:val="left"/>
      <w:lvlText w:val="6"/>
      <w:numFmt w:val="bullet"/>
      <w:start w:val="1"/>
    </w:lvl>
  </w:abstractNum>
  <w:abstractNum w:abstractNumId="6">
    <w:nsid w:val="12200854"/>
    <w:multiLevelType w:val="hybridMultilevel"/>
    <w:lvl w:ilvl="0">
      <w:lvlJc w:val="left"/>
      <w:lvlText w:val="%1"/>
      <w:numFmt w:val="decimal"/>
      <w:start w:val="11"/>
    </w:lvl>
  </w:abstractNum>
  <w:abstractNum w:abstractNumId="7">
    <w:nsid w:val="4DB127F8"/>
    <w:multiLevelType w:val="hybridMultilevel"/>
    <w:lvl w:ilvl="0">
      <w:lvlJc w:val="left"/>
      <w:lvlText w:val="%1"/>
      <w:numFmt w:val="decimal"/>
      <w:start w:val="12"/>
    </w:lvl>
  </w:abstractNum>
  <w:abstractNum w:abstractNumId="8">
    <w:nsid w:val="216231B"/>
    <w:multiLevelType w:val="hybridMultilevel"/>
    <w:lvl w:ilvl="0">
      <w:lvlJc w:val="left"/>
      <w:lvlText w:val="%1"/>
      <w:numFmt w:val="decimal"/>
      <w:start w:val="13"/>
    </w:lvl>
  </w:abstractNum>
  <w:abstractNum w:abstractNumId="9">
    <w:nsid w:val="1F16E9E8"/>
    <w:multiLevelType w:val="hybridMultilevel"/>
    <w:lvl w:ilvl="0">
      <w:lvlJc w:val="left"/>
      <w:lvlText w:val="%1"/>
      <w:numFmt w:val="decimal"/>
      <w:start w:val="14"/>
    </w:lvl>
  </w:abstractNum>
  <w:abstractNum w:abstractNumId="10">
    <w:nsid w:val="1190CDE7"/>
    <w:multiLevelType w:val="hybridMultilevel"/>
    <w:lvl w:ilvl="0">
      <w:lvlJc w:val="left"/>
      <w:lvlText w:val="(%1)"/>
      <w:numFmt w:val="lowerLetter"/>
      <w:start w:val="6"/>
    </w:lvl>
  </w:abstractNum>
  <w:abstractNum w:abstractNumId="11">
    <w:nsid w:val="66EF438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2023-08-25T07:32:45Z</dcterms:created>
  <dcterms:modified xsi:type="dcterms:W3CDTF">2023-08-25T07:32:45Z</dcterms:modified>
</cp:coreProperties>
</file>