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1180" w:hanging="216"/>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225"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1620" w:hanging="197"/>
        <w:spacing w:after="0"/>
        <w:tabs>
          <w:tab w:leader="none" w:pos="1620" w:val="left"/>
        </w:tabs>
        <w:numPr>
          <w:ilvl w:val="2"/>
          <w:numId w:val="2"/>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June 30, 2018.</w:t>
      </w:r>
    </w:p>
    <w:p>
      <w:pPr>
        <w:spacing w:after="0" w:line="229"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1460" w:hanging="197"/>
        <w:spacing w:after="0"/>
        <w:tabs>
          <w:tab w:leader="none" w:pos="14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jc w:val="center"/>
        <w:ind w:left="3460" w:right="1060" w:hanging="2402"/>
        <w:spacing w:after="0" w:line="501" w:lineRule="auto"/>
        <w:tabs>
          <w:tab w:leader="none" w:pos="125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15(d) OF THE SECURITIES EXCHANGE ACT OF 1934 for the transition period from ____________to ____________</w:t>
      </w:r>
    </w:p>
    <w:p>
      <w:pPr>
        <w:ind w:left="440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001-38505</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Cayman Islands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Raymond Ming Hui Lin, Chief Executive Officer</w:t>
      </w:r>
    </w:p>
    <w:p>
      <w:pPr>
        <w:spacing w:after="0" w:line="27"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 par value $0.0001</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 September 18, 2018, the issuer had 13,813,821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“accelerated filer and large accelerated filer” in Rule 12b-2 of the Exchange Act.</w:t>
      </w:r>
    </w:p>
    <w:p>
      <w:pPr>
        <w:spacing w:after="0" w:line="138" w:lineRule="exact"/>
        <w:rPr>
          <w:sz w:val="20"/>
          <w:szCs w:val="20"/>
          <w:color w:val="auto"/>
        </w:rPr>
      </w:pPr>
    </w:p>
    <w:p>
      <w:pPr>
        <w:spacing w:after="0" w:line="207" w:lineRule="exact"/>
        <w:tabs>
          <w:tab w:leader="none" w:pos="4440" w:val="left"/>
          <w:tab w:leader="none" w:pos="7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908" w:right="239" w:bottom="1440" w:gutter="0" w:footer="0" w:header="0"/>
        </w:sectPr>
      </w:pPr>
    </w:p>
    <w:p>
      <w:pPr>
        <w:spacing w:after="0" w:line="19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US GAAP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hanging="559"/>
        <w:spacing w:after="0" w:line="277"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93" w:lineRule="exact"/>
        <w:rPr>
          <w:sz w:val="20"/>
          <w:szCs w:val="20"/>
          <w:color w:val="auto"/>
        </w:rPr>
      </w:pPr>
    </w:p>
    <w:p>
      <w:pPr>
        <w:sectPr>
          <w:pgSz w:w="11900" w:h="16838" w:orient="portrait"/>
          <w:cols w:equalWidth="0" w:num="3">
            <w:col w:w="2720" w:space="720"/>
            <w:col w:w="5300" w:space="400"/>
            <w:col w:w="2280"/>
          </w:cols>
          <w:pgMar w:left="240" w:top="908"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6" w:lineRule="exact"/>
        <w:rPr>
          <w:sz w:val="20"/>
          <w:szCs w:val="20"/>
          <w:color w:val="auto"/>
        </w:rPr>
      </w:pPr>
    </w:p>
    <w:p>
      <w:pPr>
        <w:ind w:left="9360"/>
        <w:spacing w:after="0" w:line="207" w:lineRule="exact"/>
        <w:tabs>
          <w:tab w:leader="none" w:pos="10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20" w:type="dxa"/>
            <w:vAlign w:val="bottom"/>
            <w:gridSpan w:val="1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1280" w:type="dxa"/>
            <w:vAlign w:val="bottom"/>
            <w:gridSpan w:val="8"/>
          </w:tcPr>
          <w:p>
            <w:pPr>
              <w:spacing w:after="0" w:line="202" w:lineRule="exact"/>
              <w:rPr>
                <w:sz w:val="20"/>
                <w:szCs w:val="20"/>
                <w:color w:val="auto"/>
              </w:rPr>
            </w:pPr>
            <w:r>
              <w:rPr>
                <w:rFonts w:ascii="Arial" w:cs="Arial" w:eastAsia="Arial" w:hAnsi="Arial"/>
                <w:sz w:val="18"/>
                <w:szCs w:val="18"/>
                <w:b w:val="1"/>
                <w:bCs w:val="1"/>
                <w:color w:val="auto"/>
              </w:rPr>
              <w:t>PART I</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2.</w:t>
              </w:r>
            </w:hyperlink>
          </w:p>
        </w:tc>
        <w:tc>
          <w:tcPr>
            <w:tcW w:w="9240" w:type="dxa"/>
            <w:vAlign w:val="bottom"/>
            <w:gridSpan w:val="27"/>
          </w:tcPr>
          <w:p>
            <w:pPr>
              <w:ind w:left="4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3.</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240" w:type="dxa"/>
            <w:vAlign w:val="bottom"/>
            <w:gridSpan w:val="27"/>
          </w:tcPr>
          <w:p>
            <w:pPr>
              <w:ind w:left="4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INFORMATION ON THE COMPANY</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shd w:val="clear" w:color="auto" w:fill="CCEEFF"/>
          </w:tcPr>
          <w:p>
            <w:pPr>
              <w:spacing w:after="0" w:line="17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ITEM 4A.</w:t>
              </w:r>
            </w:hyperlink>
          </w:p>
        </w:tc>
        <w:tc>
          <w:tcPr>
            <w:tcW w:w="520" w:type="dxa"/>
            <w:vAlign w:val="bottom"/>
            <w:gridSpan w:val="4"/>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0" w:type="dxa"/>
            <w:vAlign w:val="bottom"/>
            <w:gridSpan w:val="2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UNRESOLVED STAFF COMMENTS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5.</w:t>
              </w:r>
            </w:hyperlink>
          </w:p>
        </w:tc>
        <w:tc>
          <w:tcPr>
            <w:tcW w:w="520" w:type="dxa"/>
            <w:vAlign w:val="bottom"/>
            <w:gridSpan w:val="4"/>
          </w:tcPr>
          <w:p>
            <w:pPr>
              <w:spacing w:after="0"/>
              <w:rPr>
                <w:sz w:val="15"/>
                <w:szCs w:val="15"/>
                <w:color w:val="auto"/>
              </w:rPr>
            </w:pPr>
          </w:p>
        </w:tc>
        <w:tc>
          <w:tcPr>
            <w:tcW w:w="440" w:type="dxa"/>
            <w:vAlign w:val="bottom"/>
          </w:tcPr>
          <w:p>
            <w:pPr>
              <w:spacing w:after="0"/>
              <w:rPr>
                <w:sz w:val="15"/>
                <w:szCs w:val="15"/>
                <w:color w:val="auto"/>
              </w:rPr>
            </w:pPr>
          </w:p>
        </w:tc>
        <w:tc>
          <w:tcPr>
            <w:tcW w:w="8800" w:type="dxa"/>
            <w:vAlign w:val="bottom"/>
            <w:gridSpan w:val="26"/>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OPERATING AND FINANCIAL REVIEW AND PROSPECT</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6.</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DIRECTORS, SENIOR MANAGEMENT AND EMPLOYEES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7.</w:t>
              </w:r>
            </w:hyperlink>
          </w:p>
        </w:tc>
        <w:tc>
          <w:tcPr>
            <w:tcW w:w="9240" w:type="dxa"/>
            <w:vAlign w:val="bottom"/>
            <w:gridSpan w:val="27"/>
          </w:tcPr>
          <w:p>
            <w:pPr>
              <w:ind w:left="440"/>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MAJOR SHAREHOLDERS AND RELATED PARTY TRANSACTIONS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8.</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FINANCIAL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ITEM 9.</w:t>
              </w:r>
            </w:hyperlink>
          </w:p>
        </w:tc>
        <w:tc>
          <w:tcPr>
            <w:tcW w:w="9240" w:type="dxa"/>
            <w:vAlign w:val="bottom"/>
            <w:gridSpan w:val="27"/>
          </w:tcPr>
          <w:p>
            <w:pPr>
              <w:ind w:left="44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THE OFFER AND LISTING</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2"/>
            <w:shd w:val="clear" w:color="auto" w:fill="CCEEFF"/>
          </w:tcPr>
          <w:p>
            <w:pPr>
              <w:spacing w:after="0" w:line="17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ITEM 10.</w:t>
              </w:r>
            </w:hyperlink>
          </w:p>
        </w:tc>
        <w:tc>
          <w:tcPr>
            <w:tcW w:w="560" w:type="dxa"/>
            <w:vAlign w:val="bottom"/>
            <w:gridSpan w:val="5"/>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0" w:type="dxa"/>
            <w:vAlign w:val="bottom"/>
            <w:gridSpan w:val="26"/>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ADDITIONAL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2"/>
          </w:tcPr>
          <w:p>
            <w:pPr>
              <w:spacing w:after="0" w:line="176" w:lineRule="exact"/>
              <w:rPr>
                <w:rFonts w:ascii="Arial" w:cs="Arial" w:eastAsia="Arial" w:hAnsi="Arial"/>
                <w:sz w:val="18"/>
                <w:szCs w:val="18"/>
                <w:color w:val="0000EE"/>
                <w:w w:val="93"/>
              </w:rPr>
            </w:pPr>
            <w:hyperlink w:anchor="page95">
              <w:r>
                <w:rPr>
                  <w:rFonts w:ascii="Arial" w:cs="Arial" w:eastAsia="Arial" w:hAnsi="Arial"/>
                  <w:sz w:val="18"/>
                  <w:szCs w:val="18"/>
                  <w:color w:val="0000EE"/>
                  <w:w w:val="93"/>
                </w:rPr>
                <w:t>ITEM 11.</w:t>
              </w:r>
            </w:hyperlink>
          </w:p>
        </w:tc>
        <w:tc>
          <w:tcPr>
            <w:tcW w:w="560" w:type="dxa"/>
            <w:vAlign w:val="bottom"/>
            <w:gridSpan w:val="5"/>
          </w:tcPr>
          <w:p>
            <w:pPr>
              <w:spacing w:after="0"/>
              <w:rPr>
                <w:sz w:val="15"/>
                <w:szCs w:val="15"/>
                <w:color w:val="auto"/>
              </w:rPr>
            </w:pPr>
          </w:p>
        </w:tc>
        <w:tc>
          <w:tcPr>
            <w:tcW w:w="440" w:type="dxa"/>
            <w:vAlign w:val="bottom"/>
          </w:tcPr>
          <w:p>
            <w:pPr>
              <w:spacing w:after="0"/>
              <w:rPr>
                <w:sz w:val="15"/>
                <w:szCs w:val="15"/>
                <w:color w:val="auto"/>
              </w:rPr>
            </w:pPr>
          </w:p>
        </w:tc>
        <w:tc>
          <w:tcPr>
            <w:tcW w:w="8800" w:type="dxa"/>
            <w:vAlign w:val="bottom"/>
            <w:gridSpan w:val="26"/>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 ABOUT MARKET RISK</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ITEM 12.</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SECURITIES OTHER THAN EQUITY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ITEM 13.</w:t>
              </w:r>
            </w:hyperlink>
          </w:p>
        </w:tc>
        <w:tc>
          <w:tcPr>
            <w:tcW w:w="560" w:type="dxa"/>
            <w:vAlign w:val="bottom"/>
            <w:tcBorders>
              <w:bottom w:val="single" w:sz="8" w:color="CCEEFF"/>
            </w:tcBorders>
            <w:gridSpan w:val="5"/>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0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DEFAULTS, DIVIDEND ARREARAGES AND DELINQUENCIES</w:t>
              </w:r>
            </w:hyperlink>
          </w:p>
        </w:tc>
        <w:tc>
          <w:tcPr>
            <w:tcW w:w="37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7"/>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14.</w:t>
              </w:r>
            </w:hyperlink>
          </w:p>
        </w:tc>
        <w:tc>
          <w:tcPr>
            <w:tcW w:w="9240" w:type="dxa"/>
            <w:vAlign w:val="bottom"/>
            <w:gridSpan w:val="27"/>
          </w:tcPr>
          <w:p>
            <w:pPr>
              <w:ind w:left="440"/>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MATERIAL MODIFICATIONS TO THE RIGHTS OF SECURITY HOLDERS AND USE OF PROCEEDS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gridSpan w:val="2"/>
            <w:shd w:val="clear" w:color="auto" w:fill="CCEEFF"/>
          </w:tcPr>
          <w:p>
            <w:pPr>
              <w:spacing w:after="0" w:line="17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ITEM 15.</w:t>
              </w:r>
            </w:hyperlink>
          </w:p>
        </w:tc>
        <w:tc>
          <w:tcPr>
            <w:tcW w:w="560" w:type="dxa"/>
            <w:vAlign w:val="bottom"/>
            <w:gridSpan w:val="5"/>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0" w:type="dxa"/>
            <w:vAlign w:val="bottom"/>
            <w:gridSpan w:val="26"/>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0000EE"/>
            </w:tcBorders>
            <w:gridSpan w:val="2"/>
          </w:tcPr>
          <w:p>
            <w:pPr>
              <w:spacing w:after="0" w:line="17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ITEM 16.</w:t>
              </w:r>
            </w:hyperlink>
          </w:p>
        </w:tc>
        <w:tc>
          <w:tcPr>
            <w:tcW w:w="560" w:type="dxa"/>
            <w:vAlign w:val="bottom"/>
            <w:tcBorders>
              <w:top w:val="single" w:sz="8" w:color="CCEEFF"/>
            </w:tcBorders>
            <w:gridSpan w:val="5"/>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6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RESERVED</w:t>
              </w:r>
            </w:hyperlink>
          </w:p>
        </w:tc>
        <w:tc>
          <w:tcPr>
            <w:tcW w:w="6200" w:type="dxa"/>
            <w:vAlign w:val="bottom"/>
            <w:tcBorders>
              <w:top w:val="single" w:sz="8" w:color="CCEEFF"/>
            </w:tcBorders>
            <w:gridSpan w:val="1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16A.</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AUDIT COMMITTEE FINANCIAL EXPERT.</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0000EE"/>
            </w:tcBorders>
            <w:gridSpan w:val="6"/>
          </w:tcPr>
          <w:p>
            <w:pPr>
              <w:spacing w:after="0" w:line="176" w:lineRule="exact"/>
              <w:rPr>
                <w:rFonts w:ascii="Arial" w:cs="Arial" w:eastAsia="Arial" w:hAnsi="Arial"/>
                <w:sz w:val="18"/>
                <w:szCs w:val="18"/>
                <w:color w:val="0000EE"/>
                <w:w w:val="94"/>
              </w:rPr>
            </w:pPr>
            <w:hyperlink w:anchor="page97">
              <w:r>
                <w:rPr>
                  <w:rFonts w:ascii="Arial" w:cs="Arial" w:eastAsia="Arial" w:hAnsi="Arial"/>
                  <w:sz w:val="18"/>
                  <w:szCs w:val="18"/>
                  <w:color w:val="0000EE"/>
                  <w:w w:val="94"/>
                </w:rPr>
                <w:t>ITEM 16B.</w:t>
              </w:r>
            </w:hyperlink>
          </w:p>
        </w:tc>
        <w:tc>
          <w:tcPr>
            <w:tcW w:w="44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34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CODE OF ETHICS.</w:t>
              </w:r>
            </w:hyperlink>
          </w:p>
        </w:tc>
        <w:tc>
          <w:tcPr>
            <w:tcW w:w="536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ITEM 16C.</w:t>
              </w:r>
            </w:hyperlink>
          </w:p>
        </w:tc>
        <w:tc>
          <w:tcPr>
            <w:tcW w:w="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4"/>
              </w:rPr>
            </w:pPr>
            <w:hyperlink w:anchor="page97">
              <w:r>
                <w:rPr>
                  <w:rFonts w:ascii="Arial" w:cs="Arial" w:eastAsia="Arial" w:hAnsi="Arial"/>
                  <w:sz w:val="18"/>
                  <w:szCs w:val="18"/>
                  <w:color w:val="0000EE"/>
                  <w:w w:val="94"/>
                </w:rPr>
                <w:t>PRINCIPAL ACCOUNTANT FEES AND SERVICES.</w:t>
              </w:r>
            </w:hyperlink>
          </w:p>
        </w:tc>
        <w:tc>
          <w:tcPr>
            <w:tcW w:w="478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7"/>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16D.</w:t>
              </w:r>
            </w:hyperlink>
          </w:p>
        </w:tc>
        <w:tc>
          <w:tcPr>
            <w:tcW w:w="9240" w:type="dxa"/>
            <w:vAlign w:val="bottom"/>
            <w:gridSpan w:val="27"/>
          </w:tcPr>
          <w:p>
            <w:pPr>
              <w:ind w:left="44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EXEMPTIONS FROM THE LISTING STANDARDS FOR AUDIT COMMITTEES.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ITEM 16E.</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PURCHASES OF EQUITY SECURITIES BY THE ISSUER AND AFFILIATED PURCHASERS.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0000EE"/>
            </w:tcBorders>
            <w:gridSpan w:val="5"/>
          </w:tcPr>
          <w:p>
            <w:pPr>
              <w:spacing w:after="0" w:line="17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ITEM 16F.</w:t>
              </w:r>
            </w:hyperlink>
          </w:p>
        </w:tc>
        <w:tc>
          <w:tcPr>
            <w:tcW w:w="460" w:type="dxa"/>
            <w:vAlign w:val="bottom"/>
            <w:tcBorders>
              <w:top w:val="single" w:sz="8" w:color="CCEEFF"/>
            </w:tcBorders>
            <w:gridSpan w:val="2"/>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20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CHANGES IN REGISTRANT’S CERTIFYING ACCOUNTANT.</w:t>
              </w:r>
            </w:hyperlink>
          </w:p>
        </w:tc>
        <w:tc>
          <w:tcPr>
            <w:tcW w:w="160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ITEM 16G.</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CORPORATE GOVERNANCE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98">
              <w:r>
                <w:rPr>
                  <w:rFonts w:ascii="Arial" w:cs="Arial" w:eastAsia="Arial" w:hAnsi="Arial"/>
                  <w:sz w:val="18"/>
                  <w:szCs w:val="18"/>
                  <w:color w:val="0000EE"/>
                  <w:w w:val="93"/>
                </w:rPr>
                <w:t>ITEM 17.</w:t>
              </w:r>
            </w:hyperlink>
          </w:p>
        </w:tc>
        <w:tc>
          <w:tcPr>
            <w:tcW w:w="560" w:type="dxa"/>
            <w:vAlign w:val="bottom"/>
            <w:tcBorders>
              <w:bottom w:val="single" w:sz="8" w:color="CCEEFF"/>
            </w:tcBorders>
            <w:gridSpan w:val="5"/>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FINANCIAL STATEMENTS</w:t>
              </w:r>
            </w:hyperlink>
          </w:p>
        </w:tc>
        <w:tc>
          <w:tcPr>
            <w:tcW w:w="6640" w:type="dxa"/>
            <w:vAlign w:val="bottom"/>
            <w:tcBorders>
              <w:bottom w:val="single" w:sz="8" w:color="CCEEFF"/>
            </w:tcBorders>
            <w:gridSpan w:val="2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7"/>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ITEM 18.</w:t>
              </w:r>
            </w:hyperlink>
          </w:p>
        </w:tc>
        <w:tc>
          <w:tcPr>
            <w:tcW w:w="9240" w:type="dxa"/>
            <w:vAlign w:val="bottom"/>
            <w:gridSpan w:val="27"/>
          </w:tcPr>
          <w:p>
            <w:pPr>
              <w:ind w:left="44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FINANCIAL STATEMENTS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7"/>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ITEM 19.</w:t>
              </w:r>
            </w:hyperlink>
          </w:p>
        </w:tc>
        <w:tc>
          <w:tcPr>
            <w:tcW w:w="9240" w:type="dxa"/>
            <w:vAlign w:val="bottom"/>
            <w:gridSpan w:val="27"/>
            <w:shd w:val="clear" w:color="auto" w:fill="CCEEFF"/>
          </w:tcPr>
          <w:p>
            <w:pPr>
              <w:ind w:left="440"/>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indicated, numerical figures included in this Annual Report on Form 20-F (the “Annual Report”) have been subject to rounding adjustments. Accordingly, numerical figures shown as totals in various tables may not be arithmetic aggregations of the figures that precede them.</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sake of clarity, this Annual Report follows the English naming convention of first name followed by last name, regardless of whether an individual’s name is Chinese or English. Numerical figures included in this Annual Report have been subject to rounding adjustments. Accordingly, numerical figures shown as totals in various tables may not be arithmetic aggregations of the figures that precede them.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where the context otherwise requires and for purposes of this Annual Report only:</w:t>
      </w:r>
    </w:p>
    <w:p>
      <w:pPr>
        <w:spacing w:after="0" w:line="225"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Shanghai” refers to ChinaLink Professional Services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“Judge China” refers to Judge (Shanghai)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“Judge HR” refers to Judge (Shanghai) Human Resource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AU” refers to CLPS Technology (Australia) Pty. Ltd., an Australian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Hong Kong” refers to CLPS Technology (HK) Co., Ltd.,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US” refers to CLPS Technology (US) Ltd., a US company.</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“Lihong” refers to Lihong Financial Information Services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“China” and “PRC” refer to the People’s Republic of China, excluding, for the purposes of this Annual Report only, Macau, Taiwan and Hong Kong;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references to “RMB,” “yuan” and “Renminbi” are to the legal currency of China, and all references to “USD,” and “U.S. dollars” are to the legal currency of the United States.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6.8673 to USD1.00, the noon buying rate on September 14, 2018,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Annual Report should be read in conjunction with our audited financial statements and the accompanying notes thereto, which are included in Item 18 of this Annual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010000"/>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selected consolidated financial data as of and for the years ended June 30, 2018, 2017 and 2016 have been derived from the audited consolidated financial statements of the Company included in this Annual Report. This information is only a summary and should be read together with the consolidated financial statements, the related notes, the section entitled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other financial information included in this Annual Report. The Company’s results of operations in any period may not necessarily be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indicative of the results that may be expected for any future period. See “Risk Factors” included elsewhere in this Annual Report.</w:t>
      </w:r>
    </w:p>
    <w:p>
      <w:pPr>
        <w:spacing w:after="0" w:line="15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The following table presents our summary consolidated statements of income and comprehensive income for the fiscal years ended June 30, 2018, 2017 and 2016,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Statement of Income and Comprehensive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48,938,593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31,361,976</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29,024,178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(31,277,255)</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7"/>
              </w:rPr>
              <w:t>(18,669,812)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(17,463,416)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2,225,702</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1,206,493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7,837,873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4,232,788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5,579,058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5,871,622</w:t>
            </w: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5,647,790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4,955,037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15,935,197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1,726,141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960,784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508,187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1,446,408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(84,155)</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2,602,770</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2,102,811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2,054,124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(112,128)</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2,714,898</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173,912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2,434,463</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2,047,445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1,826,112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(93,177)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foreign currency translation gain (loss) attributable to Non-controlling interest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comprehensive loss attributable to CLPS Incorporation’s shareholders</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14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(385,629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2,480,056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1,952,536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1,440,483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175,644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2,770,691</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2,128,180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1,397,871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11,517,123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11,636,367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w:t>
      </w:r>
    </w:p>
    <w:p>
      <w:pPr>
        <w:sectPr>
          <w:pgSz w:w="11900" w:h="16838" w:orient="portrait"/>
          <w:cols w:equalWidth="0" w:num="1">
            <w:col w:w="11420"/>
          </w:cols>
          <w:pgMar w:left="240" w:top="226" w:right="239" w:bottom="146"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6"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ind w:left="660"/>
              <w:spacing w:after="0"/>
              <w:rPr>
                <w:sz w:val="20"/>
                <w:szCs w:val="20"/>
                <w:color w:val="auto"/>
              </w:rPr>
            </w:pPr>
            <w:r>
              <w:rPr>
                <w:rFonts w:ascii="Arial" w:cs="Arial" w:eastAsia="Arial" w:hAnsi="Arial"/>
                <w:sz w:val="18"/>
                <w:szCs w:val="18"/>
                <w:b w:val="1"/>
                <w:bCs w:val="1"/>
                <w:color w:val="auto"/>
                <w:w w:val="89"/>
              </w:rPr>
              <w:t>The following table presents our summary consolidated balance sheet data as of June 30, 2018 and 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ind w:left="50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8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9,742,886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29,052,212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12,325,296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30,944,911</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13,521,923</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12,789,555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8,210,625</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17,479,074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4,834,188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676,282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477,110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18,155,356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5,311,298</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30,944,911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13,521,923</w:t>
            </w: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On September 14, 2018, the buying rate announced by the Federal Reserve Statistical Release was RMB 6.8673 to $1.00.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Spot Exchange Rate</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080" w:type="dxa"/>
            <w:vAlign w:val="bottom"/>
          </w:tcPr>
          <w:p>
            <w:pPr>
              <w:spacing w:after="0"/>
              <w:rPr>
                <w:sz w:val="17"/>
                <w:szCs w:val="17"/>
                <w:color w:val="auto"/>
              </w:rPr>
            </w:pPr>
          </w:p>
        </w:tc>
        <w:tc>
          <w:tcPr>
            <w:tcW w:w="1400" w:type="dxa"/>
            <w:vAlign w:val="bottom"/>
          </w:tcPr>
          <w:p>
            <w:pPr>
              <w:jc w:val="right"/>
              <w:ind w:right="490"/>
              <w:spacing w:after="0" w:line="198" w:lineRule="exact"/>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Average</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608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Ended</w:t>
            </w:r>
          </w:p>
        </w:tc>
        <w:tc>
          <w:tcPr>
            <w:tcW w:w="1440" w:type="dxa"/>
            <w:vAlign w:val="bottom"/>
          </w:tcPr>
          <w:p>
            <w:pPr>
              <w:ind w:left="460"/>
              <w:spacing w:after="0"/>
              <w:rPr>
                <w:sz w:val="20"/>
                <w:szCs w:val="20"/>
                <w:color w:val="auto"/>
              </w:rPr>
            </w:pPr>
            <w:r>
              <w:rPr>
                <w:rFonts w:ascii="Arial" w:cs="Arial" w:eastAsia="Arial" w:hAnsi="Arial"/>
                <w:sz w:val="18"/>
                <w:szCs w:val="18"/>
                <w:b w:val="1"/>
                <w:bCs w:val="1"/>
                <w:color w:val="auto"/>
              </w:rPr>
              <w:t>(1)</w:t>
            </w: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High</w:t>
            </w:r>
          </w:p>
        </w:tc>
      </w:tr>
      <w:tr>
        <w:trPr>
          <w:trHeight w:val="223"/>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Period</w:t>
            </w:r>
          </w:p>
        </w:tc>
        <w:tc>
          <w:tcPr>
            <w:tcW w:w="140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(RMB per US$1.00)</w:t>
            </w: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6.9430</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6.6400</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6.4480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2017</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6.5063</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6.7569</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6.4773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6.9575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January</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6.2841</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6.4233</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6.2841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6.5263</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February</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6.3280</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6.3183</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6.2649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6.3471</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March</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6.2726</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6.3174</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6.2685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6.3565</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April</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6.3325</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6.2967</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6.2655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6.3340</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May</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6.4096</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6.3701</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6.3325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6.4175</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6.6171</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6.4651</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6.3850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6.6235</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July</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6.8038</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6.7164</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6.6123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6.8102</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August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6.8300</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6.8453</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6.8018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https://www.federalreserve.gov/releases/h10/hist/default.htm.</w:t>
      </w:r>
    </w:p>
    <w:p>
      <w:pPr>
        <w:spacing w:after="0" w:line="225"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averages, lows, and highs are calculated from month-end rates. Monthly averages, lows, and highs are calculated using the average of the daily rates during the relevant period.</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010000"/>
        </w:rPr>
        <w:t>B.</w:t>
      </w:r>
      <w:r>
        <w:rPr>
          <w:rFonts w:ascii="Arial" w:cs="Arial" w:eastAsia="Arial" w:hAnsi="Arial"/>
          <w:sz w:val="16"/>
          <w:szCs w:val="16"/>
          <w:b w:val="1"/>
          <w:bCs w:val="1"/>
          <w:color w:val="auto"/>
        </w:rPr>
        <w:t>Capitalization and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010000"/>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010000"/>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significantly grown and expanded our business recently. Our revenues grew from $29.0 million in fiscal 2016 to $31.4 million in fiscal 2017 and to $48.9 million in fiscal 2018. We maintain eleven delivery and or R&amp;D centers, of which seven are located in China (Shanghai, Beijing, Dalian, Tianjin, Chengdu, Guangzhou and Shenzhen) and four are located globally (Hong Kong, Taiwan, Singapore and Australia), to serve different customers in various geographic locations. The number of our total employees grew from 1,055 in fiscal 2016 to 1,248 in fiscal 2017. As of June 30, 2018 we had 1,655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9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IT talents and management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core values;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adhering to and further improving our high quality and process execution standards and maintaining high levels of client satisfaction.</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IT services industry is particularly sensitive to the economic environment, either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defer their IT spending or change their IT outsourcing strategy, and reduce their purchases from us. The recent global economic slowdown and any future economic slowdown, and the resulting diminution in IT spending, could also lead to increased pricing pressure from our clients. The occurrence of any of these events could materially and adversely affect our revenues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18% and 15% per annum in 2016 and 2017, respectively; in 2018, this rate was 16%.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We have established TCP and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future success heavily depends upon the continued services of our senior executives and other key employees. In particular, we rely on the expertise, experience, client relationships and reputation of Xiao Feng Yang, our Chairman, president and director. We currently do not maintain key 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where most of these executive officers and key employees reside, in light of the uncertainties with China’s legal system.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believe that in the foreseeable future we will continue to derive a significant portion of our revenues from a small number of major clients. For the years ended June 30, 2018, 2017 and 2016, Citibank and its affiliates accounted for 30.8%, 38.6% and 59.2% of the Company’s total revenues, respectively. For fiscal 2018 and 2017, substantially all the service provided by the Company to Citibank was IT consulting service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team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changes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depends on our ability to successfully obtain payment from our clients of the amounts they owe us for work performed. As of June 30, 2018 and 2017, our accounts receivable balance, net of allowance, amounted to approximately $16.3 million and $6.6 million, respectively. As of the years ended June 30, 2018 and 2017, Citibank accounted for 35.9% and 39.1% of the Company’s total accounts receivable balance.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market for our services is characterized by rapid technological change, evolving industry standards, changing client preferences and new product and service introductions. Our future growth and success depend significantly on our ability to anticipate developments in IT services, and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1" w:lineRule="exact"/>
        <w:rPr>
          <w:sz w:val="20"/>
          <w:szCs w:val="20"/>
          <w:color w:val="auto"/>
        </w:rPr>
      </w:pPr>
    </w:p>
    <w:p>
      <w:pPr>
        <w:ind w:left="5680" w:right="4740" w:hanging="5024"/>
        <w:spacing w:after="0" w:line="778" w:lineRule="auto"/>
        <w:tabs>
          <w:tab w:leader="none" w:pos="9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that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89" w:lineRule="exact"/>
        <w:rPr>
          <w:sz w:val="20"/>
          <w:szCs w:val="20"/>
          <w:color w:val="auto"/>
        </w:rPr>
      </w:pPr>
    </w:p>
    <w:p>
      <w:pPr>
        <w:ind w:left="5680" w:right="3700" w:hanging="5024"/>
        <w:spacing w:after="0" w:line="778" w:lineRule="auto"/>
        <w:tabs>
          <w:tab w:leader="none" w:pos="9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our strategy and modifying it from time to time to respond effectively to competition and changes in client preferences;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potentially adverse tax consequences, such as scrutiny of transfer pricing arrangements by authorities in the countries in which we operate;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 or reductions in our costs. Furthermore, we may be forced to reduce the prices of our services in response to offerings made by our competitors. Finally, we may not have the same level of bargaining power we have enjoyed in the past when it comes to negotiating for the prices of our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our current cash, cash flow from operations and the proceeds from our recently completed IPO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losses resulting from business interruptions resulting from occurrence of natural disasters, health epidemics and other outbreaks or events.</w:t>
      </w:r>
    </w:p>
    <w:p>
      <w:pPr>
        <w:spacing w:after="0" w:line="2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sand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and Australian dollar in certain PRC operating entities.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receive from the recently completed IPO into for our operations, appreciation of the RMB against the U.S. dollar would have an adverse effect on the RMB amount we receive from the conversion. Conversely, if we decide to convert our RMB into U.S. dollars for the purpose of making payments for dividends on our common share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in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material weakness related to the Company’s lack of controls and procedures in place to monitor, capture, report and disclose subsequent events that occurred after the balance sheet date, specifically relating to certain revolving credit facilities that were put in place by the Company following such date (See </w:t>
      </w:r>
      <w:r>
        <w:rPr>
          <w:rFonts w:ascii="Arial" w:cs="Arial" w:eastAsia="Arial" w:hAnsi="Arial"/>
          <w:sz w:val="18"/>
          <w:szCs w:val="18"/>
          <w:b w:val="1"/>
          <w:bCs w:val="1"/>
          <w:color w:val="auto"/>
        </w:rPr>
        <w:t>Item 15. Controls and Procedures</w:t>
      </w:r>
      <w:r>
        <w:rPr>
          <w:rFonts w:ascii="Arial" w:cs="Arial" w:eastAsia="Arial" w:hAnsi="Arial"/>
          <w:sz w:val="18"/>
          <w:szCs w:val="18"/>
          <w:color w:val="auto"/>
        </w:rPr>
        <w:t xml:space="preserve"> for a discussion of the material weakness in question). While no material adjustments, restatement or other revisions to our previously issued financial statements were required, we determined that the Company needed to continue to strengthen its accounting staff and to enhance its internal controls function, which monitoring and remedial steps will be carried out by the Company during our fiscal year 2019. If we fail to develop and maintain an effective system of internal control over financial reporting, we may be unable to accurately report our financial results or prevent fraud.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maintain professional liability insurance and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WOFE is required to allocate a portion of its after-tax profits to the statutory reserve fund, and as determined by its board of directors, to the staff welfare and bonus funds, which may not be distributed to equity owners.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Company Law of P.R. China (2013 Revision), Wholly Foreign-Owned Enterprise (“WOFE”) Law of the P.R. China (2000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5"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spacing w:after="0" w:line="1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8, 2006, six Chinese regulatory agencies, including the Ministry of Commerce of the People’s Republic of China (“MOFCOM”), jointly issued the Regulations on Mergers and Acquisitions of Domestic Enterprises by Foreign Investors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We may face regulatory actions or other sanctions from the CSRC or other Chinese regulatory authorities. These authorities may impose fines and penalties upon our operations in China, limit our operating privileges in China, delay or restrict the repatriation of the IPO proceeds into China, or take other actions that could have a material adverse effect upon our business, financial condition, results of operations, reputation and prospects, as well as the trading price of our common shares.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Currently the Company does not engage in information system integration business, therefore the Company is not required to have such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 If and to the extent we fail to maintain compliance with such applicable rules and regulations, our operations and financial results may be adversely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with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majority of our operations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As a result, recognition and enforcement in China of these judgments in relation to any matter, including U.S. securities laws and the laws of the Cayman Islands, may be difficult or impossible.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regarding the PRC tax reporting obligations and consequences for certain indirect transfers of the stock of our operating company.</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Notice on Strengthening Administration of Enterprise Income Tax for Share Transfers by Non-PRC Resident Enterprises issued by the PRC State Administration of Taxation on December 10, 2009, or Circular 698, where a foreign investor transfers the equity interests of a PRC resident enterprise indirectly by way of the sale of equity interests of an overseas holding company, or an Indirect Transfer, and such overseas holding company is located in a tax jurisdiction that: (i) has an effective tax rate less than 12.5% or (ii) does not tax foreign income of its residents, the foreign investor should report such Indirect Transfer to the competent tax authority of the PRC resident enterprise. The PRC tax authority will examine the true nature of the Indirect Transfer, and if the tax authority considers that the foreign investor has adopted an abusive arrangement in order to avoid PRC tax, they will disregard the existence of the overseas holding company and re-characterize the Indirect Transfer and as a result, gains derived from such Indirect Transfer may be subject to PRC withholding tax at the rate of up to 10%. In addition, the PRC resident enterprise is supposed to provide necessary assistance to support the enforcement of Circular 698. At present, the PRC tax authorities will neither confirm nor deny that they would enforce Circular 698, in conjunction with other tax collection and tax withholding rules, to make claims against our PRC subsidiary as being indirectly liable for unpaid taxes, if any, arising from Indirect Transfers by shareholders who did not obtain their shares in the public offering of our shares.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PRC State Administration of Foreign Exchange, or SAFE, issued a public notice in 2005 known as Circular 75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In addition, any PRC resident that is the shareholder of an offshore special purpose company is required to amend its SAFE registration with the local SAFE branch with respect to that offshore special purpose company in connection with any increase or decrease of capital, transfer of shares, merger, division, equity investment or creation of any security interest over any assets located in China. If these shareholders fail to comply, the PRC subsidiaries of the offshore special purpose company may be prohibited from distributing their profits and proceeds from any reduction in capital, share transfer or liquidation to their offshore parent company and the offshore parent company may be restricted in its ability to contribute additional capital into its PRC subsidiaries. Moreover, failure to comply with the above SAFE registration requirements could result in liabilities under PRC laws for evasion of foreign exchange restrictions.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committed to complying with the Circular 75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75 requirements. As a result, we cannot assure you that all of our shareholders or beneficial owners who are PRC citizens or residents will at all times comply with, or in the future make or obtain any applicable registrations or approvals required by, Circular 75 or other related regulations. Failure by any such shareholders or beneficial owners to comply with Circular 75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the PRC National Development and Reform Commission promulgated a rule in 2004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spacing w:after="0" w:line="10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utilizing the proceeds from the recently completed IPO or any future offerings, as an offshore holding company of our PRC subsidiaries, 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2008, SAFE promulgated Circular 142, a notice regulating the conversion by a foreign-invested enterprise of foreign currency into Renminbi by restricting how the converted Renminbi may be used. Circular 142 requires that Renminbi converted from the foreign currency-denominated capital of a foreign-invested enterprise may only be used for purposes within the business scope approved by the applicable governmental authority and may not be used for equity investments within the PRC unless specifically provided for otherwise in its business scope. In addition, SAFE strengthened its oversight of the flow and use of Renminbi funds converted from the foreign currency-denominated capital of a foreign-invested enterprise. The use of such Renminbi may not be changed without approval from SAFE, and may not be used to repay Renminbi loans if the proceeds of such loans have not yet been used for purposes within the foreign-invested enterprise’s approved business scope.</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Enhanced scrutiny over acquisition transactions by the PRC tax authorities may have a negative impact on potential acquisitions we may pursue in the future.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and Circular 698, which became effective in January 2008, and a Circular 7 in replacement of some of the existing rules in Circular 698, which became effective in February 2015.</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Circular 698, where a non-resident enterprise conducts an “indirect transfer” by transferring the equity interests of a PRC “resident enterprise” indirectly by disposing of the equity interests of an overseas holding company,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 Circular 698 also provides that, where a non-PRC resident enterprise transfers its equity interests in a PRC resident enterprise to its related parties at a price lower than the fair market value, the relevant tax authority has the power to make a reasonable adjustment to the taxable income of the transaction.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or Circular 698 and Circular 7, and may be required to expend valuable resources to comply with Circular 59, Circular 698 and Circular 7 or to establish that we and our non-resident enterprises should not be taxed under these circulars, which may have a material adverse effect on our financial condition and results of operations.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PRC tax authorities have the discretion under SAT Circular 59, Circular 698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698 and Circular 7, our income tax costs associated with such potential acquisitions will be increased, which may have an adverse effect on our financial condition and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meet continued listing standards on the NASDAQ Capital Market.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shares are delisted from the NASDAQ Capital Market at some later date, our shareholders could find it difficult to sell our shares. In addition, if our common shares are delisted from the NASDAQ Capital Market at some later date, we may apply to have our common shares quoted on the Bulletin Board or in the “pink sheets” maintained by the National Quotation Bureau, Inc. The Bulletin Board and the “pink sheets” are generally considered to be less efficient markets than the NASDAQ Capital Market. In addition, if our common shares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delisted from the NASDAQ Capital Market at some later date or become subject to the penny stock regulations, it is likely that the price of our shares would decline and that our shareholders would find it difficult to sell their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7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70"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determination of our status as a foreign private issuer is made annually on the last business day of our most recently completed second fiscal quarter and, accordingly, the next determination will be made with respect to us on or after June 30, 2018. We would lose our foreign private issuer status if</w:t>
      </w:r>
    </w:p>
    <w:p>
      <w:pPr>
        <w:jc w:val="both"/>
        <w:ind w:firstLine="8"/>
        <w:spacing w:after="0" w:line="271" w:lineRule="auto"/>
        <w:tabs>
          <w:tab w:leader="none" w:pos="277"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publicly-traded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Sarbanes-Oxley Act of 2002, our management will be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an “emerging growth company” under the JOBS Act, we are permitted to, and intend to, rely on exemptions from certain disclosure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until the earliest of:</w:t>
      </w:r>
    </w:p>
    <w:p>
      <w:pPr>
        <w:spacing w:after="0" w:line="21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the IPO.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on the anticipated market price of our common shares in the IPO and expected price of our common shares following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structure, together with applicable law, may impede shareholders from asserting claims against us and our principals.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010000"/>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We maintain eleven delivery and or research &amp;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History and Background</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23, 2005, CLPS Shanghai increased its registered capital to RMB1,000,000 (approximately US$123,671). Jingsu Pan and Xiaochun Deng respectively made full payment for their subscribed capital to RMB500,000 (approximately US$61,835) on December 21.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RMB500,000 (approximately US$61,835) for 50% shares of CLPS Shanghai. After this share transfer, Yan Pan and Xiaochun Deng respectively held 50% shares of CLPS Shanghai.</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On October 30, 2013, Xiao Feng Yang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Yan Pan to purchase all of Yan Pan’s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Xiao Feng Yang paid RMB2,500,000 (approximately US$399,993) for 50% shares of CLPS Shanghai. After this share transfer, Xiao Feng Yang and Raymond Ming Hui Lin respectively held 50% shares of CLPS Shanghai.</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April 23, 2015, Raymond Ming Hui Lin paid RMB6,163,560 (approximately US$994,523)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27, 2015, Raymond Ming Hui Lin paid RMB42,377 (approximately US$6,615)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20" w:type="dxa"/>
            <w:vAlign w:val="bottom"/>
          </w:tcPr>
          <w:p>
            <w:pPr>
              <w:spacing w:after="0"/>
              <w:rPr>
                <w:sz w:val="20"/>
                <w:szCs w:val="20"/>
                <w:color w:val="auto"/>
              </w:rPr>
            </w:pPr>
          </w:p>
        </w:tc>
        <w:tc>
          <w:tcPr>
            <w:tcW w:w="3880" w:type="dxa"/>
            <w:vAlign w:val="bottom"/>
            <w:gridSpan w:val="2"/>
          </w:tcPr>
          <w:p>
            <w:pPr>
              <w:ind w:left="720"/>
              <w:spacing w:after="0"/>
              <w:rPr>
                <w:sz w:val="20"/>
                <w:szCs w:val="20"/>
                <w:color w:val="auto"/>
              </w:rPr>
            </w:pPr>
            <w:r>
              <w:rPr>
                <w:rFonts w:ascii="Arial" w:cs="Arial" w:eastAsia="Arial" w:hAnsi="Arial"/>
                <w:sz w:val="18"/>
                <w:szCs w:val="18"/>
                <w:b w:val="1"/>
                <w:bCs w:val="1"/>
                <w:color w:val="auto"/>
              </w:rPr>
              <w:t>PLACE OF REGISTRATION</w:t>
            </w:r>
          </w:p>
        </w:tc>
        <w:tc>
          <w:tcPr>
            <w:tcW w:w="1240" w:type="dxa"/>
            <w:vAlign w:val="bottom"/>
            <w:gridSpan w:val="3"/>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Raymond Ming Hui Lin</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Hong Kong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Shanghai Qinzhi Investment Partnership (LLP)</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PRC</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1,270,000</w:t>
            </w:r>
          </w:p>
        </w:tc>
        <w:tc>
          <w:tcPr>
            <w:tcW w:w="80" w:type="dxa"/>
            <w:vAlign w:val="bottom"/>
          </w:tcPr>
          <w:p>
            <w:pPr>
              <w:spacing w:after="0"/>
              <w:rPr>
                <w:sz w:val="18"/>
                <w:szCs w:val="18"/>
                <w:color w:val="auto"/>
              </w:rPr>
            </w:pPr>
          </w:p>
        </w:tc>
      </w:tr>
      <w:tr>
        <w:trPr>
          <w:trHeight w:val="250"/>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Shanghai Qinshang Software Technology Counsel Partnership (LLP)</w:t>
            </w:r>
          </w:p>
        </w:tc>
        <w:tc>
          <w:tcPr>
            <w:tcW w:w="40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33,870,000</w:t>
            </w:r>
          </w:p>
        </w:tc>
        <w:tc>
          <w:tcPr>
            <w:tcW w:w="80" w:type="dxa"/>
            <w:vAlign w:val="bottom"/>
          </w:tcPr>
          <w:p>
            <w:pPr>
              <w:spacing w:after="0"/>
              <w:rPr>
                <w:sz w:val="20"/>
                <w:szCs w:val="20"/>
                <w:color w:val="auto"/>
              </w:rPr>
            </w:pPr>
          </w:p>
        </w:tc>
      </w:tr>
      <w:tr>
        <w:trPr>
          <w:trHeight w:val="21"/>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2017, Qiner entered into three </w:t>
      </w:r>
      <w:r>
        <w:rPr>
          <w:rFonts w:ascii="Arial" w:cs="Arial" w:eastAsia="Arial" w:hAnsi="Arial"/>
          <w:sz w:val="18"/>
          <w:szCs w:val="18"/>
          <w:i w:val="1"/>
          <w:iCs w:val="1"/>
          <w:color w:val="auto"/>
        </w:rPr>
        <w:t>Share Purchase Agreements</w:t>
      </w:r>
      <w:r>
        <w:rPr>
          <w:rFonts w:ascii="Arial" w:cs="Arial" w:eastAsia="Arial" w:hAnsi="Arial"/>
          <w:sz w:val="18"/>
          <w:szCs w:val="18"/>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On October 31, 2017, CLPS Incorporation entered into a </w:t>
      </w:r>
      <w:r>
        <w:rPr>
          <w:rFonts w:ascii="Arial" w:cs="Arial" w:eastAsia="Arial" w:hAnsi="Arial"/>
          <w:sz w:val="17"/>
          <w:szCs w:val="17"/>
          <w:i w:val="1"/>
          <w:iCs w:val="1"/>
          <w:color w:val="auto"/>
        </w:rPr>
        <w:t>SOLD NOTE</w:t>
      </w:r>
      <w:r>
        <w:rPr>
          <w:rFonts w:ascii="Arial" w:cs="Arial" w:eastAsia="Arial" w:hAnsi="Arial"/>
          <w:sz w:val="17"/>
          <w:szCs w:val="17"/>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6"/>
          <w:szCs w:val="16"/>
          <w:i w:val="1"/>
          <w:iCs w:val="1"/>
          <w:color w:val="auto"/>
        </w:rPr>
        <w:t>Circular of the State Administration of Foreign Exchange on Issues concerning Foreign Exchange Administration over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Overseas Investment and Financing and Round-trip Investment by Domestic Residents via Special Purpose Vehicles </w:t>
      </w:r>
      <w:r>
        <w:rPr>
          <w:rFonts w:ascii="Arial" w:cs="Arial" w:eastAsia="Arial" w:hAnsi="Arial"/>
          <w:sz w:val="16"/>
          <w:szCs w:val="16"/>
          <w:color w:val="auto"/>
        </w:rPr>
        <w:t>(SAFE 2014 No. 37). After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registrations, CLPS QC (WOFE) entered into 46 </w:t>
      </w:r>
      <w:r>
        <w:rPr>
          <w:rFonts w:ascii="Arial" w:cs="Arial" w:eastAsia="Arial" w:hAnsi="Arial"/>
          <w:sz w:val="16"/>
          <w:szCs w:val="16"/>
          <w:i w:val="1"/>
          <w:iCs w:val="1"/>
          <w:color w:val="auto"/>
        </w:rPr>
        <w:t>Share Purchase Agreements</w:t>
      </w:r>
      <w:r>
        <w:rPr>
          <w:rFonts w:ascii="Arial" w:cs="Arial" w:eastAsia="Arial" w:hAnsi="Arial"/>
          <w:sz w:val="16"/>
          <w:szCs w:val="16"/>
          <w:color w:val="auto"/>
        </w:rPr>
        <w:t xml:space="preserve"> with all 46 Chinese individual shareholders of which the 46 Chinese individual shareholders in total held 18,731,261 shares of CLPS Shanghai. The aforementioned share transfer was part of a reorganization of the group.</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2, 2017, the transfer between the 46 Chinese individual shareholders and CLPS QC (WOFE) has completed the record-filing of changes of Foreign-invested Company and got the record receipt.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660"/>
              <w:spacing w:after="0"/>
              <w:rPr>
                <w:sz w:val="20"/>
                <w:szCs w:val="20"/>
                <w:color w:val="auto"/>
              </w:rPr>
            </w:pPr>
            <w:r>
              <w:rPr>
                <w:rFonts w:ascii="Arial" w:cs="Arial" w:eastAsia="Arial" w:hAnsi="Arial"/>
                <w:sz w:val="18"/>
                <w:szCs w:val="18"/>
                <w:color w:val="auto"/>
              </w:rPr>
              <w:t>The shareholding structure of CLPS Shanghai is as follows:</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18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20" w:type="dxa"/>
            <w:vAlign w:val="bottom"/>
          </w:tcPr>
          <w:p>
            <w:pPr>
              <w:spacing w:after="0"/>
              <w:rPr>
                <w:sz w:val="24"/>
                <w:szCs w:val="24"/>
                <w:color w:val="auto"/>
              </w:rPr>
            </w:pPr>
          </w:p>
        </w:tc>
        <w:tc>
          <w:tcPr>
            <w:tcW w:w="3880" w:type="dxa"/>
            <w:vAlign w:val="bottom"/>
            <w:gridSpan w:val="2"/>
          </w:tcPr>
          <w:p>
            <w:pPr>
              <w:ind w:left="720"/>
              <w:spacing w:after="0"/>
              <w:rPr>
                <w:sz w:val="20"/>
                <w:szCs w:val="20"/>
                <w:color w:val="auto"/>
              </w:rPr>
            </w:pPr>
            <w:r>
              <w:rPr>
                <w:rFonts w:ascii="Arial" w:cs="Arial" w:eastAsia="Arial" w:hAnsi="Arial"/>
                <w:sz w:val="18"/>
                <w:szCs w:val="18"/>
                <w:b w:val="1"/>
                <w:bCs w:val="1"/>
                <w:color w:val="auto"/>
              </w:rPr>
              <w:t>PLACE OF REGISTRATION</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18,731,261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Qiner Co., Limited</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15,138,739</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33,870,000</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the date of this Annual Report, CLPS Shanghai has two wholly-owned subsidiaries: CLPS Dalian, and CLPS RC. Besides the two wholly-owned subsidiaries, CLPS Shanghai participated in the following investments:</w:t>
      </w:r>
    </w:p>
    <w:p>
      <w:pPr>
        <w:spacing w:after="0" w:line="16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70% of equity interest in CLPS Beijing,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Judge China </w:t>
      </w:r>
      <w:r>
        <w:rPr>
          <w:rFonts w:ascii="Arial" w:cs="Arial" w:eastAsia="Arial" w:hAnsi="Arial"/>
          <w:sz w:val="18"/>
          <w:szCs w:val="18"/>
          <w:color w:val="auto"/>
        </w:rPr>
        <w:t>— CLPS Shanghai holds a 60% of equity interest in Judge China,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Hong Kong </w:t>
      </w:r>
      <w:r>
        <w:rPr>
          <w:rFonts w:ascii="Arial" w:cs="Arial" w:eastAsia="Arial" w:hAnsi="Arial"/>
          <w:sz w:val="18"/>
          <w:szCs w:val="18"/>
          <w:color w:val="auto"/>
        </w:rPr>
        <w:t>— CLPS Shanghai holds 80% of equity interest in CLPS Hong Kong, a Hong Kong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Huanyu </w:t>
      </w:r>
      <w:r>
        <w:rPr>
          <w:rFonts w:ascii="Arial" w:cs="Arial" w:eastAsia="Arial" w:hAnsi="Arial"/>
          <w:sz w:val="18"/>
          <w:szCs w:val="18"/>
          <w:color w:val="auto"/>
        </w:rPr>
        <w:t>— CLPS Shanghai holds 30% of equity interest in Huanyu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IT consulting services primarily includes application development services for banks and institutions in the financial industry and which are billed for on a time-and-expense basis. Customized IT Solutions Service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spacing w:after="0" w:line="154" w:lineRule="exact"/>
        <w:rPr>
          <w:sz w:val="20"/>
          <w:szCs w:val="20"/>
          <w:color w:val="auto"/>
        </w:rPr>
      </w:pPr>
    </w:p>
    <w:p>
      <w:pPr>
        <w:jc w:val="center"/>
        <w:ind w:left="5640" w:right="540" w:hanging="4984"/>
        <w:spacing w:after="0" w:line="810" w:lineRule="auto"/>
        <w:tabs>
          <w:tab w:leader="none" w:pos="9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CLPS Dalian provides both consulting and solution services. CLPS Dalian services clients in China’s north east region, including Dalian.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RC provides both consulting and solution services. CLPS RC focuses on small and medium domestic financial institutions.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Beijing provides both consulting and solution services. CLPS Beijing services clients in China’s central east region, including Beijing and Tianjin.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AU currently only provides consulting services. CLPS AU services clients in Australia.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SG currently only provides consulting services CLPS SG services clients in South East Asia region, including Singapore.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Judge China is a joint venture with The Judge Group in the US. Judge China continues to service The Judge Group’s clients in China. Judge China focuses on expanding its client bases with collaboration efforts with The Judge Group.</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CLPS Hong Kong currently only provides consulting services. CLPS Hong Kong services clients in East Asia region, including Hong Kong.</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Shenzhen currently only provides consulting services. CLPS Shenzhen services clients in Shenzhen.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Guangzhou currently only provides consulting services. CLPS Guangzhou services clients in Guangzhou.</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Shanghai holds 30% of equity interest in Huanyu which was incorporated in September 2017 for the purposes of providing Internet technology services and products to clients. CLPS Shanghai, CLPS Dalian, CLPS RC, CLPS Beijing and Judge China all contribute material amounts of the Company’s total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principal executive office is located at the 2nd Floor, Building 18, Shanghai Pudong Software Park, 498 Guoshoujing Road, Pudong, Shanghai 201203, PRC. Our telephone number is (+86)21-31268010. Our website is as follows www.clpsglobal.com. The information on our website is not part of this Annual Report.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152400</wp:posOffset>
            </wp:positionV>
            <wp:extent cx="5351145" cy="3653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5114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On July 20, 2018, the Company decided to close down FDT-CL.</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Initial Public Offering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exercisable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has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spacing w:after="0" w:line="143"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010000"/>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010000"/>
        </w:rPr>
      </w:pPr>
    </w:p>
    <w:p>
      <w:pPr>
        <w:spacing w:after="0"/>
        <w:rPr>
          <w:rFonts w:ascii="Arial" w:cs="Arial" w:eastAsia="Arial" w:hAnsi="Arial"/>
          <w:sz w:val="18"/>
          <w:szCs w:val="18"/>
          <w:b w:val="1"/>
          <w:bCs w:val="1"/>
          <w:color w:val="010000"/>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eleven delivery and or research and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China’s Banking Industry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According to the 2017 annual report of China Banking Regulatory Commission (CBRC), China’s banking financial institutions had total assets of RMB 525.4 trillion (USD80 trillion) at the end of 2017, year-on-year increase of RMB 20.2 trillion (USD3.1 trillion), or 8.7%. Total liabilities equaled to RMB 232.9 trillion (USD35.2 trillion), year-on-year increase of RMB 18.1 trillion (USD2.7 trillion), or 8.4%. The total assets of banking financial institutions were RMB 27.6 trillion (USD4.1 trillion) in 2003. Over the past 10 years, total assets of China’s banking financial institutions grew at a compound annual growth rate of nearly 20%. Notwithstanding the growth rates,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CBRC continued the policies to open China’s banking industry for entry by foreign competitors to promote healthy competition in the industry. As a result, foreign banks are now present in 70 cities of 27 provinces in China, with headquarters, branches, sub-branches and a complete service network with certain coverage and market depth, with more than 1044 outlets.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the 2017 Economic Performance of the Software Industry report of Ministry of Industry and Information Technology (MIIT), China’s software and information technology service industry continued to show a steady and significant operating trend. The income and profit have grown, innovation capability continued to improve, industrial structures were continually developed and optimized, and services and support have been significantly enhanced.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China’s software and information technology service industry has developed and grown rapidly in recent years. The MIIT data shows that the industry’s revenue reached RMB 5.5 trillion (USD831.2 billion) in 2017, an increase of 13.9% compared to 2016 with a growth rate of 0.8% year-on –year. Industry profits grew faster than revenues. In 2017, the industry achieved a total profit of RMB 702 billion (USD106.1 billion), an increase of 15.8% from the previous year, i.e., 2.1% higher than in 2016, and 1.9% higher than the growth rate of revenue.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R&amp;D investment and innovation capability has been continuously and strategically improved. Data from key software companies showed that the annual R&amp;D investment is close to 11%. China Copyright Protection Center data showed that the number of software copyright registrations in China exceeded 700,000 in 2017, an increase of 85% over the previous year, showing exponential growth. Emerging technologies such as big data, cloud computing and artificial intelligence were quickly applied and expanded. This proves that the industry continues to grow vigorously.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structure of the software and information technology service industry has been continued to develop, and the ecological industry chain is continuously optimized to provide crucial support and guarantee construction of a dependable network powerhouse within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117475</wp:posOffset>
            </wp:positionV>
            <wp:extent cx="5308600" cy="2409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0860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Source: The Ministry of Industry and Information Technology, National Bureau of Statistics of China.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5" w:lineRule="exact"/>
        <w:rPr>
          <w:sz w:val="20"/>
          <w:szCs w:val="20"/>
          <w:color w:val="auto"/>
        </w:rPr>
      </w:pPr>
    </w:p>
    <w:p>
      <w:pPr>
        <w:jc w:val="both"/>
        <w:ind w:left="980" w:hanging="324"/>
        <w:spacing w:after="0" w:line="302" w:lineRule="auto"/>
        <w:tabs>
          <w:tab w:leader="none" w:pos="98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Information technology services </w:t>
      </w:r>
      <w:r>
        <w:rPr>
          <w:rFonts w:ascii="Arial" w:cs="Arial" w:eastAsia="Arial" w:hAnsi="Arial"/>
          <w:sz w:val="16"/>
          <w:szCs w:val="16"/>
          <w:color w:val="auto"/>
        </w:rPr>
        <w:t>—stayed ahead and continued to evolve towards cloud computing. In 2017, the industry’s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technology services reached RMB 2.9 trillion (USD438.3 billion), an increase of 16.8% over the previous year. The growth rate was 2.9% higher than the industry’s average, accounting for 53.3% of the industry’s revenue. Among them, cloud computing-related operational services (including SaaS, PaaS, at IaaS, etc.) revenues exceeded RMB800 billion (USD121 billion), an increase of 16.5% over the previous year.</w:t>
      </w:r>
    </w:p>
    <w:p>
      <w:pPr>
        <w:spacing w:after="0" w:line="154" w:lineRule="exact"/>
        <w:rPr>
          <w:rFonts w:ascii="Arial" w:cs="Arial" w:eastAsia="Arial" w:hAnsi="Arial"/>
          <w:sz w:val="16"/>
          <w:szCs w:val="16"/>
          <w:i w:val="1"/>
          <w:iCs w:val="1"/>
          <w:color w:val="auto"/>
        </w:rPr>
      </w:pPr>
    </w:p>
    <w:p>
      <w:pPr>
        <w:jc w:val="both"/>
        <w:ind w:left="980" w:hanging="324"/>
        <w:spacing w:after="0" w:line="276" w:lineRule="auto"/>
        <w:tabs>
          <w:tab w:leader="none" w:pos="98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Software products </w:t>
      </w:r>
      <w:r>
        <w:rPr>
          <w:rFonts w:ascii="Arial" w:cs="Arial" w:eastAsia="Arial" w:hAnsi="Arial"/>
          <w:sz w:val="17"/>
          <w:szCs w:val="17"/>
          <w:color w:val="auto"/>
        </w:rPr>
        <w:t>—grew steadily and the capabilities were significantly enhanced. In 2017, the industry’s revenue from software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reached RMB1.7 trillion (USD257 billion), an increase of 11.9% over the previous year, accounting for 31.3% of the industry’s revenue. Among them, information security and industrial software products revenues exceeded RMB100 billion (USD15.1 billion), an increase of 14% and 19.9% respectively. With the breakthrough of emerging technologies, the software industry is moving towards building a strong industrial foundation, advancing information system security control, and driving industrial intelligence.</w:t>
      </w:r>
    </w:p>
    <w:p>
      <w:pPr>
        <w:spacing w:after="0" w:line="172" w:lineRule="exact"/>
        <w:rPr>
          <w:rFonts w:ascii="Arial" w:cs="Arial" w:eastAsia="Arial" w:hAnsi="Arial"/>
          <w:sz w:val="17"/>
          <w:szCs w:val="17"/>
          <w:i w:val="1"/>
          <w:iCs w:val="1"/>
          <w:color w:val="auto"/>
        </w:rPr>
      </w:pPr>
    </w:p>
    <w:p>
      <w:pPr>
        <w:jc w:val="both"/>
        <w:ind w:left="980" w:hanging="324"/>
        <w:spacing w:after="0" w:line="297" w:lineRule="auto"/>
        <w:tabs>
          <w:tab w:leader="none" w:pos="98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Software technology application and capabilities in various IT field —</w:t>
      </w:r>
      <w:r>
        <w:rPr>
          <w:rFonts w:ascii="Arial" w:cs="Arial" w:eastAsia="Arial" w:hAnsi="Arial"/>
          <w:sz w:val="16"/>
          <w:szCs w:val="16"/>
          <w:color w:val="auto"/>
        </w:rPr>
        <w:t>revenues from technology services for e-commerce platforms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by 30.3% from previous year. The 15.6% year-on-year revenue increase in integrated circuit (IC) design ably contributed in the development of IC industry. Aggressive penetration in communications, hospitals, transportation, machineries, and other industries saw embedded system software as a key driving force in using technology to digitally transform products and equipment into smarter ones with more value-added features. The annual revenue for these reached RMB847.9 billion (USD128.1 billion), an increase of 8.9% over the previous year.</w:t>
      </w:r>
    </w:p>
    <w:p>
      <w:pPr>
        <w:spacing w:after="0" w:line="158" w:lineRule="exact"/>
        <w:rPr>
          <w:rFonts w:ascii="Arial" w:cs="Arial" w:eastAsia="Arial" w:hAnsi="Arial"/>
          <w:sz w:val="16"/>
          <w:szCs w:val="16"/>
          <w:i w:val="1"/>
          <w:iCs w:val="1"/>
          <w:color w:val="auto"/>
        </w:rPr>
      </w:pPr>
    </w:p>
    <w:p>
      <w:pPr>
        <w:jc w:val="both"/>
        <w:ind w:left="980" w:hanging="324"/>
        <w:spacing w:after="0" w:line="272" w:lineRule="auto"/>
        <w:tabs>
          <w:tab w:leader="none" w:pos="98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Development on regional level </w:t>
      </w:r>
      <w:r>
        <w:rPr>
          <w:rFonts w:ascii="Arial" w:cs="Arial" w:eastAsia="Arial" w:hAnsi="Arial"/>
          <w:sz w:val="17"/>
          <w:szCs w:val="17"/>
          <w:color w:val="auto"/>
        </w:rPr>
        <w:t>—the eastern region has developed steadily, and the software industry in the central and western regions has</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accelerated. In 2017, revenue from software business completed in eastern regions reached RMB4.4 trillion (USD665 billion), with a growth rate of 13.8% year-on-year, accounting for 79.2% of the national software industry, a decrease of 0.1% from the previous year. Revenue from software business completed in central and western regions was RMB249.7 billion (USD38 billion) and RMB618.7 billion (USD94 billion), respectively, with a growth rate of 15.9% and 17.3%, accounting for 4.5% and 11.2 %t of the national software industry, respectively, an increase of 0.1% and 0.3% from the previous year. Software business revenue in northeast China reached RMB277.8 billion (USD42 billion), an increase of 7.1%, accounting for 5.1% of the national software industry, a decrease of 0.3% year-on-year.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institutions/Banking IT solutions refer to the software or IT related services provided by professional IT service providers who use their own experience and technology to meet each bank’s individual needs in business development, strategic development and management efficiency. The market shares of China Banking IT Solution Industry are shown as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281940</wp:posOffset>
            </wp:positionV>
            <wp:extent cx="4751070" cy="2624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5107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Source: IDC data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IDC’s 2017 China Banking IT Solution Market Share report, 2017 can be considered as a “highly regulated year” for China’s banking industry. It is now the dawning of the age for fully-integrated banking industry and financial technology in China. In the financial services domain, applying financial technology in the banking industry is becoming evident in its platform and smart offerings. With the increasing application of emerging technologies like big data, cloud computing, artificial intelligence and blockchain, complete integration of banking and financial technology will help accelerate the penetration of new financial products into traditional banking ultimately achieving the goal of transforming the industry into a generation of intelligent banking.</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2017, China’s banking IT solution market continued to maintain a strong and stable development. Although some manufacturers’ profit margins have declined, overall, they have maintained relatively strong growth. IDC believes that city commercial banks and rural commercial banks are becoming the main sectors of the bank’s IT solution market. Specialized services are still an important development trend in the future of the IT solutions market in China’s banking industry. The current Chinese banking IT solution market is gradually transforming from a “software plus service” delivery model to a service-oriented delivery model In 2017, this trend continues to extend from large to urban and rural commercial banks. Cloud delivery model becomes an important development direction, which will help improve the overall quality level of the solution.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2017, the overall market size of China’s banking IT solution market reached RMB 33.96 billion (USD5.13 billion), an increase of 22.5% over 2016. IDC predicts that the market will grow at a compound annual growth rate of 20.8% from 2018 to 2022. By 2022, the scale of China’s banking IT solution market will reach RMB88.295 billion (USD13.34 billion).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IDC believes that China’s banking IT solution market will continue to maintain a stable growth trend in the next few years, and its growth rate will still be higher than of China’s banking industry’s overall IT investment. Large commercial banks are increasingly emphasizing building their own IT systems. City commercial banks and rural commercial banks with medium-sized assets, however, become the main battlefields of the IT solution market, with small banks seen to increasingly adopt specialized cloud services in the future.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China’s banking IT industry faces various challenges. In accordance with CRBC’s 2014 Guiding Opinions, China’s banking institutions are required to master core knowledge and key technologies of banking informatization by 2019. Beginning in 2015, and every year thereafter, banking financial institutions are required to increase the application rate of safe and controllable information technologies by 15%. They are also required to set aside no less than 5% of the annual information budget to support their forward-looking, innovative and planning research on safe and controllable information systems, and help the organization to grasp the core IT knowledge and skills. In addition, as traditional banks combine their services with online banking, IT support is required from the front payment to background asset structure matching.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the participation of private banks, foreign banks, Internet banks and other non-traditional, non-state-owned banks, the competition in the banking industry has intensified and the banking IT service support is an important means for banks to enhance the user experience, gain an upper hand in the competition and save costs. In order to increase market share, new participants in the banking industry invest in what differentiates them from existing players. Improved user experience, risk control and risk prevention, information upgrades, network infrastructure, and mobile terminal layout are complex projects, requiring significant capital investment. These factors contribute to the continuous growth of China’s banking IT investment, and promote the rapid development of China’s banking IT industry.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 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 Our highly experienced team possesses the requisite expertise in providing the credit card services. The IT consulting professional teams provides the credit card services from Shanghai, Dalian and Hong Kong. We offer this experience and expertise in various currencies, across different geographical regions, including, but not limited to China, Singapore, UK, Philippine, Indonesia, Latin America. In addition, we have developed a series of credit card solutions in order to meet the needs of our clients better.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6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years ended June 30, 2018 and 2017, revenues from our IT consulting services were approximately USD47.2 million and USD29.1 million, respectively. Revenues from our IT consulting services accounted for 96.4% and 92.9% of our total revenues in fiscal 2018 and 2017,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also an IT solution services provider in China and globally.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tour ability to offer our clients creative solution design, especially in the areas of new information technology such as blockchain.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been working with a number of Chinese domestic banks to assist them in leveraging blockchain technology. Using this technology, a loyalty reward solution was developed allowing domestic banks to track and trace transactions in real-time. It was recently implemented in Jiangnan Rural Commercial Bank. Also, the pilot phase of this solution was completed for Taicang Rural Commercial Bank.</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There are four layers in the overall architecture in this solution which includes the blockchain core layer, the blockchain SDK layer, the application system layer and the front-end layer. The consensus mechanism, P2P protocol, distributed ledger and storage mechanism of core layer are used to record transactions and prevent fraud. We will continue to develop our new IT solutions to meet the evolving needs of our Chinese and global financial institutional clientele drawing upon the forward-looking research of our R&amp;D center.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June 30, 2018 and 2017, revenues from our customized IT solution services were approximately USD1.6 million and USD1.8 million, respectively. Revenues from our customized IT solution service accounted for 3.3% and 5.9% of our total revenues in fiscal years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CLPS Virtual Banking Platform (CLB) — </w:t>
      </w:r>
      <w:r>
        <w:rPr>
          <w:rFonts w:ascii="Arial" w:cs="Arial" w:eastAsia="Arial" w:hAnsi="Arial"/>
          <w:sz w:val="16"/>
          <w:szCs w:val="16"/>
          <w:color w:val="auto"/>
        </w:rPr>
        <w:t>CLB is a unique and successful training platform for IT talents owned by CLPS. For more than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jc w:val="both"/>
        <w:ind w:left="980" w:hanging="324"/>
        <w:spacing w:after="0" w:line="293" w:lineRule="auto"/>
        <w:tabs>
          <w:tab w:leader="none" w:pos="98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Grow revenue with existing and new clients </w:t>
      </w:r>
      <w:r>
        <w:rPr>
          <w:rFonts w:ascii="Arial" w:cs="Arial" w:eastAsia="Arial" w:hAnsi="Arial"/>
          <w:sz w:val="16"/>
          <w:szCs w:val="16"/>
          <w:color w:val="auto"/>
        </w:rPr>
        <w:t>— We intend to pursue additional revenue opportunities from existing Chinese and global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980" w:hanging="324"/>
        <w:spacing w:after="0" w:line="297" w:lineRule="auto"/>
        <w:tabs>
          <w:tab w:leader="none" w:pos="98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to invest in research and development, deepen domain expertise and develop specific solutions for target industry verticals </w:t>
      </w:r>
      <w:r>
        <w:rPr>
          <w:rFonts w:ascii="Arial" w:cs="Arial" w:eastAsia="Arial" w:hAnsi="Arial"/>
          <w:sz w:val="16"/>
          <w:szCs w:val="16"/>
          <w:color w:val="auto"/>
        </w:rPr>
        <w:t>—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58" w:lineRule="exact"/>
        <w:rPr>
          <w:rFonts w:ascii="Arial" w:cs="Arial" w:eastAsia="Arial" w:hAnsi="Arial"/>
          <w:sz w:val="16"/>
          <w:szCs w:val="16"/>
          <w:i w:val="1"/>
          <w:iCs w:val="1"/>
          <w:color w:val="auto"/>
        </w:rPr>
      </w:pPr>
    </w:p>
    <w:p>
      <w:pPr>
        <w:jc w:val="both"/>
        <w:ind w:left="980" w:hanging="324"/>
        <w:spacing w:after="0" w:line="269" w:lineRule="auto"/>
        <w:tabs>
          <w:tab w:leader="none" w:pos="98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79" w:lineRule="exact"/>
        <w:rPr>
          <w:rFonts w:ascii="Arial" w:cs="Arial" w:eastAsia="Arial" w:hAnsi="Arial"/>
          <w:sz w:val="17"/>
          <w:szCs w:val="17"/>
          <w:i w:val="1"/>
          <w:iCs w:val="1"/>
          <w:color w:val="auto"/>
        </w:rPr>
      </w:pPr>
    </w:p>
    <w:p>
      <w:pPr>
        <w:jc w:val="both"/>
        <w:ind w:left="980" w:hanging="324"/>
        <w:spacing w:after="0" w:line="255" w:lineRule="auto"/>
        <w:tabs>
          <w:tab w:leader="none" w:pos="9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Drive efficiencies through ongoing improvements in operational excellence </w:t>
      </w:r>
      <w:r>
        <w:rPr>
          <w:rFonts w:ascii="Arial" w:cs="Arial" w:eastAsia="Arial" w:hAnsi="Arial"/>
          <w:sz w:val="18"/>
          <w:szCs w:val="18"/>
          <w:color w:val="auto"/>
        </w:rPr>
        <w:t>— We strive to gain significant operating efficiencies by leveraging</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89" w:lineRule="exact"/>
        <w:rPr>
          <w:rFonts w:ascii="Arial" w:cs="Arial" w:eastAsia="Arial" w:hAnsi="Arial"/>
          <w:sz w:val="18"/>
          <w:szCs w:val="18"/>
          <w:i w:val="1"/>
          <w:iCs w:val="1"/>
          <w:color w:val="auto"/>
        </w:rPr>
      </w:pPr>
    </w:p>
    <w:p>
      <w:pPr>
        <w:jc w:val="both"/>
        <w:ind w:left="980" w:hanging="324"/>
        <w:spacing w:after="0" w:line="257" w:lineRule="auto"/>
        <w:tabs>
          <w:tab w:leader="none" w:pos="9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there are several key strengths that differentiate us from our competitors and will continue to contribute to our growth and success.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8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left="980" w:hanging="324"/>
        <w:spacing w:after="0" w:line="277" w:lineRule="auto"/>
        <w:tabs>
          <w:tab w:leader="none" w:pos="98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Banking or their China-based IT centers </w:t>
      </w:r>
      <w:r>
        <w:rPr>
          <w:rFonts w:ascii="Arial" w:cs="Arial" w:eastAsia="Arial" w:hAnsi="Arial"/>
          <w:sz w:val="18"/>
          <w:szCs w:val="18"/>
          <w:color w:val="auto"/>
        </w:rPr>
        <w:t>— Citibank, Standard Chartered Bank (China) Ltd., ANZ Bank, Commonwealth Bank of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Bank of Communications.</w:t>
      </w:r>
    </w:p>
    <w:p>
      <w:pPr>
        <w:spacing w:after="0" w:line="170"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Industry </w:t>
      </w:r>
      <w:r>
        <w:rPr>
          <w:rFonts w:ascii="Arial" w:cs="Arial" w:eastAsia="Arial" w:hAnsi="Arial"/>
          <w:sz w:val="18"/>
          <w:szCs w:val="18"/>
          <w:color w:val="auto"/>
        </w:rPr>
        <w:t>— AIA, China Life Insurance, First Data, Haitong Securities, Orient Securities and China Universal Asset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rFonts w:ascii="Arial" w:cs="Arial" w:eastAsia="Arial" w:hAnsi="Arial"/>
          <w:sz w:val="18"/>
          <w:szCs w:val="18"/>
          <w:i w:val="1"/>
          <w:iCs w:val="1"/>
          <w:color w:val="auto"/>
        </w:rPr>
      </w:pPr>
    </w:p>
    <w:p>
      <w:pPr>
        <w:ind w:left="980" w:hanging="324"/>
        <w:spacing w:after="0"/>
        <w:tabs>
          <w:tab w:leader="none" w:pos="98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Customers </w:t>
      </w:r>
      <w:r>
        <w:rPr>
          <w:rFonts w:ascii="Arial" w:cs="Arial" w:eastAsia="Arial" w:hAnsi="Arial"/>
          <w:sz w:val="18"/>
          <w:szCs w:val="18"/>
          <w:color w:val="auto"/>
        </w:rPr>
        <w:t>— eBay, CRIF Information Technology, Experian, AGFA Healthcare and Neusoft.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invested in building a broad sales force and marketing team. As of June 30, 2018, our business development teams consisted of 29 full-time sales and marketing personnel, including 21 sales managers, each of whom is responsible for a designated sales region or client account. We plan to enhance our sales efforts by recruiting more sales personnel both domestically and overseas.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R&amp;D is an integral part of our continued growth. In order to serve our Chinese and global clients’ needs better, we focus on exploring and researching new and advanced technologies and how to best integrate them into our existing and new solutions.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a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resource management and planning is critically important to supporting our growth, and we are committed to effectively recruiting, training, developing and retaining our human capital. Our total number of employees has grown from 1,055 employees in fiscal 2016 to 1,655 employees as of June 30, 2018. Approximately 70%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PRC Trademark Law, adopted in 1982 and revised in 2013, with its implementation rules adopted in 2014, protects registered trademarks. The Trademark Office of the State Administration of Industry and Commerce of the PRC, handles trademark registrations and grants trademark registrations for a term of ten years.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trademark portfolio consists of 9 registered trademarks (with 5 trademarks currently under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clpsglobal.com.cn, and clpsgroup.com.cn.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registered for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Application</w:t>
            </w: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2"/>
          </w:tcPr>
          <w:p>
            <w:pPr>
              <w:ind w:left="1420"/>
              <w:spacing w:after="0"/>
              <w:rPr>
                <w:sz w:val="20"/>
                <w:szCs w:val="20"/>
                <w:color w:val="auto"/>
              </w:rPr>
            </w:pPr>
            <w:r>
              <w:rPr>
                <w:rFonts w:ascii="Arial" w:cs="Arial" w:eastAsia="Arial" w:hAnsi="Arial"/>
                <w:sz w:val="18"/>
                <w:szCs w:val="18"/>
                <w:b w:val="1"/>
                <w:bCs w:val="1"/>
                <w:color w:val="auto"/>
              </w:rPr>
              <w:t>Class/Description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Current Owner</w:t>
            </w:r>
          </w:p>
        </w:tc>
        <w:tc>
          <w:tcPr>
            <w:tcW w:w="1140" w:type="dxa"/>
            <w:vAlign w:val="bottom"/>
          </w:tcPr>
          <w:p>
            <w:pPr>
              <w:ind w:left="340"/>
              <w:spacing w:after="0"/>
              <w:rPr>
                <w:sz w:val="20"/>
                <w:szCs w:val="20"/>
                <w:color w:val="auto"/>
              </w:rPr>
            </w:pPr>
            <w:r>
              <w:rPr>
                <w:rFonts w:ascii="Arial" w:cs="Arial" w:eastAsia="Arial" w:hAnsi="Arial"/>
                <w:sz w:val="18"/>
                <w:szCs w:val="18"/>
                <w:b w:val="1"/>
                <w:bCs w:val="1"/>
                <w:color w:val="auto"/>
              </w:rPr>
              <w:t>Status</w:t>
            </w:r>
          </w:p>
        </w:tc>
      </w:tr>
      <w:tr>
        <w:trPr>
          <w:trHeight w:val="202"/>
        </w:trPr>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19288958</w:t>
            </w:r>
          </w:p>
        </w:tc>
        <w:tc>
          <w:tcPr>
            <w:tcW w:w="120" w:type="dxa"/>
            <w:vAlign w:val="bottom"/>
          </w:tcPr>
          <w:p>
            <w:pPr>
              <w:spacing w:after="0"/>
              <w:rPr>
                <w:sz w:val="17"/>
                <w:szCs w:val="17"/>
                <w:color w:val="auto"/>
              </w:rPr>
            </w:pPr>
          </w:p>
        </w:tc>
        <w:tc>
          <w:tcPr>
            <w:tcW w:w="4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Registered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Recorded computer operating programs Computer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 Services</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Co., Ltd</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program); Electronic publications (downloadable);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program (downloadable software);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hardware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19289112</w:t>
            </w:r>
          </w:p>
        </w:tc>
        <w:tc>
          <w:tcPr>
            <w:tcW w:w="1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Class 38: Information transmission; Computer terminal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ChinaLink</w:t>
            </w:r>
          </w:p>
        </w:tc>
        <w:tc>
          <w:tcPr>
            <w:tcW w:w="1140" w:type="dxa"/>
            <w:vAlign w:val="bottom"/>
          </w:tcPr>
          <w:p>
            <w:pPr>
              <w:spacing w:after="0"/>
              <w:rPr>
                <w:sz w:val="20"/>
                <w:szCs w:val="20"/>
                <w:color w:val="auto"/>
              </w:rPr>
            </w:pPr>
            <w:r>
              <w:rPr>
                <w:rFonts w:ascii="Arial" w:cs="Arial" w:eastAsia="Arial" w:hAnsi="Arial"/>
                <w:sz w:val="18"/>
                <w:szCs w:val="18"/>
                <w:color w:val="auto"/>
              </w:rPr>
              <w:t>Registered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communication; Computer-aided information and image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 Services</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transmission; Information transmission equipment rental;</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Co., Ltd</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Provide telecommunications link services to connect with</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 global computer network; Telecommunications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routing and junction services; Provide access service for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global computer network users; Provide database access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service; Digital file transfer Teleconference call service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19289503</w:t>
            </w:r>
          </w:p>
        </w:tc>
        <w:tc>
          <w:tcPr>
            <w:tcW w:w="1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Class 9: Recorded computer programs (programs);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ChinaLink</w:t>
            </w:r>
          </w:p>
        </w:tc>
        <w:tc>
          <w:tcPr>
            <w:tcW w:w="1140" w:type="dxa"/>
            <w:vAlign w:val="bottom"/>
          </w:tcPr>
          <w:p>
            <w:pPr>
              <w:spacing w:after="0"/>
              <w:rPr>
                <w:sz w:val="20"/>
                <w:szCs w:val="20"/>
                <w:color w:val="auto"/>
              </w:rPr>
            </w:pPr>
            <w:r>
              <w:rPr>
                <w:rFonts w:ascii="Arial" w:cs="Arial" w:eastAsia="Arial" w:hAnsi="Arial"/>
                <w:sz w:val="18"/>
                <w:szCs w:val="18"/>
                <w:color w:val="auto"/>
              </w:rPr>
              <w:t>Registered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Recorded computer operating programs; Computer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 Services</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Co., Ltd</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program); Electronic publications (downloadable);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program (downloadable software);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hardware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19289341</w:t>
            </w:r>
          </w:p>
        </w:tc>
        <w:tc>
          <w:tcPr>
            <w:tcW w:w="1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6"/>
              </w:rPr>
              <w:t>Class 42: Technical research; Research or develop new</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ChinaLink</w:t>
            </w:r>
          </w:p>
        </w:tc>
        <w:tc>
          <w:tcPr>
            <w:tcW w:w="1140" w:type="dxa"/>
            <w:vAlign w:val="bottom"/>
          </w:tcPr>
          <w:p>
            <w:pPr>
              <w:spacing w:after="0"/>
              <w:rPr>
                <w:sz w:val="20"/>
                <w:szCs w:val="20"/>
                <w:color w:val="auto"/>
              </w:rPr>
            </w:pPr>
            <w:r>
              <w:rPr>
                <w:rFonts w:ascii="Arial" w:cs="Arial" w:eastAsia="Arial" w:hAnsi="Arial"/>
                <w:sz w:val="18"/>
                <w:szCs w:val="18"/>
                <w:color w:val="auto"/>
              </w:rPr>
              <w:t>Registered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products for others; Computer programming; Computer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 Services</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 design; Computer hardware design and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Co., Ltd</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development consulting; Computer software rental;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software maintenance; Computer system</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analysis; Computer software installation;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 consulting</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55"/>
        </w:trPr>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-5093335</wp:posOffset>
            </wp:positionV>
            <wp:extent cx="61722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61722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-2623820</wp:posOffset>
            </wp:positionV>
            <wp:extent cx="634365" cy="248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634365"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4365" cy="248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register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Application</w:t>
            </w: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41"/>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Mark</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456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Class/Description</w:t>
            </w:r>
          </w:p>
        </w:tc>
      </w:tr>
      <w:tr>
        <w:trPr>
          <w:trHeight w:val="202"/>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19289066</w:t>
            </w:r>
          </w:p>
        </w:tc>
        <w:tc>
          <w:tcPr>
            <w:tcW w:w="1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4"/>
              </w:rPr>
              <w:t>Class 35: Advertising; Advertising agency Advertising space</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rental; Online advertising on the computer network;</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Advertisement layout design; Business management</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assistance; Business inquiry; Business information agency;</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Business management and organization consulting; Business</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management consulting</w:t>
            </w: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19289214</w:t>
            </w:r>
          </w:p>
        </w:tc>
        <w:tc>
          <w:tcPr>
            <w:tcW w:w="1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Class 41: Teaching; Education; Training; Practical training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(demonstration); Employment guidance (education or training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consultants); Arrange and organize academic seminars;</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0"/>
              </w:rPr>
              <w:t>Arrange and organize meetings; Arrange and organize general</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meeting; Arrange and organize symposium; Arrange and</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organize training classes</w:t>
            </w: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19289175</w:t>
            </w:r>
          </w:p>
        </w:tc>
        <w:tc>
          <w:tcPr>
            <w:tcW w:w="1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Class 42: Technical research; Research or develop new</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products for others; Computer programming; Computer</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1"/>
              </w:rPr>
              <w:t>software design; Computer hardware design and development</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consulting; Computer software rental; Computer software</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maintenance; Computer system analysis; Computer software</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installation; Computer software consulting</w:t>
            </w: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19289492</w:t>
            </w:r>
          </w:p>
        </w:tc>
        <w:tc>
          <w:tcPr>
            <w:tcW w:w="1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Class 38: Information transmission; Computer terminal</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communication; Computer-aided information and image</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transmission; Information transmission equipment rental;</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Provide telecommunications link services to connect with the</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global computer network; Telecommunications routing and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junction services; Provide access service for global computer</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network users; Provide database access service; Digital file</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transfer; Teleconference call service</w:t>
            </w: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19289420</w:t>
            </w:r>
          </w:p>
        </w:tc>
        <w:tc>
          <w:tcPr>
            <w:tcW w:w="1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Class 41: Teaching; Education; Training; Practical training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(demonstration); Employment guidance (education or training</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consultants); Arrange and organize academic seminars;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-4527550</wp:posOffset>
            </wp:positionV>
            <wp:extent cx="617220" cy="248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-3566795</wp:posOffset>
            </wp:positionV>
            <wp:extent cx="61722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61722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634365"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634365"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4365" cy="248920"/>
                    </a:xfrm>
                    <a:prstGeom prst="rect">
                      <a:avLst/>
                    </a:prstGeom>
                    <a:noFill/>
                  </pic:spPr>
                </pic:pic>
              </a:graphicData>
            </a:graphic>
          </wp:anchor>
        </w:drawing>
      </w:r>
    </w:p>
    <w:p>
      <w:pPr>
        <w:ind w:left="4260" w:right="80"/>
        <w:spacing w:after="0" w:line="255" w:lineRule="auto"/>
        <w:rPr>
          <w:sz w:val="20"/>
          <w:szCs w:val="20"/>
          <w:color w:val="auto"/>
        </w:rPr>
      </w:pPr>
      <w:r>
        <w:rPr>
          <w:rFonts w:ascii="Arial" w:cs="Arial" w:eastAsia="Arial" w:hAnsi="Arial"/>
          <w:sz w:val="18"/>
          <w:szCs w:val="18"/>
          <w:color w:val="auto"/>
        </w:rPr>
        <w:t>Arrange and organize meetings; Arrange and organize general meeting; Arrange and organize symposium; Arrange and organize training classes</w:t>
      </w:r>
    </w:p>
    <w:p>
      <w:pPr>
        <w:spacing w:after="0" w:line="200" w:lineRule="exact"/>
        <w:rPr>
          <w:sz w:val="20"/>
          <w:szCs w:val="20"/>
          <w:color w:val="auto"/>
        </w:rPr>
      </w:pPr>
    </w:p>
    <w:p>
      <w:pPr>
        <w:spacing w:after="0" w:line="2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340"/>
        <w:spacing w:after="0"/>
        <w:tabs>
          <w:tab w:leader="none" w:pos="1720" w:val="left"/>
        </w:tabs>
        <w:rPr>
          <w:sz w:val="20"/>
          <w:szCs w:val="20"/>
          <w:color w:val="auto"/>
        </w:rPr>
      </w:pPr>
      <w:r>
        <w:rPr>
          <w:rFonts w:ascii="Arial" w:cs="Arial" w:eastAsia="Arial" w:hAnsi="Arial"/>
          <w:sz w:val="18"/>
          <w:szCs w:val="18"/>
          <w:color w:val="auto"/>
        </w:rPr>
        <w:t>ChinaLink</w:t>
      </w:r>
      <w:r>
        <w:rPr>
          <w:sz w:val="20"/>
          <w:szCs w:val="20"/>
          <w:color w:val="auto"/>
        </w:rPr>
        <w:tab/>
      </w:r>
      <w:r>
        <w:rPr>
          <w:rFonts w:ascii="Arial" w:cs="Arial" w:eastAsia="Arial" w:hAnsi="Arial"/>
          <w:sz w:val="18"/>
          <w:szCs w:val="18"/>
          <w:color w:val="auto"/>
        </w:rPr>
        <w:t>Pending</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Professional</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Services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40"/>
        <w:spacing w:after="0"/>
        <w:tabs>
          <w:tab w:leader="none" w:pos="1720" w:val="left"/>
        </w:tabs>
        <w:rPr>
          <w:sz w:val="20"/>
          <w:szCs w:val="20"/>
          <w:color w:val="auto"/>
        </w:rPr>
      </w:pPr>
      <w:r>
        <w:rPr>
          <w:rFonts w:ascii="Arial" w:cs="Arial" w:eastAsia="Arial" w:hAnsi="Arial"/>
          <w:sz w:val="18"/>
          <w:szCs w:val="18"/>
          <w:color w:val="auto"/>
        </w:rPr>
        <w:t>ChinaLink</w:t>
      </w:r>
      <w:r>
        <w:rPr>
          <w:sz w:val="20"/>
          <w:szCs w:val="20"/>
          <w:color w:val="auto"/>
        </w:rPr>
        <w:tab/>
      </w:r>
      <w:r>
        <w:rPr>
          <w:rFonts w:ascii="Arial" w:cs="Arial" w:eastAsia="Arial" w:hAnsi="Arial"/>
          <w:sz w:val="18"/>
          <w:szCs w:val="18"/>
          <w:color w:val="auto"/>
        </w:rPr>
        <w:t>Pending</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Professional</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Services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40"/>
        <w:spacing w:after="0"/>
        <w:tabs>
          <w:tab w:leader="none" w:pos="1720" w:val="left"/>
        </w:tabs>
        <w:rPr>
          <w:sz w:val="20"/>
          <w:szCs w:val="20"/>
          <w:color w:val="auto"/>
        </w:rPr>
      </w:pPr>
      <w:r>
        <w:rPr>
          <w:rFonts w:ascii="Arial" w:cs="Arial" w:eastAsia="Arial" w:hAnsi="Arial"/>
          <w:sz w:val="18"/>
          <w:szCs w:val="18"/>
          <w:color w:val="auto"/>
        </w:rPr>
        <w:t>ChinaLink</w:t>
      </w:r>
      <w:r>
        <w:rPr>
          <w:sz w:val="20"/>
          <w:szCs w:val="20"/>
          <w:color w:val="auto"/>
        </w:rPr>
        <w:tab/>
      </w:r>
      <w:r>
        <w:rPr>
          <w:rFonts w:ascii="Arial" w:cs="Arial" w:eastAsia="Arial" w:hAnsi="Arial"/>
          <w:sz w:val="18"/>
          <w:szCs w:val="18"/>
          <w:color w:val="auto"/>
        </w:rPr>
        <w:t>Pending</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Professional</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Services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340"/>
        <w:spacing w:after="0"/>
        <w:tabs>
          <w:tab w:leader="none" w:pos="1720" w:val="left"/>
        </w:tabs>
        <w:rPr>
          <w:sz w:val="20"/>
          <w:szCs w:val="20"/>
          <w:color w:val="auto"/>
        </w:rPr>
      </w:pPr>
      <w:r>
        <w:rPr>
          <w:rFonts w:ascii="Arial" w:cs="Arial" w:eastAsia="Arial" w:hAnsi="Arial"/>
          <w:sz w:val="18"/>
          <w:szCs w:val="18"/>
          <w:color w:val="auto"/>
        </w:rPr>
        <w:t>ChinaLink</w:t>
      </w:r>
      <w:r>
        <w:rPr>
          <w:sz w:val="20"/>
          <w:szCs w:val="20"/>
          <w:color w:val="auto"/>
        </w:rPr>
        <w:tab/>
      </w:r>
      <w:r>
        <w:rPr>
          <w:rFonts w:ascii="Arial" w:cs="Arial" w:eastAsia="Arial" w:hAnsi="Arial"/>
          <w:sz w:val="18"/>
          <w:szCs w:val="18"/>
          <w:color w:val="auto"/>
        </w:rPr>
        <w:t>Pending</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Professional</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Services Co., Ltd</w:t>
      </w:r>
    </w:p>
    <w:p>
      <w:pPr>
        <w:sectPr>
          <w:pgSz w:w="11900" w:h="16838" w:orient="portrait"/>
          <w:cols w:equalWidth="0" w:num="2">
            <w:col w:w="8820" w:space="120"/>
            <w:col w:w="2480"/>
          </w:cols>
          <w:pgMar w:left="240" w:top="226" w:right="239" w:bottom="1440" w:gutter="0" w:footer="0" w:header="0"/>
        </w:sectPr>
      </w:pPr>
    </w:p>
    <w:bookmarkStart w:id="49" w:name="page50"/>
    <w:bookmarkEnd w:id="4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the Company’s copyrights: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CLPS HR Management Platform Software V1.0</w:t>
            </w:r>
          </w:p>
        </w:tc>
        <w:tc>
          <w:tcPr>
            <w:tcW w:w="12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89"/>
              </w:rPr>
              <w:t>2009SR015975</w:t>
            </w:r>
          </w:p>
        </w:tc>
        <w:tc>
          <w:tcPr>
            <w:tcW w:w="1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Food and Beverage Report Analysis and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2009SR060110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CLPS Apparel Industry POS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2009SR060102</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Express Information Interactive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2009SR060112</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CLPS Chain Store Information Interactive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2009SR060108</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Project Analysis and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2009SR060169</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CLPS Payroll Accounting System Platform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2010SR043564</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CLPS Fast Moving Consumer Goods Frontline Staff</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2010SR043561</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Staff Management Platform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2010SR043562</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Coal Mining Enterprise Information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2010SR045449</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CLPS Campus Expense Card Web Service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2010SR045441</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CLPS Campus Expense Card Bathroom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2010SR045444</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Service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CLPS Machinery Industry ERP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2010SR045802</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CLPS Assignment and Task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2011SR076863</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Software(short name: Assignment and Task</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System)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CLPS Marketing Assistant System Platform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2012SR096727</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CLPS Outsourcing Service Staff Management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2012SR096666</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CLPS Outsourcing Service Staff System Background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2012SR096731</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675"/>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gridSpan w:val="2"/>
          </w:tcPr>
          <w:p>
            <w:pPr>
              <w:jc w:val="right"/>
              <w:ind w:right="10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Approval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90"/>
        </w:trPr>
        <w:tc>
          <w:tcPr>
            <w:tcW w:w="1480" w:type="dxa"/>
            <w:vAlign w:val="bottom"/>
          </w:tcPr>
          <w:p>
            <w:pPr>
              <w:jc w:val="center"/>
              <w:spacing w:after="0"/>
              <w:rPr>
                <w:sz w:val="20"/>
                <w:szCs w:val="20"/>
                <w:color w:val="auto"/>
              </w:rPr>
            </w:pPr>
            <w:r>
              <w:rPr>
                <w:rFonts w:ascii="Arial" w:cs="Arial" w:eastAsia="Arial" w:hAnsi="Arial"/>
                <w:sz w:val="18"/>
                <w:szCs w:val="18"/>
                <w:color w:val="auto"/>
                <w:w w:val="91"/>
              </w:rPr>
              <w:t>29</w:t>
            </w:r>
            <w:r>
              <w:rPr>
                <w:rFonts w:ascii="Arial" w:cs="Arial" w:eastAsia="Arial" w:hAnsi="Arial"/>
                <w:sz w:val="30"/>
                <w:szCs w:val="30"/>
                <w:color w:val="auto"/>
                <w:w w:val="91"/>
                <w:vertAlign w:val="superscript"/>
              </w:rPr>
              <w:t>th</w:t>
            </w:r>
            <w:r>
              <w:rPr>
                <w:rFonts w:ascii="Arial" w:cs="Arial" w:eastAsia="Arial" w:hAnsi="Arial"/>
                <w:sz w:val="18"/>
                <w:szCs w:val="18"/>
                <w:color w:val="auto"/>
                <w:w w:val="91"/>
              </w:rPr>
              <w:t xml:space="preserve"> April 2009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3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511"/>
        </w:trPr>
        <w:tc>
          <w:tcPr>
            <w:tcW w:w="148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30"/>
                <w:szCs w:val="30"/>
                <w:color w:val="auto"/>
                <w:w w:val="86"/>
                <w:vertAlign w:val="superscript"/>
              </w:rPr>
              <w:t>th</w:t>
            </w:r>
            <w:r>
              <w:rPr>
                <w:rFonts w:ascii="Arial" w:cs="Arial" w:eastAsia="Arial" w:hAnsi="Arial"/>
                <w:sz w:val="18"/>
                <w:szCs w:val="18"/>
                <w:color w:val="auto"/>
                <w:w w:val="86"/>
              </w:rPr>
              <w:t xml:space="preserve"> December</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48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30"/>
                <w:szCs w:val="30"/>
                <w:color w:val="auto"/>
                <w:w w:val="86"/>
                <w:vertAlign w:val="superscript"/>
              </w:rPr>
              <w:t>th</w:t>
            </w:r>
            <w:r>
              <w:rPr>
                <w:rFonts w:ascii="Arial" w:cs="Arial" w:eastAsia="Arial" w:hAnsi="Arial"/>
                <w:sz w:val="18"/>
                <w:szCs w:val="18"/>
                <w:color w:val="auto"/>
                <w:w w:val="86"/>
              </w:rPr>
              <w:t xml:space="preserve"> December</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48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30"/>
                <w:szCs w:val="30"/>
                <w:color w:val="auto"/>
                <w:w w:val="86"/>
                <w:vertAlign w:val="superscript"/>
              </w:rPr>
              <w:t>th</w:t>
            </w:r>
            <w:r>
              <w:rPr>
                <w:rFonts w:ascii="Arial" w:cs="Arial" w:eastAsia="Arial" w:hAnsi="Arial"/>
                <w:sz w:val="18"/>
                <w:szCs w:val="18"/>
                <w:color w:val="auto"/>
                <w:w w:val="86"/>
              </w:rPr>
              <w:t xml:space="preserve"> December</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48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30"/>
                <w:szCs w:val="30"/>
                <w:color w:val="auto"/>
                <w:w w:val="86"/>
                <w:vertAlign w:val="superscript"/>
              </w:rPr>
              <w:t>th</w:t>
            </w:r>
            <w:r>
              <w:rPr>
                <w:rFonts w:ascii="Arial" w:cs="Arial" w:eastAsia="Arial" w:hAnsi="Arial"/>
                <w:sz w:val="18"/>
                <w:szCs w:val="18"/>
                <w:color w:val="auto"/>
                <w:w w:val="86"/>
              </w:rPr>
              <w:t xml:space="preserve"> December</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55"/>
        </w:trPr>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w:t>
            </w:r>
            <w:r>
              <w:rPr>
                <w:rFonts w:ascii="Arial" w:cs="Arial" w:eastAsia="Arial" w:hAnsi="Arial"/>
                <w:sz w:val="30"/>
                <w:szCs w:val="30"/>
                <w:color w:val="auto"/>
                <w:w w:val="86"/>
                <w:vertAlign w:val="superscript"/>
              </w:rPr>
              <w:t>st</w:t>
            </w:r>
            <w:r>
              <w:rPr>
                <w:rFonts w:ascii="Arial" w:cs="Arial" w:eastAsia="Arial" w:hAnsi="Arial"/>
                <w:sz w:val="18"/>
                <w:szCs w:val="18"/>
                <w:color w:val="auto"/>
                <w:w w:val="86"/>
              </w:rPr>
              <w:t xml:space="preserve"> September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w:t>
            </w:r>
            <w:r>
              <w:rPr>
                <w:rFonts w:ascii="Arial" w:cs="Arial" w:eastAsia="Arial" w:hAnsi="Arial"/>
                <w:sz w:val="30"/>
                <w:szCs w:val="30"/>
                <w:color w:val="auto"/>
                <w:w w:val="86"/>
                <w:vertAlign w:val="superscript"/>
              </w:rPr>
              <w:t>st</w:t>
            </w:r>
            <w:r>
              <w:rPr>
                <w:rFonts w:ascii="Arial" w:cs="Arial" w:eastAsia="Arial" w:hAnsi="Arial"/>
                <w:sz w:val="18"/>
                <w:szCs w:val="18"/>
                <w:color w:val="auto"/>
                <w:w w:val="86"/>
              </w:rPr>
              <w:t xml:space="preserve"> September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6"/>
              </w:rPr>
              <w:t>1</w:t>
            </w:r>
            <w:r>
              <w:rPr>
                <w:rFonts w:ascii="Arial" w:cs="Arial" w:eastAsia="Arial" w:hAnsi="Arial"/>
                <w:sz w:val="30"/>
                <w:szCs w:val="30"/>
                <w:color w:val="auto"/>
                <w:w w:val="86"/>
                <w:vertAlign w:val="superscript"/>
              </w:rPr>
              <w:t>st</w:t>
            </w:r>
            <w:r>
              <w:rPr>
                <w:rFonts w:ascii="Arial" w:cs="Arial" w:eastAsia="Arial" w:hAnsi="Arial"/>
                <w:sz w:val="18"/>
                <w:szCs w:val="18"/>
                <w:color w:val="auto"/>
                <w:w w:val="86"/>
              </w:rPr>
              <w:t xml:space="preserve"> September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5"/>
              </w:rPr>
              <w:t>2</w:t>
            </w:r>
            <w:r>
              <w:rPr>
                <w:rFonts w:ascii="Arial" w:cs="Arial" w:eastAsia="Arial" w:hAnsi="Arial"/>
                <w:sz w:val="30"/>
                <w:szCs w:val="30"/>
                <w:color w:val="auto"/>
                <w:w w:val="85"/>
                <w:vertAlign w:val="superscript"/>
              </w:rPr>
              <w:t>nd</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25</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bl>
    <w:p>
      <w:pPr>
        <w:sectPr>
          <w:pgSz w:w="11900" w:h="16838" w:orient="portrait"/>
          <w:cols w:equalWidth="0" w:num="2">
            <w:col w:w="8580" w:space="120"/>
            <w:col w:w="2720"/>
          </w:cols>
          <w:pgMar w:left="240" w:top="226" w:right="239" w:bottom="1440" w:gutter="0" w:footer="0" w:header="0"/>
          <w:type w:val="continuous"/>
        </w:sectPr>
      </w:pPr>
    </w:p>
    <w:bookmarkStart w:id="50" w:name="page51"/>
    <w:bookmarkEnd w:id="5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240"/>
          </w:cols>
          <w:pgMar w:left="240" w:top="226" w:right="419" w:bottom="1440" w:gutter="0" w:footer="0" w:header="0"/>
        </w:sect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CLPS Logistics Terminal Distribution Platform</w:t>
            </w:r>
          </w:p>
        </w:tc>
        <w:tc>
          <w:tcPr>
            <w:tcW w:w="12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2012SR096668</w:t>
            </w:r>
          </w:p>
        </w:tc>
        <w:tc>
          <w:tcPr>
            <w:tcW w:w="12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CLPS HR Background Support Management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2012SR098440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HR Management System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2012SR098429</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Software(short name: HR management system)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0"/>
              </w:rPr>
              <w:t>CLPS Outsourcing Service Staff Resume Entry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2012SR098687</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Document Business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2013SR054800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Software(short name: Document Management)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Monetary Transaction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2013SR054796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(short name: Monetary Transaction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Expense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2014SR168125</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Repayment Process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2014SR168130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Point Accumulative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2014SR168132</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Interest Process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2014SR168136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Credit Application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2014SR168138</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CLPS Credit Card Risk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2015SR028695</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CLPS Credit Card Account Establishment and Card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2015SR029015</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Making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CLPS Credit Card Customer Service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2015SR029012</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CLPS Credit Card Cleaning Management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2015SR028884</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Credit Card Authorization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2015SR028914</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CLPS Mortgage Loan Plan Spreadsheet Tool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2015SR198772</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(short name: loan spreadsheet)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Product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2015SR198610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17145</wp:posOffset>
            </wp:positionV>
            <wp:extent cx="9347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2013</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2013</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17145</wp:posOffset>
            </wp:positionV>
            <wp:extent cx="7200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678" w:lineRule="exact"/>
        <w:rPr>
          <w:sz w:val="20"/>
          <w:szCs w:val="20"/>
          <w:color w:val="auto"/>
        </w:rPr>
      </w:pPr>
    </w:p>
    <w:p>
      <w:pPr>
        <w:sectPr>
          <w:pgSz w:w="11900" w:h="16838" w:orient="portrait"/>
          <w:cols w:equalWidth="0" w:num="3">
            <w:col w:w="8600" w:space="140"/>
            <w:col w:w="1400" w:space="320"/>
            <w:col w:w="780"/>
          </w:cols>
          <w:pgMar w:left="240" w:top="226" w:right="419" w:bottom="1440" w:gutter="0" w:footer="0" w:header="0"/>
          <w:type w:val="continuous"/>
        </w:sect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type w:val="continuous"/>
        </w:sectPr>
      </w:pPr>
    </w:p>
    <w:bookmarkStart w:id="51" w:name="page52"/>
    <w:bookmarkEnd w:id="5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CLPS Bank Deposit and Withdrawal Services</w:t>
            </w:r>
          </w:p>
        </w:tc>
        <w:tc>
          <w:tcPr>
            <w:tcW w:w="12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2015SR198176</w:t>
            </w:r>
          </w:p>
        </w:tc>
        <w:tc>
          <w:tcPr>
            <w:tcW w:w="10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CLPS Bank Loan Application Management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2015SR198654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CLPS Bank Repayment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2015SR198649</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CLPS Bank Exchange Rate Management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2015SR198774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Interest Settlement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2015SR198246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CLPS Bank Foreign Exchange Transaction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2015SR198240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Investment Management Securities</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2016SR376924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Business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Bank Big Data Decision-making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2016SR382920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Customer Portrayal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Ca,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Internet Financial Cloud Mobile Banking</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2016SR398821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Wantong Calculas Mall Software V2.0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2017SR118507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CLPS Beijing</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Hengtong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RcRules Engine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2017SR169307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Internet Financing Collection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2017SR119266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Points Management Platform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2017SR119078</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CLPS Full-web Order Receiving Unified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2017SR202535</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CLPS Quanxi Intelligent Marketing Platform Clients</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2017SR565576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Growth Center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CLPS Enterprise Recruitment Intelligent Cooperation</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2017SR646712</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Platform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9"/>
              </w:rPr>
              <w:t>CLPS Intelligent Online Training Test Instructional</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2017SR646507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CLPS Enterprise Internet Qinqin Loan Background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2017SR647634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64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gridSpan w:val="2"/>
          </w:tcPr>
          <w:p>
            <w:pPr>
              <w:jc w:val="right"/>
              <w:ind w:right="109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Approval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90"/>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3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16</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16</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16</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16</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16</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2016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20</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December 2016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27</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December 2016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92"/>
              </w:rPr>
              <w:t>17</w:t>
            </w:r>
            <w:r>
              <w:rPr>
                <w:rFonts w:ascii="Arial" w:cs="Arial" w:eastAsia="Arial" w:hAnsi="Arial"/>
                <w:sz w:val="30"/>
                <w:szCs w:val="30"/>
                <w:color w:val="auto"/>
                <w:w w:val="92"/>
                <w:vertAlign w:val="superscript"/>
              </w:rPr>
              <w:t>th</w:t>
            </w:r>
            <w:r>
              <w:rPr>
                <w:rFonts w:ascii="Arial" w:cs="Arial" w:eastAsia="Arial" w:hAnsi="Arial"/>
                <w:sz w:val="18"/>
                <w:szCs w:val="18"/>
                <w:color w:val="auto"/>
                <w:w w:val="92"/>
              </w:rPr>
              <w:t xml:space="preserve"> April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8"/>
              </w:rPr>
              <w:t>9</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May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2"/>
              </w:rPr>
              <w:t>17</w:t>
            </w:r>
            <w:r>
              <w:rPr>
                <w:rFonts w:ascii="Arial" w:cs="Arial" w:eastAsia="Arial" w:hAnsi="Arial"/>
                <w:sz w:val="30"/>
                <w:szCs w:val="30"/>
                <w:color w:val="auto"/>
                <w:w w:val="92"/>
                <w:vertAlign w:val="superscript"/>
              </w:rPr>
              <w:t>th</w:t>
            </w:r>
            <w:r>
              <w:rPr>
                <w:rFonts w:ascii="Arial" w:cs="Arial" w:eastAsia="Arial" w:hAnsi="Arial"/>
                <w:sz w:val="18"/>
                <w:szCs w:val="18"/>
                <w:color w:val="auto"/>
                <w:w w:val="92"/>
              </w:rPr>
              <w:t xml:space="preserve"> April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2"/>
              </w:rPr>
              <w:t>17</w:t>
            </w:r>
            <w:r>
              <w:rPr>
                <w:rFonts w:ascii="Arial" w:cs="Arial" w:eastAsia="Arial" w:hAnsi="Arial"/>
                <w:sz w:val="30"/>
                <w:szCs w:val="30"/>
                <w:color w:val="auto"/>
                <w:w w:val="92"/>
                <w:vertAlign w:val="superscript"/>
              </w:rPr>
              <w:t>th</w:t>
            </w:r>
            <w:r>
              <w:rPr>
                <w:rFonts w:ascii="Arial" w:cs="Arial" w:eastAsia="Arial" w:hAnsi="Arial"/>
                <w:sz w:val="18"/>
                <w:szCs w:val="18"/>
                <w:color w:val="auto"/>
                <w:w w:val="92"/>
              </w:rPr>
              <w:t xml:space="preserve"> April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9"/>
              </w:rPr>
              <w:t>24</w:t>
            </w:r>
            <w:r>
              <w:rPr>
                <w:rFonts w:ascii="Arial" w:cs="Arial" w:eastAsia="Arial" w:hAnsi="Arial"/>
                <w:sz w:val="30"/>
                <w:szCs w:val="30"/>
                <w:color w:val="auto"/>
                <w:w w:val="89"/>
                <w:vertAlign w:val="superscript"/>
              </w:rPr>
              <w:t>th</w:t>
            </w:r>
            <w:r>
              <w:rPr>
                <w:rFonts w:ascii="Arial" w:cs="Arial" w:eastAsia="Arial" w:hAnsi="Arial"/>
                <w:sz w:val="18"/>
                <w:szCs w:val="18"/>
                <w:color w:val="auto"/>
                <w:w w:val="89"/>
              </w:rPr>
              <w:t xml:space="preserve"> May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8"/>
              </w:rPr>
              <w:t>13</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October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November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511"/>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November</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November</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ectPr>
          <w:pgSz w:w="11900" w:h="16838" w:orient="portrait"/>
          <w:cols w:equalWidth="0" w:num="2">
            <w:col w:w="8580" w:space="100"/>
            <w:col w:w="2740"/>
          </w:cols>
          <w:pgMar w:left="240" w:top="226" w:right="239" w:bottom="1440" w:gutter="0" w:footer="0" w:header="0"/>
          <w:type w:val="continuous"/>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Approval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w w:val="96"/>
              </w:rPr>
              <w:t>CLPS Blockchain Based Virtual Credits Background</w:t>
            </w:r>
          </w:p>
        </w:tc>
        <w:tc>
          <w:tcPr>
            <w:tcW w:w="12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89"/>
              </w:rPr>
              <w:t>2017SR645676</w:t>
            </w:r>
          </w:p>
        </w:tc>
        <w:tc>
          <w:tcPr>
            <w:tcW w:w="10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7"/>
              </w:rPr>
              <w:t>ChinaLink</w:t>
            </w:r>
          </w:p>
        </w:tc>
        <w:tc>
          <w:tcPr>
            <w:tcW w:w="1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5"/>
                <w:szCs w:val="15"/>
                <w:color w:val="auto"/>
              </w:rPr>
              <w:t>24</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November 2017</w:t>
            </w: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9"/>
              </w:rPr>
              <w:t>Registered</w:t>
            </w: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CLPS Enterprise Talent Information Intelligent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2017SR645650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00" w:type="dxa"/>
            <w:vAlign w:val="bottom"/>
          </w:tcPr>
          <w:p>
            <w:pPr>
              <w:spacing w:after="0"/>
              <w:rPr>
                <w:sz w:val="18"/>
                <w:szCs w:val="18"/>
                <w:color w:val="auto"/>
              </w:rPr>
            </w:pPr>
          </w:p>
        </w:tc>
        <w:tc>
          <w:tcPr>
            <w:tcW w:w="1500" w:type="dxa"/>
            <w:vAlign w:val="bottom"/>
          </w:tcPr>
          <w:p>
            <w:pPr>
              <w:jc w:val="center"/>
              <w:spacing w:after="0" w:line="217" w:lineRule="exact"/>
              <w:rPr>
                <w:sz w:val="20"/>
                <w:szCs w:val="20"/>
                <w:color w:val="auto"/>
              </w:rPr>
            </w:pPr>
            <w:r>
              <w:rPr>
                <w:rFonts w:ascii="Arial" w:cs="Arial" w:eastAsia="Arial" w:hAnsi="Arial"/>
                <w:sz w:val="16"/>
                <w:szCs w:val="16"/>
                <w:color w:val="auto"/>
              </w:rPr>
              <w:t>24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November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Mangement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w w:val="96"/>
              </w:rPr>
              <w:t>CLPS Credit Card Big Data Integrated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2017SR645763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00" w:type="dxa"/>
            <w:vAlign w:val="bottom"/>
          </w:tcPr>
          <w:p>
            <w:pPr>
              <w:spacing w:after="0"/>
              <w:rPr>
                <w:sz w:val="18"/>
                <w:szCs w:val="18"/>
                <w:color w:val="auto"/>
              </w:rPr>
            </w:pPr>
          </w:p>
        </w:tc>
        <w:tc>
          <w:tcPr>
            <w:tcW w:w="1500" w:type="dxa"/>
            <w:vAlign w:val="bottom"/>
          </w:tcPr>
          <w:p>
            <w:pPr>
              <w:jc w:val="center"/>
              <w:spacing w:after="0" w:line="217" w:lineRule="exact"/>
              <w:rPr>
                <w:sz w:val="20"/>
                <w:szCs w:val="20"/>
                <w:color w:val="auto"/>
              </w:rPr>
            </w:pPr>
            <w:r>
              <w:rPr>
                <w:rFonts w:ascii="Arial" w:cs="Arial" w:eastAsia="Arial" w:hAnsi="Arial"/>
                <w:sz w:val="16"/>
                <w:szCs w:val="16"/>
                <w:color w:val="auto"/>
              </w:rPr>
              <w:t>24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November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Background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w w:val="94"/>
              </w:rPr>
              <w:t>CLPS Enterprise Recruitment Intelligent Cooperation</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2017SR647190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00" w:type="dxa"/>
            <w:vAlign w:val="bottom"/>
          </w:tcPr>
          <w:p>
            <w:pPr>
              <w:spacing w:after="0"/>
              <w:rPr>
                <w:sz w:val="18"/>
                <w:szCs w:val="18"/>
                <w:color w:val="auto"/>
              </w:rPr>
            </w:pPr>
          </w:p>
        </w:tc>
        <w:tc>
          <w:tcPr>
            <w:tcW w:w="1500" w:type="dxa"/>
            <w:vAlign w:val="bottom"/>
          </w:tcPr>
          <w:p>
            <w:pPr>
              <w:jc w:val="center"/>
              <w:spacing w:after="0" w:line="217" w:lineRule="exact"/>
              <w:rPr>
                <w:sz w:val="20"/>
                <w:szCs w:val="20"/>
                <w:color w:val="auto"/>
              </w:rPr>
            </w:pPr>
            <w:r>
              <w:rPr>
                <w:rFonts w:ascii="Arial" w:cs="Arial" w:eastAsia="Arial" w:hAnsi="Arial"/>
                <w:sz w:val="16"/>
                <w:szCs w:val="16"/>
                <w:color w:val="auto"/>
              </w:rPr>
              <w:t>24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November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Platform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b w:val="1"/>
          <w:bCs w:val="1"/>
          <w:color w:val="auto"/>
        </w:rPr>
        <w:t>Properties</w:t>
      </w:r>
    </w:p>
    <w:p>
      <w:pPr>
        <w:spacing w:after="0" w:line="214"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Our principal executive office is located at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Building 18, Shanghai Pudong Software Park 498 Guoshoujing Road, Pudong, Shanghai 201203, PRC. We lease the premise and the lease term expires on June 30, 2019.</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Company manages and operates several other facilities. We rent office space in Tianjin, Shenzhen, Guangzhou, Dalian, Chengdu, Beijing, Australia and Singapore. Rent expenses amounted to $730,705, $565,328 and $431,043 for the years ended June 30, 2018, 2017 and 2016, respectively. We believe our facilities are adequate for our current needs.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Facility</w:t>
            </w:r>
          </w:p>
        </w:tc>
        <w:tc>
          <w:tcPr>
            <w:tcW w:w="7540" w:type="dxa"/>
            <w:vAlign w:val="bottom"/>
            <w:gridSpan w:val="2"/>
          </w:tcPr>
          <w:p>
            <w:pPr>
              <w:ind w:left="3400"/>
              <w:spacing w:after="0"/>
              <w:rPr>
                <w:sz w:val="20"/>
                <w:szCs w:val="20"/>
                <w:color w:val="auto"/>
              </w:rPr>
            </w:pPr>
            <w:r>
              <w:rPr>
                <w:rFonts w:ascii="Arial" w:cs="Arial" w:eastAsia="Arial" w:hAnsi="Arial"/>
                <w:sz w:val="18"/>
                <w:szCs w:val="18"/>
                <w:b w:val="1"/>
                <w:bCs w:val="1"/>
                <w:color w:val="auto"/>
              </w:rPr>
              <w:t>Address</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Space (m2)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Office</w:t>
            </w:r>
          </w:p>
        </w:tc>
        <w:tc>
          <w:tcPr>
            <w:tcW w:w="120" w:type="dxa"/>
            <w:vAlign w:val="bottom"/>
            <w:tcBorders>
              <w:top w:val="single" w:sz="8" w:color="CCEEFF"/>
            </w:tcBorders>
            <w:shd w:val="clear" w:color="auto" w:fill="CCEEFF"/>
          </w:tcPr>
          <w:p>
            <w:pPr>
              <w:spacing w:after="0"/>
              <w:rPr>
                <w:sz w:val="21"/>
                <w:szCs w:val="21"/>
                <w:color w:val="auto"/>
              </w:rPr>
            </w:pPr>
          </w:p>
        </w:tc>
        <w:tc>
          <w:tcPr>
            <w:tcW w:w="7420" w:type="dxa"/>
            <w:vAlign w:val="bottom"/>
            <w:tcBorders>
              <w:top w:val="single" w:sz="8" w:color="auto"/>
            </w:tcBorders>
            <w:shd w:val="clear" w:color="auto" w:fill="CCEEFF"/>
          </w:tcPr>
          <w:p>
            <w:pPr>
              <w:spacing w:after="0" w:line="242" w:lineRule="exact"/>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Building 18, Shanghai Pudong Software Park, 498 Guoshoujing Road, Pudong District,</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 Office</w:t>
            </w:r>
          </w:p>
        </w:tc>
        <w:tc>
          <w:tcPr>
            <w:tcW w:w="7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W5-C1-403-1, 51 West Area of Financial Street,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Street, Economic Development District,</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Tianjian,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Shenzhen Office</w:t>
            </w: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Room 2008, Anhui Building, Shennan Avenue, Futian District, Shenzhen,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 Office</w:t>
            </w: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6C03, 377 Tianhe Road, Tianhe District, Guangzhou,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Dalian Office</w:t>
            </w:r>
          </w:p>
        </w:tc>
        <w:tc>
          <w:tcPr>
            <w:tcW w:w="7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Room#01-04, 1/F, 1 Huixian Garden, New &amp; High-tech Industrial Park, Dalian, Liaoning Province,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Chengdu Office</w:t>
            </w:r>
          </w:p>
        </w:tc>
        <w:tc>
          <w:tcPr>
            <w:tcW w:w="7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Unit 10, 25/Floor, Tower 2, 88 Jitai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Road, Gaoxin District, Chengdu, Sichuan District,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Beijing Office</w:t>
            </w:r>
          </w:p>
        </w:tc>
        <w:tc>
          <w:tcPr>
            <w:tcW w:w="7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1/F, Shangke Chuangye Area, Guotou Shangke Building, 111 Huihe South Street, Gaobeidian,</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Chaoyang District, Beijing,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 Office</w:t>
            </w: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Tenancy 5, Part Level 9, 276 Flinders Street, Melbourne, VIC, Australia</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 Office</w:t>
            </w: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456 Office, Singapore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300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Companies in China engaging in information systems integration are required to obtain qualification certificates from the Ministry of Industry and Information Technology. “Information systems integration” means plan, design, development, implementation, service and safeguard of computer system and network system. Currently the Company does not engage in information system integration business, therefore the Company is not required to have such qualification certificates.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Foreign Currency Exchange.</w:t>
      </w:r>
      <w:r>
        <w:rPr>
          <w:rFonts w:ascii="Arial" w:cs="Arial" w:eastAsia="Arial" w:hAnsi="Arial"/>
          <w:sz w:val="17"/>
          <w:szCs w:val="17"/>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2013, the Foreign Investment Enterprise Law (1986), as amended in 2000, and the Administrative Rules under the Foreign Investment Enterprise Law (2001), as amended in 2014.</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Wholly Foreign Owned Enterprise Law, the Sino-foreign Equity Joint Venture Enterprise Law, the Sino-foreign Contractual Joint Venture Enterprise Law,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eleven delivery and or research and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requirements of the Securities Exchange Commission (“SEC”). The accompanying consolidated financial statements include the financial statements of CLPS, Qinheng, Qiner, CLPS QC, CLPS Shanghai, CLPS Beijing, CLPS RC, CLPS Dalian, CLPS AU, CLPS SG, CLPS Hong Kong, CLPS Shenzhen, CLPS US, Judge China, Judge HR, CLIVST, CLPS Guangzhou, FDT-CL, JQ and JL. All intercompany balances and transactions have been eliminated upon consolidation.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other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and President, together with Mr. Raymond Ming Hui Lin, the Company’s Chief Executive Officer and Director are the controlling shareholders of the Company (the “Controlling Shareholders”).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September 27, 2017, the Company and a non-controlling interest shareholder of CLPS Beijing incorporated Tianjin Huanyu Qinshang Network Technology Co., Ltd. (“Huanyu”). The Company subscribed 30% of equity interest in Huanyu for $0.15 million (RMB 1,000,000).</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17, 2017, the Company acquired 55% of JQ equity interest and its 100% owned subsidiary – JL for a cash consideration of approximately $0.07 million to operate software consulting business in Taiwan.</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 ownership interests in CLPS Shanghai prior to the reorganization. Since the Company and its subsidiaries are effectively controlled by the same group of the shareholders before and after the reorganization, they are considered under common control. The above-mentioned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5, 2018, the Company incorporated CLPS US to develop business in related areas.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27, 2018, Qiner entered into a new share purchase agreement and purchased the remaining 30% equity interest of CLPS Beijing for consideration of $0.6 million. The consideration was paid on July 5, 2018. As of June 30, 2018, the Company held 100% of CLPS Beijing’s equity and CLPS Beijing became our wholly-owned subsidiary.</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6"/>
          <w:szCs w:val="16"/>
          <w:i w:val="1"/>
          <w:iCs w:val="1"/>
          <w:color w:val="auto"/>
        </w:rPr>
        <w:t>Enterprise Software Certification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High-tech</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w:t>
      </w:r>
      <w:r>
        <w:rPr>
          <w:rFonts w:ascii="Arial" w:cs="Arial" w:eastAsia="Arial" w:hAnsi="Arial"/>
          <w:sz w:val="16"/>
          <w:szCs w:val="16"/>
          <w:color w:val="auto"/>
        </w:rPr>
        <w:t>,</w:t>
      </w:r>
      <w:r>
        <w:rPr>
          <w:rFonts w:ascii="Arial" w:cs="Arial" w:eastAsia="Arial" w:hAnsi="Arial"/>
          <w:sz w:val="16"/>
          <w:szCs w:val="16"/>
          <w:i w:val="1"/>
          <w:iCs w:val="1"/>
          <w:color w:val="auto"/>
        </w:rPr>
        <w:t xml:space="preserve"> Little Giant Company for Science and Technology </w:t>
      </w:r>
      <w:r>
        <w:rPr>
          <w:rFonts w:ascii="Arial" w:cs="Arial" w:eastAsia="Arial" w:hAnsi="Arial"/>
          <w:sz w:val="16"/>
          <w:szCs w:val="16"/>
          <w:color w:val="auto"/>
        </w:rPr>
        <w:t>and</w:t>
      </w:r>
      <w:r>
        <w:rPr>
          <w:rFonts w:ascii="Arial" w:cs="Arial" w:eastAsia="Arial" w:hAnsi="Arial"/>
          <w:sz w:val="16"/>
          <w:szCs w:val="16"/>
          <w:i w:val="1"/>
          <w:iCs w:val="1"/>
          <w:color w:val="auto"/>
        </w:rPr>
        <w:t xml:space="preserve"> Professional Talent Development Training Camp</w:t>
      </w:r>
      <w:r>
        <w:rPr>
          <w:rFonts w:ascii="Arial" w:cs="Arial" w:eastAsia="Arial" w:hAnsi="Arial"/>
          <w:sz w:val="16"/>
          <w:szCs w:val="16"/>
          <w:color w:val="auto"/>
        </w:rPr>
        <w:t>. In addition, the Company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as one of the recipients of </w:t>
      </w:r>
      <w:r>
        <w:rPr>
          <w:rFonts w:ascii="Arial" w:cs="Arial" w:eastAsia="Arial" w:hAnsi="Arial"/>
          <w:sz w:val="16"/>
          <w:szCs w:val="16"/>
          <w:i w:val="1"/>
          <w:iCs w:val="1"/>
          <w:color w:val="auto"/>
        </w:rPr>
        <w:t>2017 IDC China Top 25 FinTech Pioneers</w:t>
      </w:r>
      <w:r>
        <w:rPr>
          <w:rFonts w:ascii="Arial" w:cs="Arial" w:eastAsia="Arial" w:hAnsi="Arial"/>
          <w:sz w:val="16"/>
          <w:szCs w:val="16"/>
          <w:color w:val="auto"/>
        </w:rPr>
        <w:t xml:space="preserve"> during the award ceremony spearheaded by IDC on August 25, 2017.</w:t>
      </w:r>
    </w:p>
    <w:p>
      <w:pPr>
        <w:sectPr>
          <w:pgSz w:w="11900" w:h="16838" w:orient="portrait"/>
          <w:cols w:equalWidth="0" w:num="1">
            <w:col w:w="11420"/>
          </w:cols>
          <w:pgMar w:left="240" w:top="226" w:right="23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operations are primarily based in China, where we derive a substantial portion of our revenues. For the years ended June 30, 2018, 2017 and 2016, our revenues were $48.9 million, $31.4 million and $29.0 million, respectively. Revenues generated outside of China were approximately $1.7 million, $0.5 million and Nil for fiscal 2018, 2017 and 2016, respectively. In fiscal 2018, 2017 and 2016, we had a net income of $2.7 million, $2.2 million and $1.8 million, respectively. Our total assets as of June 30, 2018 were $30.9 million of which cash and cash equivalent amounted to $9.7 million. Our total liabilities as of June 30, 2018 were $12.8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5" w:lineRule="exact"/>
        <w:rPr>
          <w:sz w:val="20"/>
          <w:szCs w:val="20"/>
          <w:color w:val="auto"/>
        </w:rPr>
      </w:pPr>
    </w:p>
    <w:p>
      <w:pPr>
        <w:jc w:val="both"/>
        <w:ind w:left="980" w:hanging="324"/>
        <w:spacing w:after="0" w:line="269"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is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also increases. Therefore, our ability to obtain new clients, as well as our ability to maintain and increase business from our existing clients, will have a significant effect on our results of operations and financial condition. During fiscal 2018, our revenue derived from our IT consulting services increased by 61.8% or $18.0 million from fiscal 2017, all attributable to revenue growth from our new clients. IT consulting service revenue from new clients amounted to approximately $4.1 million in fiscal 2018, offset with a reduction of revenue from our existing clients. During fiscal 2017, our revenue derived from our IT consulting services increased by 4.0% or $1.1 million from fiscal 2016, all attributable to revenue growth from our new clients. IT consulting service revenue from new clients amounted to approximately $2.5 million in fiscal 2017, offset with a reduction of revenue from our existing clients. Our revenues derived from our customized IT solution service significantly increased by 99.1% or $0.9 million from fiscal 2016. The increase in revenue attributable to our new clients was approximately $0.6 million and the rest of our growth was attributable to revenue from our existing clients.</w:t>
      </w:r>
    </w:p>
    <w:p>
      <w:pPr>
        <w:spacing w:after="0" w:line="182"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is to expand our portfolio of service offerings. We intend to increase our revenues by continuing to expand our service offerings and providing quality service to our existing customers and to attract new customers. Through research and development, targeted hiring and strategic acquisitions, we have proactively invested in broadening our existing service lines, including those for serving our specific industry verticals.</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is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the following key operating metrics to oversee and manage the Company’s business: (i) developing new business, (ii) focusing on the TCP/TDP training programs to provide highly trained and qualified employees to the clients; and (iii) retaining employees to continue to meet client ever-changing needs.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and leveraging costs and drive margins to produce profitability and return on investment for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9, 2016, CLPS Shanghai acquired 60% of Judge China and its 70% owned subsidiary Judge HR from Judge Company Asia Limited (“Judge Asia”) with the final purchase price of $480,061 (RMB 3.25 million). The Company funded the acquisition with cash and a payable to Judge Asia of $128,928 (RMB 0.9 million), of which $103,255 was subsequently offset with the Company’s receivables from Judge Asia.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Intangible – customer relationship, net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Wages payable and accruals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intangible assets include customer contacts of $339,883, which was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 (a) the assembled work force and (b) the expected but unidentifiable business growth as a result of the synergy resulting from the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Tianjin Huanyu Qinshang Network Technology Co., Ltd (“Huanyu”)</w:t>
      </w:r>
    </w:p>
    <w:p>
      <w:pPr>
        <w:spacing w:after="0" w:line="225"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Huanyu. The Company subscribed for 30% of equity interest in Huanyu for $0.15 million (RMB 1,000,000).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JQ</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17, 2017, the Company acquired a 55% equity interest in JQ, and its 100% owned subsidiary – JL in Taiwan for cash consideration of approximately $0.07 million. As of the acquisition date, the assets of JQ were cash and other receivables and JQ and its subsidiary has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 The Company believes that this investment could offer new opportunities for operational synergies in the related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Lihong Financial Information Services Co., Ltd (“Lihong)</w:t>
      </w:r>
    </w:p>
    <w:p>
      <w:pPr>
        <w:spacing w:after="0" w:line="225" w:lineRule="exact"/>
        <w:rPr>
          <w:sz w:val="20"/>
          <w:szCs w:val="20"/>
          <w:color w:val="auto"/>
        </w:rPr>
      </w:pPr>
    </w:p>
    <w:p>
      <w:pPr>
        <w:jc w:val="both"/>
        <w:ind w:firstLine="637"/>
        <w:spacing w:after="0" w:line="308" w:lineRule="auto"/>
        <w:rPr>
          <w:sz w:val="20"/>
          <w:szCs w:val="20"/>
          <w:color w:val="auto"/>
        </w:rPr>
      </w:pPr>
      <w:r>
        <w:rPr>
          <w:rFonts w:ascii="Arial" w:cs="Arial" w:eastAsia="Arial" w:hAnsi="Arial"/>
          <w:sz w:val="17"/>
          <w:szCs w:val="17"/>
          <w:color w:val="auto"/>
        </w:rPr>
        <w:t>On June 13, 2018, the Company purchased a 2.7% equity interest in Lihong in Shanghai for consideration of $0.2 million (or approximately RMB 1,000,000) to develop business in the related area. The consideration has not been paid for and is recorded as a liability as of June 30,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Beijing</w:t>
      </w:r>
    </w:p>
    <w:p>
      <w:pPr>
        <w:spacing w:after="0" w:line="225" w:lineRule="exact"/>
        <w:rPr>
          <w:sz w:val="20"/>
          <w:szCs w:val="20"/>
          <w:color w:val="auto"/>
        </w:rPr>
      </w:pPr>
    </w:p>
    <w:p>
      <w:pPr>
        <w:jc w:val="both"/>
        <w:ind w:firstLine="637"/>
        <w:spacing w:after="0" w:line="273" w:lineRule="auto"/>
        <w:rPr>
          <w:sz w:val="20"/>
          <w:szCs w:val="20"/>
          <w:color w:val="auto"/>
        </w:rPr>
      </w:pPr>
      <w:r>
        <w:rPr>
          <w:rFonts w:ascii="Arial" w:cs="Arial" w:eastAsia="Arial" w:hAnsi="Arial"/>
          <w:sz w:val="17"/>
          <w:szCs w:val="17"/>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holding 100% of CLPS Beijing’s equity interest. The consideration was not paid for and was recorded as a liability by Qiner as of June 30, 2018. The consideration was paid on July 5, 2018. Prior to June 2018, the remaining 30% equity interest of CLPS Beijing was recorded as non-controlling interests on the balance sheet. The Company engaged an independent valuation firm to assist management in assessing the enterprise value of CLPS Beijing. The enterprise value of CLPS Beijing as of June 27, 2018 was $1.94 million based on the evaluation report.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Continuing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48,938,593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31,361,976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29,024,178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(31,277,255)</w:t>
            </w: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(18,669,812)</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(17,463,416)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2,225,702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1,206,493</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413,016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7,837,873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4,232,788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5,579,058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5,871,622</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5,647,790</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4,955,037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15,935,197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10,947,111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1,726,141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960,784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508,187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(84,155)</w:t>
            </w: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(10,469)</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2,602,770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2,102,811</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2,054,124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(112,128)</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(118,546)</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269,153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2,714,898</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173,912</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2,434,463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2,047,445</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1,826,112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(iii) software sales, and (iv) other revenue from product and third-party software sales.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5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fiscal 2018 and 2017, all of our time-and-expense contracts were generated by our IT consulting service for clients in the financial industry. In comparison, all of our fixed-price contracts were generated by our customized IT solution business for clients in the financial industry and others.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center"/>
              <w:ind w:right="330"/>
              <w:spacing w:after="0"/>
              <w:rPr>
                <w:sz w:val="20"/>
                <w:szCs w:val="20"/>
                <w:color w:val="auto"/>
              </w:rPr>
            </w:pPr>
            <w:r>
              <w:rPr>
                <w:rFonts w:ascii="Arial" w:cs="Arial" w:eastAsia="Arial" w:hAnsi="Arial"/>
                <w:sz w:val="18"/>
                <w:szCs w:val="18"/>
                <w:b w:val="1"/>
                <w:bCs w:val="1"/>
                <w:color w:val="auto"/>
                <w:w w:val="89"/>
              </w:rPr>
              <w:t>For the Year ended June 30,</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 of total</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3"/>
              </w:rPr>
              <w:t>Revenue</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Variance</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47,159,651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29,146,470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18,013,181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1,634,100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1,846,423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(212,323)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369,083</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48,938,593</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31,361,976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17,576,617</w:t>
            </w:r>
          </w:p>
        </w:tc>
        <w:tc>
          <w:tcPr>
            <w:tcW w:w="2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total revenues increased by approximately $17.6 million, or 56.0%, to approximately $48.9 million for the fiscal year ended June 30, 2018 from approximately $31.4 million for the fiscal year ended June 30, 2017. The overall growth in our revenues reflected an increase in revenues from our IT consulting service.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June 30, 2018, revenue derived from our IT consulting services increased by 61.8% to $47.2 million from $29.1 million in fiscal 2017, primarily reflecting the increasing demands for our IT consulting service from banks and other financial institutions. For fiscal 2018 and 2017, 46.8% and 54.0% of our IT consulting service revenue were from international banks. In fiscal 2018,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cost of revenues mainly consisted of compensation benefit expenses for our IT professionals, travel expenses and material costs. Our cost of revenues increased by $12.6 million or 67.5% to approximately $31.3 million in fiscal 2018 from approximately $18.7 million in fiscal 2017 primarily as a result of increased revenue and, therefore resulting in increased headcount, expanded office facilities and increase of depreciation and amortization expenses to enable and match the growth of our business revenue. As a percentage of revenues, our cost of revenues was 63.9% and 59.5% for fiscal 2018 and 2017, respectively. Our total number of employees grew from 1,242 employees as of June 30, 2017 to 1,655 employees as of June 30,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gross profit increased by $5.0 million, or 39.2%, to approximately $17.7 million in fiscal 2018 from approximately $12.7 million in fiscal 2017. The higher gross profit in fiscal 2018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Gross margin decreased to 36.1% in fiscal 2018, from 40.5% for the same period of last year. The decrease in gross margin was primarily due to the lower gross margin of the new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expenses increased by $1.0 million or 84.5% from $1.2 million in fiscal 2017 to $2.2 million in fiscal 2018. The increase was primarily attributable to our expansion of the pre-sales and marketing teams in Shanghai and Dalian in China to support our operations. Accordingly, as a percentage of sales, our selling expenses were 4.5% of revenues in fiscal 2018 as compared to 3.8% in fiscal 2017. While we expect our selling and marketing expenses to increase as we continue our business expansion, we expect these expenses to remain relatively steady as a percentage of our net revenues to support our business growth in the near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R&amp;D expenses primarily consisted of compensation and benefit expenses relating to our research and development personnel as well as office overhead and other expenses relating to our R&amp;D activities. Our R&amp;D expenses increased by $3.6 million from $4.2 million in fiscal 2017 to $7.8 million in fiscal 2018, representing 16.0% and 13.5% of our total revenues for fiscal 2018 and 2017, respectively. The increased R&amp;D expense in fiscal 2018 is attributable to our launching several research projects related to cloud computing and mobile internet application in fiscal 2018. We expect to increase our investment in research and development to enhance our industry knowledge, improve our competitiveness and enable us to identify attractive market opportunities for new and enhanced services and solutions.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General and administrative expenses increased by $0.3 million or 4.0% from approximately $5.6 million in fiscal 2017 to approximately $5.9 million in fiscal 2018. As a percentage of revenues, general and administrative expenses were 12.0% and 18.0% of our revenue in fiscal 2018 and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$0.9 million and $0.4 million for the years ended June 30, 2018 and 2017, respectively. The increase in government subsidies in fiscal 2018 was because local government was in the process of amending the existing subsidy policy and increased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income before income taxes was approximately $2.6 million in fiscal 2018, an increase of 23.8% compared with fiscal 2017, mainly due to the expansion of business and increased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provision for income taxes benefit in fiscal 2018 was almost the same with the income tax benefit in fiscal 2017, mainly due to the Company recognized deferred tax assets as a result of the net operating losses carry forward for some of the Company’s subsidiaries. Certain net operating losses were not used and carried forward to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net income was approximately $2.7 million in fiscal 2018, an increase of $0.5 million from $2.2 million in fiscal 2017. The increase in net income was in line with increased revenues, gross profit and operating expenses for fiscal 2018 as compared to fiscal 2017 as mentioned above.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Foreign currency translation adjustments amounted to a gain of $0.06 million and a loss of $0.1 million for the years ended June 30, 2018 and 2017, respectively. The balance sheet amounts with the exception of equity as of June 30, 2018 were translated at 6.6171 RMB to 1.00 USD as compared to 6.7793 RMB to 1.00USD as of June 30, 2017. The equity accounts were stated at their historical rate. The average translation rates applied to the income statements accounts for the years ended June 30, 2018 and 2017 were 6.5023 RMB to 1.00 USD and 6.8087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5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fiscal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8"/>
                <w:szCs w:val="18"/>
                <w:b w:val="1"/>
                <w:bCs w:val="1"/>
                <w:color w:val="auto"/>
                <w:w w:val="89"/>
              </w:rPr>
              <w:t>For the Year ended June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5"/>
              </w:rPr>
              <w:t>Revenue</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8"/>
              </w:rPr>
              <w:t>Revenue</w:t>
            </w: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29,146,470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28,015,173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1,131,297</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1,846,423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927,185</w:t>
            </w:r>
          </w:p>
        </w:tc>
        <w:tc>
          <w:tcPr>
            <w:tcW w:w="14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919,238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287,263</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CCEEFF"/>
            </w:tcBorders>
            <w:gridSpan w:val="3"/>
            <w:vMerge w:val="restart"/>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31,361,976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29,024,178</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2,337,798</w:t>
            </w: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total revenues increased by approximately $2.3 million, or 8.1%, to approximately $31.4 million for the fiscal year ended June 30, 2017 from approximately $29.0 million for the fiscal year ended June 30, 2016. The overall growth in our revenues reflected an increase in revenues from both of our IT consulting service and customized IT solution service.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June 30, 2017, revenue derived from our IT consulting services increased by 4.0% to $29.1 million from $28.0 million in fiscal 2016, primarily reflecting the increasing demands for our IT consulting service from banks and other financial institutions. For fiscal 2017 and 2016, 54.0% and 69.5% of our IT consulting service revenue were from international banks. In fiscal 2017,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year ended June 30, 2017, revenues derived from our customized IT solution service significantly increased by 99.1% to $1.8 million from $0.9 million in fiscal 2016. Historically, IT consulting services have contributed the substantial majority of our net revenues. In recent years, we started to develop customized IT solution service to small and medium enterprises (“SME”) in China. With the growing demand for our financial IT solution innovations and e-banking technology, our financial IT solutions service provides SMEs affordable integrated technologies that are reshaping our customers’ business and operating models. We plan to expand our financial IT solution service in China, which is driven by the increased adoption of big data, platform engineering for cloud solutions and an expanded range of services, such as artificial intelligence.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cost of revenues mainly consists of compensation benefit expenses for our IT professionals, travel expenses and material costs. Our cost of revenues increased by $1.2 million or 6.9% to approximately $18.7 million in fiscal 2017 from approximately $17.5 million in fiscal 2016, primarily as a result of increased revenue and, therefore resulting in increased headcount, expanded office facilities and increase of depreciation and amortization expenses to enable and match the growth of our business. As a percentage of revenues, our cost of revenues has remained around 60% for both fiscal 2017 and 2016. Our total number of employees grew from 1,055 employees as of June 30, 2016 to 1,242 employees as of June 30, 2017.</w:t>
      </w:r>
    </w:p>
    <w:p>
      <w:pPr>
        <w:sectPr>
          <w:pgSz w:w="11900" w:h="16838" w:orient="portrait"/>
          <w:cols w:equalWidth="0" w:num="1">
            <w:col w:w="11420"/>
          </w:cols>
          <w:pgMar w:left="240" w:top="226" w:right="239"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gross profit increased by $1.1 million, or 9.8%, to approximately $12.7 million in fiscal 2017 from approximately $11.6 million in fiscal 2016. As a percentage of revenues, our gross margin slightly increased from 39.8% in fiscal 2016 to 40.5% in fiscal 2017. The higher gross profit margin in fiscal 2017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The decrease in gross margin was primarily due to the lower gross margin of the new projects.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expenses increased by $0.8 million or 192.1% from $0.4 million in fiscal 2016 to $1.2 million in fiscal 2017. The increase was primarily attributable to our expansion of the pre-sales and marketing teams in Shanghai and Dalian, China to support our operations. Accordingly, as a percentage of sales, our selling expenses were 3.8% of revenues in fiscal 2017 as compared to 1.4% in fiscal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R&amp;D expenses primarily consisted of compensation and benefit expenses relating to our research and development personnel as well as office overhead and other expenses relating to our R&amp;D activities. Our R&amp;D expenses decreased by $1.4 million from $5.6 million in fiscal 2016 to $4.2 million in fiscal 2017, representing 13.5% and 19.2% of our total revenues for fiscal 2017 and 2016, respectively. R&amp;D expense in fiscal 2016 is attributable to the launch of several research projects related to cloud computing and mobile internet application in fiscal 2016. Upon completion of these projects in fiscal 2017, the related IT developers were transferred to our production department. As a result, the related compensation for these individuals was included as a cost of revenue in fiscal 2017. We expect to increase our investment in research and development to enhance our industry knowledge, improve our competitiveness and enable us to identify attractive market opportunities for new and enhanced services and solutions.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increased by $0.6 million or 14.0% from approximately $5.0 million in fiscal 2016 to approximately $5.6 million in fiscal 2017, almost all of which is attributable to increasing headcount and related staff costs in Hong Kong and Australia, which approximated $0.6 million. We incorporated CLPS Technology (Australia) PTY LTD (“CLPS AU”) in November 2015 and CLPS Technology (Hong Kong) Co., Limited (“CLPS Hong Kong”) in January 2016 to provide service for our international client’s local operations. Additionally, we acquired Judge (Shanghai) Technology service Co., Ltd (“Judge China”) in November 2016; Judge China accounted for approximately $0.1 million increase in our general and administrative expense in fiscal 2017. As a percentage of revenues, general and administrative expenses were 18.0% and 17.1% of our revenue in fiscal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$0.4 million and $1.3 million for the years ended June 30, 2017 and 2016, respectively. The decrease in government subsidies in fiscal 2017 was because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income before income taxes was approximately $2.1 million in fiscal 2017, an increase of 2.4% compared with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provision for income taxes benefit was $0.1 million in fiscal 2017, compared to $0.3 million income tax expense in fiscal 2016. Our current income tax provision decreased by approximately $0.3 million. The decrease of the current income tax provision is mainly due to CLPS Dalian has qualified as Software Enterprise and is enjoying two-year income tax exemption starting from their first profitable year. The increase of $0.1 million in deferred tax benefit was mainly because we recorded deferred tax assets as a result of the net operating losses carry forward for some of our subsidiaries.</w:t>
      </w:r>
    </w:p>
    <w:p>
      <w:pPr>
        <w:sectPr>
          <w:pgSz w:w="11900" w:h="16838" w:orient="portrait"/>
          <w:cols w:equalWidth="0" w:num="1">
            <w:col w:w="11420"/>
          </w:cols>
          <w:pgMar w:left="240" w:top="226" w:right="239" w:bottom="1440"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net income was approximately $2.2 million in fiscal 2017, an increase of $0.4 million from $1.8 million in fiscal 2016. The increase in net income was in line with increased revenues, gross profit and operating expenses for fiscal 2017 as compared to fiscal 2016 as mentioned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Foreign currency translation adjustments amounted to a loss of $0.1 million and $0.4 million for the years ended June 30, 2017 and 2016, respectively. The balance sheet amounts with the exception of equity as of June 30, 2017 were translated at 6.7793 RMB to 1.00 USD as compared to 6.6459 RMB to 1.00USD as of June 30, 2016. The equity accounts were stated at their historical rate. The average translation rates applied to the income statements accounts for the years ended June 30, 2017 and 2016 were 6.8087 RMB to 1.00 USD and 6.4405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of June 30, 2018, we had cash and cash equivalents of approximately $9.7 million. Our current assets were approximately $29.1 million, and our current liabilities were approximately $12.8 million. Total shareholders’ equity as of June 30, 2018 was approximately $18.2 million. We believe that we will have sufficient working capital to operate our business for the next 12 months from the issuance date of this report.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2018, cash and cash equivalents of approximately $4,012,088, $81,644, $4,005, $5,568,360 and $76,789 were held by the Company and its subsidiaries in mainland PRC, Singapore, Australia, Hong Kong and Taiwan,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negative for the year ended June 30, 2018. For the years ended June 30, 2017 and 2016, our operating cash flow was positive.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The following table sets forth summary of our cash flows for the periods indicated: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(4,772,610)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4,462,268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(492,672)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(101,218)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(374,348)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10,103,240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(832,752)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(378,837)</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Effect of exchange rate change</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90,360</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(153,002)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4,928,318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3,481,312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4,814,568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5,277,196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1,795,884</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9,742,886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4,814,568</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5,277,196</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in operating activities was approximately $4.8 million in fiscal 2018, including net income of $2.7 million, adjusted for non-cash items of $0.1 million and negative adjustments for changes in operating assets and liabilities of $7.6 million. The adjustments for changes in operating assets and liabilities mainly included an increase in accounts receivable of $9.8 million due to increased sales in fiscal 2018. During fiscal 2018, our accounts receivable turnover was 84 days, increased from 65 days in fiscal 2017 due to the longer payment approval process of the major customers compared with payment time of fiscal 2017. The adjustments for changes in operating assets and liabilities also included offset with an increase in salaries and benefits payable of $1.8 million due to unpaid employee compensation and benefits, an increase in prepayments and other assets of $0.6 million and an increase in tax payable of $0.3 million due to increased revenue in fiscal 2018.</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approximately $0.6 million in fiscal 2017, including net income of $2.2 million, adjusted for non-cash items of $8,975 and negative adjustments for changes in operating assets and liabilities of $1.6 million. The adjustments for changes in operating assets and liabilities mainly included an increase in accounts receivable of $2.4 million due to increased sales in fiscal 2017. During fiscal 2017, our revenue turnover in days was 65 days, slightly increased from 64 days in fiscal 2016. The adjustments for changes in operating assets and liabilities also included an increase in deferred costs of $0.2 million for project progress and an increase in prepaid income tax of $0.2 million, and offset with an increase in salaries and benefits payable of $0.9 million due to unpaid employee compensation and benefits and an increase in tax payable of $0.2 million due to increased revenue in fiscal 2017.</w:t>
      </w:r>
    </w:p>
    <w:p>
      <w:pPr>
        <w:sectPr>
          <w:pgSz w:w="11900" w:h="16838" w:orient="portrait"/>
          <w:cols w:equalWidth="0" w:num="1">
            <w:col w:w="11420"/>
          </w:cols>
          <w:pgMar w:left="240" w:top="226" w:right="239" w:bottom="663"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663" w:gutter="0" w:footer="0" w:header="0"/>
          <w:type w:val="continuous"/>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provided by operating activities for the year ended June 30, 2016 was approximately $4.5 million, which was primarily attributable to net income of approximately $1.8 million, adjusted for non-cash items for approximately $0.04 million and positive adjustments for changes in working capital of approximately $2.7 million. The adjustments for changes in working capital mainly included (i) decrease in accounts receivable of approximately $1.1 million due to an increase in sales collections in fiscal 2016, (ii) increase in salaries and benefits payable of $1.0 million due to unpaid employee compensation and benefits and (iii) decrease in prepayment of approximately $0.4 million due to utilization in our operation.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used in investing activities was approximately $0.5 million in fiscal 2018, primarily due to our purchase of office equipment and furniture of $0.2 million, our acquisition of Judge China of $0.1 million (RMB 700,000) and our acquisition of Tianjin Huanyu Qinshang Network Technology Co., Ltd (“Huanyu”) of $0.15 million (RMB 1,000,000) in fiscal 2018, to better manage opportunities and capitalize on the growth potential in the human resource related industry in China. On September 27, 2017, the Company and a non-controlling interest shareholder of CLPS Beijing incorporated Huanyu. The Company paid $0.15 million (RMB 1,000,000) for a 30% of equity interest in Huanyu in fiscal 2018.</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was approximately $0.1 million in fiscal 2017, primarily due to our acquisition of Judge China in fiscal 2017, to better manage opportunities and capitalize on the growth potential in the human resource related industry in China.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was approximately $0.4 million in fiscal 2016, primarily due to our purchases of office equipment and furniture.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was approximately $10.1 million in fiscal 2018. During the fiscal 2018, we had bank loans of approximately $5.7 million, repaid loans of approximately $3.1 million, and paid $0.6 million of dividends to our existing shareholders. On May 24, 2018, CLPS consummated its initial public offering, or IPO, of 2,000,000 shares, $0.0001 par value per share. The units were sold at an offering price of $5.25 per unit, generating total gross proceeds of $10.5 million. Net proceeds from the IPO were $9.5 million. On June 8, 2018, CLPS closed on the over-allotment option on the additional 300,000 common shares at the IPO price of $5.25 per share. As a result, the Company raised additional gross proceeds of approximately $1.58 million, in addition to the IPO gross proceeds of approximately $10.5 million, or combined gross proceeds in this IPO of approximately $12.08 million, before underwriting discounts and commissions and offering expenses. Net proceeds from the IPO and the over-allotment were approximately $11.0 million.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approximately $0.8 million in fiscal 2017. During fiscal 2017, we repaid related parties loans of approximately $0.1 million and paid $0.7 million of dividends to our existing shareholders.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financing activities was approximately $0.4 million in fiscal 2016. In fiscal 2016, proceeds from our shareholder’s contributions amounted to $2.1 million, and collection of restricted cash of $2.5 million. We paid $5.3 million of dividends to our existing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made capital expenditures of $0.2 million, $0.06 million and $0.3 million for the years ended June 30, 2018, 2017 and 2016, respectively. In these periods, our capital expenditures were mainly used for purchases of office equipment. The Company will continue to make capital expenditures to meet the expected growth of its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1.9% in 2018 and 1.6%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 amounted to $730,705, $565,328 and $431,043 for the years ended June 30, 2018, 2017 and 2016, respectively. The following table sets forth our contractual obligations and commercial commitments as of June 30,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1020"/>
              <w:spacing w:after="0"/>
              <w:rPr>
                <w:sz w:val="20"/>
                <w:szCs w:val="20"/>
                <w:color w:val="auto"/>
              </w:rPr>
            </w:pPr>
            <w:r>
              <w:rPr>
                <w:rFonts w:ascii="Arial" w:cs="Arial" w:eastAsia="Arial" w:hAnsi="Arial"/>
                <w:sz w:val="18"/>
                <w:szCs w:val="18"/>
                <w:b w:val="1"/>
                <w:bCs w:val="1"/>
                <w:color w:val="auto"/>
                <w:w w:val="96"/>
              </w:rPr>
              <w:t>Payment Due by Period</w:t>
            </w: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20"/>
                <w:szCs w:val="20"/>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b w:val="1"/>
                <w:bCs w:val="1"/>
                <w:color w:val="auto"/>
              </w:rPr>
              <w:t>1-3 Years</w:t>
            </w: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w w:val="99"/>
              </w:rPr>
              <w:t>3-5 Years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249,520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Short-term loans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2,553,989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2,553,989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3,502,528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3,253,008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July 12, 2018, the Company granted an aggregate of 671,469 restricted share units (“RSUs”) to key employees and directors under the share incentive plans. No RSUs were granted to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33% per year over a three-year period, with the first 33% vesting on the grant date. As at the grant date of July 12, 2018, the weighted-average fair value per share was $12.22 and the estimated total fair value of the RSUs granted was $8.2 million.</w:t>
      </w:r>
    </w:p>
    <w:p>
      <w:pPr>
        <w:spacing w:after="0" w:line="173"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On August 15, 2018, the shareholders of CLPS SG and CLPS AU were changed to Qiner from CLPS Shanghai pursuant to the share purchase agreements. Qiner purchased the 100% equity interest of CLPS SG and CLPS AU from CLPS Shanghai for consideration of $0.6 million (or approximately 850,000 Singapore dollars) and $0.1 million (or approximately 200,000 Australian dollars), respectively. These transactions did not change the holding company’s ownership of these entities.</w:t>
      </w:r>
    </w:p>
    <w:p>
      <w:pPr>
        <w:spacing w:after="0" w:line="187"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On August 20, 2018, CLPS SG acquired an 80% interest in Infogain Solutions PTE. Ltd. (“Infogain”) located in Singapore from Sharma Devendra Prasad and Deepak Malhotra with the final purchase price of $420,000 (or approximately 576,000 Singapore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by the United States of America (“U.S. GAAP”), which requires us to make judgments, estimates and assumptions that affect our reported amount of assets, liabilities, revenue, costs and expenses, and any related disclosures. Although there were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provides a comprehensive range of IT services and solutions, the contracts for which are billed for primarily are on a time-and-expense basis, or fixed-price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5"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integration based on customers’ specific needs. These solutions require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of time ranging from three months to one year (“PCS period”) after the customized application is delivered. The type of service for PCS clause is generally not specified in the contract or stand-ready service on when-and-if-available basis.</w:t>
      </w:r>
    </w:p>
    <w:p>
      <w:pPr>
        <w:sectPr>
          <w:pgSz w:w="11900" w:h="16838" w:orient="portrait"/>
          <w:cols w:equalWidth="0" w:num="1">
            <w:col w:w="11420"/>
          </w:cols>
          <w:pgMar w:left="240" w:top="226" w:right="239"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the following service elements in negotiating a fixed-fee solution contract:</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Solution development service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PCS,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multiple-element arrangements that include application customized services and PCS as well as specific service components,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otherwise, BESP is used. Because the Company’s customized application differs substantially from that of competitors, it is difficult to obtain the reliable standalone competitive pricing necessary to establish TPE. VSOE of selling price for products and services is determined when a substantial majority of the selling prices fall within a reasonable range when sold separately.</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Revenue allocated to solution development service components is recognized using contract accounting in accordance with Accounting Standards Codification (“ASC”) 605-35. The revenue recognition for these contracts varies depending on the terms of the individual contracts, and may be recognized proportionally over the term of the contract or deferred until the end of the contract term and recognized when our obligations to the customer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as the best available indicator of the pattern and timing in which contract obligations are fulfilled. Pursuant to the contract terms, the Company has enforceable rights to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Differences between the timing of billings and the recognition of revenue based on various methods of accounting are recorded as deferred revenue.</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 off against the allowance for doubtful accounts after management has determined that the likelihood of collection is not probable.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Unbilled accounts receivable included in accounts receivable represent revenue earned on contracts to be billed, in subsequent periods, as per the terms of the related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operations as an allocation of the total income or loss for the year between non-controlling interest holders and the shareholders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incurred in the development of new software modules and products, either as part of the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2018, 2017 and 2016. All of the tax returns of the Company remain subject to examination by the tax authorities for five years from the date of filing through year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Basic earnings per share is computed using the weighted average number of ordinary shares outstanding during the period. Restricted share units and warrants are not considered outstanding in computation of basic earnings per share.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Diluted earnings per share is computed using the weighted average number of ordinary shares and potential ordinary shares outstanding during the period, which include restricted share units and warrants. The computation of diluted earnings per share does not assume conversion, exercise, or contingent issuance of securities that would have an anti-dilutive effect (i.e. an increase in earnings per share amounts or a decrease in loss per share amounts) on earnings per share.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Share awards issued to non-employees, such as consultants and underwriters, including warrants and options are measured at fair value at the earlier of the commitment date or the date the service is completed and recognized over the period the service is provided. The Company uses the Black-Scholes option pricing model to estimate the fair value of warrants. The determination of estimated fair value of share-based payment awards on the grant date using a Black-Scholes option pricing model is affected by the Company’s stock price as well as assumptions regarding a number of complex and subjective variables. These variables include the Company’s expected stock price volatility over the expected term of the awards, actual and projected warrant exercise behaviors, a risk-free interest rate and any expected dividends.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share-based awards to employees and directors, including restricted share units (“RSUs”), are measured at the grant date based on the fair value of the awards. Share-based compensation, net of forfeitures, is recognized as expense on a straight-line basis over the requisite service period, which is the vesting period.</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recognizes the estimated compensation cost of service-based restricted share units based on the fair value of its ordinary shares on the date of the grant. The Company recognizes the compensation cost, net of estimated forfeitures, over a vesting term of generally three years.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Forfeitures are estimated at the time of grant and revised in subsequent periods if actual forfeitures differ from those estimates. The Company uses historical data to estimate pre-vesting restricted share units’ forfeitures and records share-based compensation expense only for those awards that are expected to vest.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37"/>
        <w:spacing w:after="0" w:line="284"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In September 2017, the FASB issued ASU No. 2017-13, which to clarify effective dates that public business entities and other entities were required to adopt ASC Topic 606 for annual reporting. A public business entity and certain other specified entities adopt ASC Topic 606 for annual reporting periods beginning after December 15, 2017, including interim reporting periods within that reporting period. We are planning to adopt Topic 606 in the first quarter of our fiscal 2019 using the retrospective transition method, and are continuing to evaluate the impact our pending adoption of Topic 606 will have on our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In September 2017, the FASB issued ASU No. 2017-13, which to clarify effective dates that public business entities and other entities were required to adopt ASC Topic 842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842 for annual reporting periods beginning after December 15, 2019, and interim reporting periods within annual reporting periods beginning after December 15, 2020. ASU No. 2017-13 also amended that all components of a leveraged lease be recalculated from inception of the lease based on the revised after tax cash flows arising from the change in the tax law, including revised tax rates. The difference between the amounts originally recorded and the recalculated amounts must be included in income of the year in which the tax law is enacted. In July 2018, the FASB issued ASU No. 2018-10, about improvements to clarify the Codification or to correct unintended application of guidance in ASU No. 2016-02. The amendments in ASU No. 2018-10 are of a similar nature to the items typically addressed in the Codification improvements project. The amendments in ASU No. 2018-10 affect narrow aspects of the guidance issued in the amendments in ASU No.2016-02. In July 2018, the FASB issued ASU No. 2018-11, which to clarify two requirements in the new leases standard: transition —comparative reporting at adoption and separating components of a contract. The amendments in this Update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consistent with preparers’ requests. ASU No. 2018-11 also provides lessors with a practical expedient, by class of underlying asset, to not separate nonlease components from the associated lease component and, instead, to account for those components as a single component if the nonlease components otherwise would be accounted for under the new revenue guidance (Topic 606) and both of the following are met: the timing and pattern of transfer of the nonlease component(s) and associated lease component are the same, and the lease component, if accounted for separately, would be classified as an operating lease. The effective date and transition requirements for ASU No 2018-11 related to separating components of a contract are the same as the effective date and transition requirements in ASU 2016-02. The Company has not early adopted this update and it will become effective on July 1, 2020. The Company is currently evaluating the impact of this new standard on its consolidated financial statements and related disclosures.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193"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89"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89" w:lineRule="exact"/>
        <w:rPr>
          <w:sz w:val="20"/>
          <w:szCs w:val="20"/>
          <w:color w:val="auto"/>
        </w:rPr>
      </w:pPr>
    </w:p>
    <w:p>
      <w:pPr>
        <w:jc w:val="both"/>
        <w:ind w:firstLine="637"/>
        <w:spacing w:after="0" w:line="268"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and Derivatives and Hedging (Topic 815). The guidance of Part I is to clarify accounting for certain financial instruments with down round feature in a financial instrument that reduces the strike price of an issued financial instrument if the issuer sells shares of its stock for an amount less than the currently stated strike price of the issued financial instrument or issues an equity-linked financial instrument with a strike price below the currently stated strike price of the issued financial instrument.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The amendments also recharacterize the indefinite deferral of certain provisions of Topic 480 that now are presented as pending content in the Codification, to a scope exception. Those amendments do not have an accounting effect. The amendments in Part I of ASU No. 2017-11 are effective for fiscal years beginning after December 15, 2019, and interim periods within fiscal years beginning after December 15, 2020. Early adoption is permitted for all entities, including adoption in an interim period. The amendments in Part II of this Update do not require any transition guidance because those amendments do not have an accounting effect. The Company has not early adopted this update and it will become effective on July 1, 2020. The Company is currently evaluating the impact of our pending adoption of ASU 2017-11 on its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8"/>
          <w:szCs w:val="18"/>
          <w:color w:val="auto"/>
        </w:rPr>
        <w:t>In September 2017, the FASB issued ASU No. 2017-09, “Compensation—Stock Compensation (Topic 718)”. The amendments affect any entity that changes the terms or conditions of a share-based payment award. An entity should account for the effects of a modification unless the fair value (or calculated value or intrinsic value, if such an alternative measurement method is used) of the modified award is the same as the fair value, the vesting conditions of the modified award are the same as the vesting conditions of the original award, and the classification of the modified award as an equity instrument or a liability instrument is the same as the classification of the original award. The amendments in this Update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Company has not early adopted this update and it will become effective on July 1, 2018. The Company does not expect that the adoption of this guidance will have a material impact on its consolidated financial statements.</w:t>
      </w:r>
    </w:p>
    <w:p>
      <w:pPr>
        <w:spacing w:after="0" w:line="197" w:lineRule="exact"/>
        <w:rPr>
          <w:sz w:val="20"/>
          <w:szCs w:val="20"/>
          <w:color w:val="auto"/>
        </w:rPr>
      </w:pPr>
    </w:p>
    <w:p>
      <w:pPr>
        <w:jc w:val="both"/>
        <w:ind w:firstLine="637"/>
        <w:spacing w:after="0" w:line="297" w:lineRule="auto"/>
        <w:rPr>
          <w:sz w:val="20"/>
          <w:szCs w:val="20"/>
          <w:color w:val="auto"/>
        </w:rPr>
      </w:pPr>
      <w:r>
        <w:rPr>
          <w:rFonts w:ascii="Arial" w:cs="Arial" w:eastAsia="Arial" w:hAnsi="Arial"/>
          <w:sz w:val="16"/>
          <w:szCs w:val="16"/>
          <w:color w:val="auto"/>
        </w:rPr>
        <w:t>In February 2018, the FASB issued ASU No. 2018-02, “Income Statement—Reporting Comprehensive Income (Topic 220): Reclassification of Certain Tax Effects from Accumulated Other Comprehensive Income”. The amendments eliminate the stranded tax effects resulting from the Tax Cuts and Jobs Act and will improve the usefulness of information reported to financial statement users. ASU No. 2018-02 is effective for all entities for fiscal years beginning after December 15, 2018, and interim periods within those fiscal years. The Company has not early adopted this update and it will become effective on July 1, 2019. The Company does not expect that the adoption of this guidance will have a material impact on its consolidated financial statements.</w:t>
      </w:r>
    </w:p>
    <w:p>
      <w:pPr>
        <w:spacing w:after="0" w:line="158" w:lineRule="exact"/>
        <w:rPr>
          <w:sz w:val="20"/>
          <w:szCs w:val="20"/>
          <w:color w:val="auto"/>
        </w:rPr>
      </w:pPr>
    </w:p>
    <w:p>
      <w:pPr>
        <w:jc w:val="both"/>
        <w:ind w:firstLine="637"/>
        <w:spacing w:after="0" w:line="297" w:lineRule="auto"/>
        <w:rPr>
          <w:sz w:val="20"/>
          <w:szCs w:val="20"/>
          <w:color w:val="auto"/>
        </w:rPr>
      </w:pPr>
      <w:r>
        <w:rPr>
          <w:rFonts w:ascii="Arial" w:cs="Arial" w:eastAsia="Arial" w:hAnsi="Arial"/>
          <w:sz w:val="16"/>
          <w:szCs w:val="16"/>
          <w:color w:val="auto"/>
        </w:rPr>
        <w:t>In February 2018, the FASB issued ASU No. 2018-03, Technical Corrections and Improvements to Financial Instruments—Overall (Subtopic 825-10), to provide guidance to clarify recognition and measurement of financial assets and financial liabilities. The amendments clarify certain aspects of the guidance issued in ASU No. 2016-01. All entities may early adopt ASU No. 2018-03 for fiscal years beginning after December 15, 2017, including interim periods within those fiscal years, as long as they have adopted Update 2016-01. The Company has not early adopted this update and it will become effective on July 1, 2018. The Company does not expect that the adoption of this guidance will have a material impact on its consolidated financial statements.</w:t>
      </w:r>
    </w:p>
    <w:p>
      <w:pPr>
        <w:spacing w:after="0" w:line="158" w:lineRule="exact"/>
        <w:rPr>
          <w:sz w:val="20"/>
          <w:szCs w:val="20"/>
          <w:color w:val="auto"/>
        </w:rPr>
      </w:pPr>
    </w:p>
    <w:p>
      <w:pPr>
        <w:jc w:val="both"/>
        <w:ind w:firstLine="637"/>
        <w:spacing w:after="0" w:line="288"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The amendments expand the scope of Topic 718 to include share-based payment transactions for acquiring goods and services from nonemployees.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amendments are effective for public business entities for fiscal years beginning after December 15, 2018, including interim periods within that fiscal year. The Company has not early adopted this update and it will become effective on July 1, 2019. The Company is currently evaluating the impact of our pending adoption of ASU 2018-07 on its consolidated financial statements.</w:t>
      </w:r>
    </w:p>
    <w:p>
      <w:pPr>
        <w:spacing w:after="0" w:line="169" w:lineRule="exact"/>
        <w:rPr>
          <w:sz w:val="20"/>
          <w:szCs w:val="20"/>
          <w:color w:val="auto"/>
        </w:rPr>
      </w:pPr>
    </w:p>
    <w:p>
      <w:pPr>
        <w:jc w:val="both"/>
        <w:ind w:firstLine="637"/>
        <w:spacing w:after="0" w:line="276" w:lineRule="auto"/>
        <w:rPr>
          <w:sz w:val="20"/>
          <w:szCs w:val="20"/>
          <w:color w:val="auto"/>
        </w:rPr>
      </w:pPr>
      <w:r>
        <w:rPr>
          <w:rFonts w:ascii="Arial" w:cs="Arial" w:eastAsia="Arial" w:hAnsi="Arial"/>
          <w:sz w:val="17"/>
          <w:szCs w:val="17"/>
          <w:color w:val="auto"/>
        </w:rPr>
        <w:t>In August 2018, the FASB issued ASU No 2018-13, Fair Value Measurement (Topic 820), Disclosure Framework—Changes to the Disclosure Requirements for Fair Value Measurement. The amendments in this Update modify the disclosure requirements on fair value measurements in Topic 820, Fair Value Measurement, based on the concepts in the Concepts Statement, including the consideration of costs and benefits. The amendments in this Update are effective for all entities for fiscal years, and interim periods within those fiscal years, beginning after December 15, 2019. The Company is currently evaluating the impact of our pending adoption of ASU 2018-07 on its consolidated financial statements.</w:t>
      </w:r>
    </w:p>
    <w:p>
      <w:pPr>
        <w:spacing w:after="0" w:line="173" w:lineRule="exact"/>
        <w:rPr>
          <w:sz w:val="20"/>
          <w:szCs w:val="20"/>
          <w:color w:val="auto"/>
        </w:rPr>
      </w:pPr>
    </w:p>
    <w:p>
      <w:pPr>
        <w:jc w:val="both"/>
        <w:ind w:firstLine="637"/>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executive officers and directors, their ages and the positions held by them: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7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Director</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Jian Xu</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Senior Vice President of Operations, Corporate Secretary</w:t>
            </w:r>
          </w:p>
        </w:tc>
      </w:tr>
      <w:tr>
        <w:trPr>
          <w:trHeight w:val="257"/>
        </w:trPr>
        <w:tc>
          <w:tcPr>
            <w:tcW w:w="3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Jin He Shao</w:t>
            </w:r>
            <w:r>
              <w:rPr>
                <w:rFonts w:ascii="Arial" w:cs="Arial" w:eastAsia="Arial" w:hAnsi="Arial"/>
                <w:sz w:val="29"/>
                <w:szCs w:val="29"/>
                <w:color w:val="auto"/>
                <w:vertAlign w:val="superscript"/>
              </w:rPr>
              <w:t>(1)(4)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57"/>
        </w:trPr>
        <w:tc>
          <w:tcPr>
            <w:tcW w:w="3660" w:type="dxa"/>
            <w:vAlign w:val="bottom"/>
            <w:gridSpan w:val="2"/>
          </w:tcPr>
          <w:p>
            <w:pPr>
              <w:spacing w:after="0" w:line="256" w:lineRule="exact"/>
              <w:rPr>
                <w:sz w:val="20"/>
                <w:szCs w:val="20"/>
                <w:color w:val="auto"/>
              </w:rPr>
            </w:pPr>
            <w:r>
              <w:rPr>
                <w:rFonts w:ascii="Arial" w:cs="Arial" w:eastAsia="Arial" w:hAnsi="Arial"/>
                <w:sz w:val="18"/>
                <w:szCs w:val="18"/>
                <w:color w:val="auto"/>
              </w:rPr>
              <w:t>Kewei Huang</w:t>
            </w:r>
            <w:r>
              <w:rPr>
                <w:rFonts w:ascii="Arial" w:cs="Arial" w:eastAsia="Arial" w:hAnsi="Arial"/>
                <w:sz w:val="29"/>
                <w:szCs w:val="29"/>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2"/>
                <w:szCs w:val="22"/>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57"/>
        </w:trPr>
        <w:tc>
          <w:tcPr>
            <w:tcW w:w="3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Kathryn Amooi</w:t>
            </w:r>
            <w:r>
              <w:rPr>
                <w:rFonts w:ascii="Arial" w:cs="Arial" w:eastAsia="Arial" w:hAnsi="Arial"/>
                <w:sz w:val="29"/>
                <w:szCs w:val="29"/>
                <w:color w:val="auto"/>
                <w:vertAlign w:val="superscript"/>
              </w:rPr>
              <w:t>(3)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shd w:val="clear" w:color="auto" w:fill="CCEEFF"/>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Xiao Feng Yang </w:t>
      </w:r>
      <w:r>
        <w:rPr>
          <w:rFonts w:ascii="Arial" w:cs="Arial" w:eastAsia="Arial" w:hAnsi="Arial"/>
          <w:sz w:val="17"/>
          <w:szCs w:val="17"/>
          <w:color w:val="auto"/>
        </w:rPr>
        <w:t>is the chairman, president and director of the Company. Mr. Yang has over 20 years of executive management and operational</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the IT services business. From October 2012 to present, Mr. Yang served as chairman and president of ChinaLink.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6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Raymond Ming Hui Lin</w:t>
      </w:r>
      <w:r>
        <w:rPr>
          <w:rFonts w:ascii="Arial" w:cs="Arial" w:eastAsia="Arial" w:hAnsi="Arial"/>
          <w:sz w:val="16"/>
          <w:szCs w:val="16"/>
          <w:color w:val="auto"/>
        </w:rPr>
        <w:t>, is the chief executive officer and director of the Company. Mr. Lin joined CLPS in February 2009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January 2008 to January 2009, Mr. Lin was a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1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Tian van Acken </w:t>
      </w:r>
      <w:r>
        <w:rPr>
          <w:rFonts w:ascii="Arial" w:cs="Arial" w:eastAsia="Arial" w:hAnsi="Arial"/>
          <w:sz w:val="18"/>
          <w:szCs w:val="18"/>
          <w:color w:val="auto"/>
        </w:rPr>
        <w:t>Ms. Tian van Acken is the chief financial officer of the company. From December 2015 to September 2017, Ms. van Acken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at ec+ Communication Corporation. From September 2011 to December 2015, Ms. van Acken held chief financial officer positions at various start-up companies in China. From March 2006 to September 2011, Ms. van Acken served as Greater China chief financial officer at Lowe China, subsidiary of Lowe Worldwide (Interpublic Group of Companies) in China. From 1996 to 2006, Ms. van Acken held various managerial financial positions at Siegfried Resources LLC in New York, Highland Capital Partners and PricewaterhouseCoopers in Boston, respectively. Ms. van Acken holds an MBA degree in Finance and Accounting from Rochester Institute of Technology. She is a Chartered Financial Analyst and a certified public accountant licensed in the State of Massachusetts.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Jian Xu </w:t>
      </w:r>
      <w:r>
        <w:rPr>
          <w:rFonts w:ascii="Arial" w:cs="Arial" w:eastAsia="Arial" w:hAnsi="Arial"/>
          <w:sz w:val="17"/>
          <w:szCs w:val="17"/>
          <w:color w:val="auto"/>
        </w:rPr>
        <w:t>is our senior vice president of operations and corporate secretary. He has been the SVP of Operations since July 2008. From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2003 to June 2008, Mr. Xu acted as IT consultant and trainer at A-IT Software Co., Ltd. From January 2003 to December 2003, Mr. Xu served as senior software developer at Neusoft Group Co., Ltd. From July 2000 to December 2003, he held the position of senior software developer at two software companies. Mr. Xu holds a Bachelor’s degree in Mechanical and Electronic Engineering from Shenyang University of Technology.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Jin He Shao </w:t>
      </w:r>
      <w:r>
        <w:rPr>
          <w:rFonts w:ascii="Arial" w:cs="Arial" w:eastAsia="Arial" w:hAnsi="Arial"/>
          <w:sz w:val="16"/>
          <w:szCs w:val="16"/>
          <w:color w:val="auto"/>
        </w:rPr>
        <w:t>is an independent director of the Company. From January 2002 to present, Mr. Shao has been a partner at Shanghai Huajin Accounting</w:t>
      </w:r>
    </w:p>
    <w:p>
      <w:pPr>
        <w:spacing w:after="0" w:line="50" w:lineRule="exact"/>
        <w:rPr>
          <w:sz w:val="20"/>
          <w:szCs w:val="20"/>
          <w:color w:val="auto"/>
        </w:rPr>
      </w:pPr>
    </w:p>
    <w:p>
      <w:pPr>
        <w:jc w:val="both"/>
        <w:ind w:firstLine="8"/>
        <w:spacing w:after="0" w:line="254" w:lineRule="auto"/>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Kewei Huang </w:t>
      </w:r>
      <w:r>
        <w:rPr>
          <w:rFonts w:ascii="Arial" w:cs="Arial" w:eastAsia="Arial" w:hAnsi="Arial"/>
          <w:sz w:val="18"/>
          <w:szCs w:val="18"/>
          <w:color w:val="auto"/>
        </w:rPr>
        <w:t>is an independent director of the Company. From September 2014 to present, Mr. Huang has held the office of the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Moxian, Inc. (MOXC), a Nasdaq listed company. In 1995, he received a PhD degree in component based technologies from the University of New South Wales. In addition, Mr. Huang holds a Bachelor’s degree in English from National University of Singapore and an MBA degree from Preston University.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Kathryn Amooi </w:t>
      </w:r>
      <w:r>
        <w:rPr>
          <w:rFonts w:ascii="Arial" w:cs="Arial" w:eastAsia="Arial" w:hAnsi="Arial"/>
          <w:sz w:val="18"/>
          <w:szCs w:val="18"/>
          <w:color w:val="auto"/>
        </w:rPr>
        <w:t>is an independent director of the Company. Ms. Amooi has held various positions at Automatic Data Processing (ADP), LLC, a</w:t>
      </w:r>
      <w:r>
        <w:rPr>
          <w:rFonts w:ascii="Arial" w:cs="Arial" w:eastAsia="Arial" w:hAnsi="Arial"/>
          <w:sz w:val="18"/>
          <w:szCs w:val="18"/>
          <w:b w:val="1"/>
          <w:bCs w:val="1"/>
          <w:color w:val="auto"/>
        </w:rPr>
        <w:t xml:space="preserve"> </w:t>
      </w:r>
      <w:r>
        <w:rPr>
          <w:rFonts w:ascii="Arial" w:cs="Arial" w:eastAsia="Arial" w:hAnsi="Arial"/>
          <w:sz w:val="18"/>
          <w:szCs w:val="18"/>
          <w:color w:val="auto"/>
        </w:rPr>
        <w:t>human 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Liability and Other Indemnification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7" w:name="page78"/>
    <w:bookmarkEnd w:id="77"/>
    <w:p>
      <w:pPr>
        <w:ind w:left="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Arial" w:cs="Arial" w:eastAsia="Arial" w:hAnsi="Arial"/>
                <w:sz w:val="18"/>
                <w:szCs w:val="18"/>
                <w:b w:val="1"/>
                <w:bCs w:val="1"/>
                <w:color w:val="auto"/>
              </w:rPr>
              <w:t>B.</w:t>
            </w:r>
          </w:p>
        </w:tc>
        <w:tc>
          <w:tcPr>
            <w:tcW w:w="2980" w:type="dxa"/>
            <w:vAlign w:val="bottom"/>
          </w:tcPr>
          <w:p>
            <w:pPr>
              <w:ind w:left="240"/>
              <w:spacing w:after="0"/>
              <w:rPr>
                <w:sz w:val="20"/>
                <w:szCs w:val="20"/>
                <w:color w:val="auto"/>
              </w:rPr>
            </w:pPr>
            <w:r>
              <w:rPr>
                <w:rFonts w:ascii="Arial" w:cs="Arial" w:eastAsia="Arial" w:hAnsi="Arial"/>
                <w:sz w:val="18"/>
                <w:szCs w:val="18"/>
                <w:b w:val="1"/>
                <w:bCs w:val="1"/>
                <w:color w:val="auto"/>
              </w:rPr>
              <w:t>Compensation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Executive Compensation</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00" w:type="dxa"/>
            <w:vAlign w:val="bottom"/>
            <w:gridSpan w:val="10"/>
          </w:tcPr>
          <w:p>
            <w:pPr>
              <w:jc w:val="right"/>
              <w:spacing w:after="0"/>
              <w:rPr>
                <w:sz w:val="20"/>
                <w:szCs w:val="20"/>
                <w:color w:val="auto"/>
              </w:rPr>
            </w:pPr>
            <w:r>
              <w:rPr>
                <w:rFonts w:ascii="Arial" w:cs="Arial" w:eastAsia="Arial" w:hAnsi="Arial"/>
                <w:sz w:val="18"/>
                <w:szCs w:val="18"/>
                <w:color w:val="auto"/>
                <w:w w:val="96"/>
              </w:rPr>
              <w:t>The following table shows the annual compensation paid by us for the years ended June 30, 2018 and June 30, 2017.</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All Other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34"/>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Name/principal position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Salary</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2"/>
              </w:rPr>
              <w:t>Compensation</w:t>
            </w:r>
          </w:p>
        </w:tc>
        <w:tc>
          <w:tcPr>
            <w:tcW w:w="6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7"/>
              </w:rPr>
              <w:t>Compensation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Paid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Xiao Feng Yang, Chairman and President</w:t>
            </w:r>
            <w:r>
              <w:rPr>
                <w:rFonts w:ascii="Arial" w:cs="Arial" w:eastAsia="Arial" w:hAnsi="Arial"/>
                <w:sz w:val="29"/>
                <w:szCs w:val="29"/>
                <w:color w:val="auto"/>
                <w:vertAlign w:val="superscript"/>
              </w:rPr>
              <w:t>(1)</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76,338</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51,470</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585,402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636,872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Raymond Ming Hui Lin, CEO and Director</w:t>
            </w:r>
            <w:r>
              <w:rPr>
                <w:rFonts w:ascii="Arial" w:cs="Arial" w:eastAsia="Arial" w:hAnsi="Arial"/>
                <w:sz w:val="29"/>
                <w:szCs w:val="29"/>
                <w:color w:val="auto"/>
                <w:vertAlign w:val="superscript"/>
              </w:rPr>
              <w:t>(2)</w:t>
            </w:r>
          </w:p>
        </w:tc>
        <w:tc>
          <w:tcPr>
            <w:tcW w:w="1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2018</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57,225</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37,379</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585,402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622,781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Tian van Acken, CFO</w:t>
            </w:r>
            <w:r>
              <w:rPr>
                <w:rFonts w:ascii="Arial" w:cs="Arial" w:eastAsia="Arial" w:hAnsi="Arial"/>
                <w:sz w:val="29"/>
                <w:szCs w:val="29"/>
                <w:color w:val="auto"/>
                <w:vertAlign w:val="superscript"/>
              </w:rPr>
              <w:t>(3)</w:t>
            </w:r>
          </w:p>
        </w:tc>
        <w:tc>
          <w:tcPr>
            <w:tcW w:w="1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2018</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69,758</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721"/>
              <w:spacing w:after="0"/>
              <w:rPr>
                <w:sz w:val="20"/>
                <w:szCs w:val="20"/>
                <w:color w:val="auto"/>
              </w:rPr>
            </w:pPr>
            <w:r>
              <w:rPr>
                <w:rFonts w:ascii="Arial" w:cs="Arial" w:eastAsia="Arial" w:hAnsi="Arial"/>
                <w:sz w:val="18"/>
                <w:szCs w:val="18"/>
                <w:color w:val="auto"/>
              </w:rPr>
              <w:t>— $</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hanging="332"/>
        <w:spacing w:after="0" w:line="258"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Appointed Chairman and President effective as of December 9, 2017. All other compensation amounts represent cash dividend payments in 2016 and 2017.</w:t>
      </w:r>
    </w:p>
    <w:p>
      <w:pPr>
        <w:spacing w:after="0" w:line="1" w:lineRule="exact"/>
        <w:rPr>
          <w:rFonts w:ascii="Arial" w:cs="Arial" w:eastAsia="Arial" w:hAnsi="Arial"/>
          <w:sz w:val="18"/>
          <w:szCs w:val="18"/>
          <w:color w:val="auto"/>
        </w:rPr>
      </w:pPr>
    </w:p>
    <w:p>
      <w:pPr>
        <w:ind w:left="420" w:hanging="332"/>
        <w:spacing w:after="0" w:line="250"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 All other compensation amounts represent cash dividend payments in 2016 and 2017.</w:t>
      </w:r>
    </w:p>
    <w:p>
      <w:pPr>
        <w:ind w:left="420" w:hanging="33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9, 2017.</w:t>
      </w:r>
    </w:p>
    <w:p>
      <w:pPr>
        <w:spacing w:after="0" w:line="211" w:lineRule="exact"/>
        <w:rPr>
          <w:sz w:val="20"/>
          <w:szCs w:val="20"/>
          <w:color w:val="auto"/>
        </w:rPr>
      </w:pPr>
    </w:p>
    <w:p>
      <w:pPr>
        <w:jc w:val="both"/>
        <w:ind w:left="80" w:firstLine="648"/>
        <w:spacing w:after="0" w:line="257" w:lineRule="auto"/>
        <w:rPr>
          <w:sz w:val="20"/>
          <w:szCs w:val="20"/>
          <w:color w:val="auto"/>
        </w:rPr>
      </w:pPr>
      <w:r>
        <w:rPr>
          <w:rFonts w:ascii="Arial" w:cs="Arial" w:eastAsia="Arial" w:hAnsi="Arial"/>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5" w:lineRule="exact"/>
        <w:rPr>
          <w:sz w:val="20"/>
          <w:szCs w:val="20"/>
          <w:color w:val="auto"/>
        </w:rPr>
      </w:pPr>
    </w:p>
    <w:p>
      <w:pPr>
        <w:jc w:val="both"/>
        <w:ind w:left="80" w:firstLine="648"/>
        <w:spacing w:after="0" w:line="277"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Outstanding Equity Incentive Awards at Fiscal Year-End</w:t>
      </w:r>
    </w:p>
    <w:p>
      <w:pPr>
        <w:spacing w:after="0" w:line="225" w:lineRule="exact"/>
        <w:rPr>
          <w:sz w:val="20"/>
          <w:szCs w:val="20"/>
          <w:color w:val="auto"/>
        </w:rPr>
      </w:pPr>
    </w:p>
    <w:p>
      <w:pPr>
        <w:jc w:val="both"/>
        <w:ind w:left="80" w:firstLine="648"/>
        <w:spacing w:after="0" w:line="276" w:lineRule="auto"/>
        <w:rPr>
          <w:sz w:val="20"/>
          <w:szCs w:val="20"/>
          <w:color w:val="auto"/>
        </w:rPr>
      </w:pPr>
      <w:r>
        <w:rPr>
          <w:rFonts w:ascii="Arial" w:cs="Arial" w:eastAsia="Arial" w:hAnsi="Arial"/>
          <w:sz w:val="17"/>
          <w:szCs w:val="17"/>
          <w:color w:val="auto"/>
        </w:rPr>
        <w:t>We have adopted a 2017 Equity Incentive Plan (the “Plan”).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The Company granted an aggregate of 671,469 restricted shares (“RSUs”) to key employees and directors under the Plan on July 12, 2018. No grants were made in fiscal 2018. The following is a summary of the Plan and is qualified by the full text of the Plan.</w:t>
      </w:r>
    </w:p>
    <w:p>
      <w:pPr>
        <w:spacing w:after="0" w:line="173" w:lineRule="exact"/>
        <w:rPr>
          <w:sz w:val="20"/>
          <w:szCs w:val="20"/>
          <w:color w:val="auto"/>
        </w:rPr>
      </w:pPr>
    </w:p>
    <w:p>
      <w:pPr>
        <w:jc w:val="both"/>
        <w:ind w:left="80"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Plan as the “Committee”).</w:t>
      </w:r>
    </w:p>
    <w:p>
      <w:pPr>
        <w:spacing w:after="0" w:line="170" w:lineRule="exact"/>
        <w:rPr>
          <w:sz w:val="20"/>
          <w:szCs w:val="20"/>
          <w:color w:val="auto"/>
        </w:rPr>
      </w:pPr>
    </w:p>
    <w:p>
      <w:pPr>
        <w:jc w:val="both"/>
        <w:ind w:left="80" w:firstLine="648"/>
        <w:spacing w:after="0" w:line="270" w:lineRule="auto"/>
        <w:rPr>
          <w:sz w:val="20"/>
          <w:szCs w:val="20"/>
          <w:color w:val="auto"/>
        </w:rPr>
      </w:pPr>
      <w:r>
        <w:rPr>
          <w:rFonts w:ascii="Arial" w:cs="Arial" w:eastAsia="Arial" w:hAnsi="Arial"/>
          <w:sz w:val="17"/>
          <w:szCs w:val="17"/>
          <w:i w:val="1"/>
          <w:iCs w:val="1"/>
          <w:color w:val="auto"/>
        </w:rPr>
        <w:t>Number of Shares of Common Shares</w:t>
      </w:r>
      <w:r>
        <w:rPr>
          <w:rFonts w:ascii="Arial" w:cs="Arial" w:eastAsia="Arial" w:hAnsi="Arial"/>
          <w:sz w:val="17"/>
          <w:szCs w:val="17"/>
          <w:color w:val="auto"/>
        </w:rPr>
        <w:t>. The number of common shares that may be issued under the Plan is 2,210,000. Shares issuable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may be authorized but unissued shares or treasury shares. If there is a lapse, forfeiture, expiration, termination or cancellation of any award made under the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Plan may be transferred, except by will, the laws of descent and distribution.</w:t>
      </w: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500"/>
          </w:cols>
          <w:pgMar w:left="160" w:top="226"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All key employees and directors of the Company are eligible to receive awards under the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Plan.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Committee has the discretion to grant non-qualified stock options or incentive stock options to participants and to set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Amendment of Award Agreements; Amendment and Termination of the Plan; Term of the Plan</w:t>
      </w:r>
      <w:r>
        <w:rPr>
          <w:rFonts w:ascii="Arial" w:cs="Arial" w:eastAsia="Arial" w:hAnsi="Arial"/>
          <w:sz w:val="17"/>
          <w:szCs w:val="17"/>
          <w:color w:val="auto"/>
        </w:rPr>
        <w:t>. The Committee may amend any award agreement at</w:t>
      </w:r>
      <w:r>
        <w:rPr>
          <w:rFonts w:ascii="Arial" w:cs="Arial" w:eastAsia="Arial" w:hAnsi="Arial"/>
          <w:sz w:val="17"/>
          <w:szCs w:val="17"/>
          <w:i w:val="1"/>
          <w:iCs w:val="1"/>
          <w:color w:val="auto"/>
        </w:rPr>
        <w:t xml:space="preserve"> </w:t>
      </w:r>
      <w:r>
        <w:rPr>
          <w:rFonts w:ascii="Arial" w:cs="Arial" w:eastAsia="Arial" w:hAnsi="Arial"/>
          <w:sz w:val="17"/>
          <w:szCs w:val="17"/>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Plan on or after the tenth anniversary of the effective date of the Plan.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12, 2018, the Board of Directors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Xiao Feng Yang Employment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Tian van Acken Employment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Tian van Acken pursuant to which she agreed to serve as our Chief Financial Officer. The agreement provides for an annual base salary of RMB144,000 and HK$558,000 (a total of approximately USD93,010) payable in accordance with the Company’s ordinary payroll practices. Under the terms of the agreement, commencing with the year ended June 30, 2018, Ms. van Acken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Tian van Acken shall be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w:t>
      </w:r>
    </w:p>
    <w:p>
      <w:pPr>
        <w:spacing w:after="0" w:line="184"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issues” status.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plays a significant role in our risk oversight. The board makes all relevant Company decisions. As such, it is important for us to have our Chief Executive Officer serve on the board as he plays key roles in the risk oversight or the Company. As a smaller reporting company with a small board of directors, we believe it is appropriate to have the involvement and input of all of our directors in risk oversight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Kathryn Amooi, Kewei Huang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Committees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5"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consists of Kathryn Amooi, Kewei Huang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5" w:lineRule="exact"/>
        <w:rPr>
          <w:sz w:val="20"/>
          <w:szCs w:val="20"/>
          <w:color w:val="auto"/>
        </w:rPr>
      </w:pPr>
    </w:p>
    <w:p>
      <w:pPr>
        <w:ind w:left="980" w:right="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Compensation Committee consists of Kathryn Amooi, Kewei Huang and Jin He Shao, with Mr. Huang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Nominating Committee consists of consists of Kathryn Amooi, Kewei Huang and Jin He Shao, with Ms. Amooi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spacing w:after="0" w:line="187"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authorizing the payment of donations to religious, charitable, public or other bodies, clubs, funds or associations as deemed advisable;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4" w:name="page85"/>
    <w:bookmarkEnd w:id="8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13,813,821 common shares outstanding as of</w:t>
      </w:r>
    </w:p>
    <w:p>
      <w:pPr>
        <w:spacing w:after="0" w:line="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September 18, 2018. Unless otherwise indicated, the address of each beneficial owner listed in the table below is c/o CLPS Incorporation, c/o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Building 18, Shanghai Pudong Software Park, 498 Guoshoujing Road, Pudong, Shanghai 201203, People’s Republic of China.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Common</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Ownership%</w:t>
            </w:r>
          </w:p>
        </w:tc>
        <w:tc>
          <w:tcPr>
            <w:tcW w:w="0" w:type="dxa"/>
            <w:vAlign w:val="bottom"/>
          </w:tcPr>
          <w:p>
            <w:pPr>
              <w:spacing w:after="0"/>
              <w:rPr>
                <w:sz w:val="1"/>
                <w:szCs w:val="1"/>
                <w:color w:val="auto"/>
              </w:rPr>
            </w:pPr>
          </w:p>
        </w:tc>
      </w:tr>
      <w:tr>
        <w:trPr>
          <w:trHeight w:val="241"/>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 Feng Yang (2)(7)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5,047,607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Raymond Ming Hui Lin (3)(6)(7)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5,073,604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 (4)(6)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73,607</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Jin He Shao (5)(7)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Kewei Huang (5)(7)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Kathryn Amooi (5)(7)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(6 persons)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10,197,818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Qinrui Ltd. (2)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4,974,000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Qinhui Ltd. (3)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4,999,996</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10,121,211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76"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line="25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jc w:val="both"/>
        <w:ind w:left="340" w:hanging="332"/>
        <w:spacing w:after="0" w:line="281"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2" w:lineRule="exact"/>
        <w:rPr>
          <w:rFonts w:ascii="Arial" w:cs="Arial" w:eastAsia="Arial" w:hAnsi="Arial"/>
          <w:sz w:val="16"/>
          <w:szCs w:val="16"/>
          <w:color w:val="auto"/>
        </w:rPr>
      </w:pPr>
    </w:p>
    <w:p>
      <w:pPr>
        <w:ind w:left="340" w:hanging="332"/>
        <w:spacing w:after="0" w:line="265"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ind w:left="340" w:hanging="332"/>
        <w:spacing w:after="0" w:line="25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w:t>
      </w: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September 18, 2018, there were 27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154"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ended June 30, 2018 and 2017,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r>
              <w:rPr>
                <w:rFonts w:ascii="Arial" w:cs="Arial" w:eastAsia="Arial" w:hAnsi="Arial"/>
                <w:sz w:val="18"/>
                <w:szCs w:val="18"/>
                <w:b w:val="1"/>
                <w:bCs w:val="1"/>
                <w:color w:val="auto"/>
              </w:rPr>
              <w:t>Other related party transactions: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20" w:type="dxa"/>
            <w:vAlign w:val="bottom"/>
          </w:tcPr>
          <w:p>
            <w:pPr>
              <w:ind w:left="660"/>
              <w:spacing w:after="0"/>
              <w:rPr>
                <w:sz w:val="20"/>
                <w:szCs w:val="20"/>
                <w:color w:val="auto"/>
              </w:rPr>
            </w:pPr>
            <w:r>
              <w:rPr>
                <w:rFonts w:ascii="Arial" w:cs="Arial" w:eastAsia="Arial" w:hAnsi="Arial"/>
                <w:sz w:val="18"/>
                <w:szCs w:val="18"/>
                <w:color w:val="auto"/>
              </w:rPr>
              <w:t>The balances due to and due from related parties were as follows: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96"/>
              </w:rPr>
              <w:t>Non-controlling shareholder of CLPS Beijing before acquisition of the remaining 30% equity on June 27, 2018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Non-controlling interest shareholder of Judge China</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131,321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vMerge w:val="continue"/>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Due to related parties</w:t>
            </w: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8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8"/>
                <w:szCs w:val="18"/>
                <w:color w:val="auto"/>
              </w:rPr>
              <w:t>Non-controlling shareholder of JQ</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45,615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 Raymond Ming Hui Lin, CEO of the Company (i)</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162,727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20" w:type="dxa"/>
            <w:vAlign w:val="bottom"/>
            <w:vMerge w:val="continue"/>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208,342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1,729,791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bonus, dividends, wages and other benefit to the Company’s CEO.</w:t>
      </w:r>
    </w:p>
    <w:p>
      <w:pPr>
        <w:spacing w:after="0" w:line="225" w:lineRule="exact"/>
        <w:rPr>
          <w:rFonts w:ascii="Arial" w:cs="Arial" w:eastAsia="Arial" w:hAnsi="Arial"/>
          <w:sz w:val="18"/>
          <w:szCs w:val="18"/>
          <w:color w:val="auto"/>
        </w:rPr>
      </w:pPr>
    </w:p>
    <w:p>
      <w:pPr>
        <w:jc w:val="both"/>
        <w:ind w:left="340"/>
        <w:spacing w:after="0" w:line="297" w:lineRule="auto"/>
        <w:rPr>
          <w:rFonts w:ascii="Arial" w:cs="Arial" w:eastAsia="Arial" w:hAnsi="Arial"/>
          <w:sz w:val="18"/>
          <w:szCs w:val="18"/>
          <w:color w:val="auto"/>
        </w:rPr>
      </w:pPr>
      <w:r>
        <w:rPr>
          <w:rFonts w:ascii="Arial" w:cs="Arial" w:eastAsia="Arial" w:hAnsi="Arial"/>
          <w:sz w:val="16"/>
          <w:szCs w:val="16"/>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terms are five years each starting on December 9, 2017. Mr. Xiao Feng Yang, Mr. Raymond Ming Hui Lin and Ms. Tian van Acken’s basic annual compensation was approximately $94,100, $71,400 and $93,010, respectively, with annual bonuses to be determined based on the sole direction of the Compensation Committee of the Board of Directors in accordance with criteria established by the Compensation Committee of the Board.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May 17, 2017, the Company entered into a revolving credit facility with China Merchants Bank (“CMB Credit Facility”) which permits the Company to borrow up to approximately $753,100 (RMB 5,000,000) during the period from May 17, 2017 to May 16, 2018. The CMB Credit Facility is guaranteed by the CEO and Chairman and President of the Company as joint guarantors. In September, 2017, the Company borrowed the full credit amount (RMB 5,000,000) and the loans were repaid by May 2018. The credit facility was renewed on June 22, 2018, and the credit line was up to $1,543,115 (RMB 10,000,000).</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January 3, 2018, the Company entered into an additional credit facility with China Merchants Bank which permits the Company to borrow up to $1,111,712 (RMB 7,000,000). The Company borrowed $1,111,712 (RMB 7,000,000) with an interest rate at 5.655% per annum on February 9, 2018 and repaid the loan on July 2, 2018.</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fiscal 2018, the Company borrowed $4,152,377 (RMB 27,000,000) from CMB Credit Facility. As of June 30, 2018, the Company had a balance of $1,813,483 (RMB 12,000,000) with China Merchants Bank. These loans were repaid in July and August 2018 respectively.</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June 22, 2018, the Company entered into a revolving credit facility with China Merchants Bank (“CMB Credit Facility”) which permits the Company to borrow up to approximately $1,543,115 (RMB 10,000,000) during the period from July 11, 2018 to July 10, 2019. The CMB Credit Facility is guaranteed by the CEO, the wife of the CEO, Chairman, and the wife of the Chairman of the Company and Shanghai Small and Medium-sized Enterprises Policy Financing Guarantee Fund Management Centre as joint guarantors.</w:t>
      </w:r>
    </w:p>
    <w:p>
      <w:pPr>
        <w:spacing w:after="0" w:line="183"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18 for our audited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holders of shares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74"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sets forth, for the calendar quarters indicated and through June 30, 2018, the quarterly high and low sale prices for our shares, as reported on NASDAQ Stock Market. The closing price for the Company’s securities on September 20, 2018 was $13.18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b w:val="1"/>
                <w:bCs w:val="1"/>
                <w:color w:val="auto"/>
              </w:rPr>
              <w:t>Monthly Highs and Lows</w:t>
            </w:r>
          </w:p>
        </w:tc>
        <w:tc>
          <w:tcPr>
            <w:tcW w:w="3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June 2018</w:t>
            </w:r>
          </w:p>
        </w:tc>
        <w:tc>
          <w:tcPr>
            <w:tcW w:w="3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July 2018</w:t>
            </w:r>
          </w:p>
        </w:tc>
        <w:tc>
          <w:tcPr>
            <w:tcW w:w="3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August 2018</w:t>
            </w:r>
          </w:p>
        </w:tc>
        <w:tc>
          <w:tcPr>
            <w:tcW w:w="3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bl>
    <w:p>
      <w:pPr>
        <w:spacing w:after="0" w:line="198"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shares have been listed on the NASDAQ Stock Market under the symbols CLPS since May 24, 2018 following the completion of our initial public offering.</w:t>
      </w:r>
    </w:p>
    <w:p>
      <w:pPr>
        <w:spacing w:after="0" w:line="166"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10.B of Form 20-F is included in the section titled “Description of Share Capital” in our Registration Statement on Form F-1 initially filed with the SEC on March 27, 2018, and subsequently updated (File No.: 333-223956), which section is incorporated herein by reference.</w:t>
      </w:r>
    </w:p>
    <w:p>
      <w:pPr>
        <w:spacing w:after="0" w:line="177"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10.B of Form 20-F is included in the sections titled “Our Business,” “Directors and Executive Officers,” “Related Party Transactions,” and “Underwriting” in in our Registration Statement on Form F-1 initially filed with the SEC on March 27, 2018, and subsequently updated (File No.: 333-223956), which section is incorporated herein by reference.</w:t>
      </w:r>
    </w:p>
    <w:p>
      <w:pPr>
        <w:spacing w:after="0" w:line="177"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Cayman Islands law, there are currently no restrictions on the export or import of capital, including foreign exchange controls or restrictions that affect the remittance of dividends, interest or other payments to nonresident holders of our shares.</w:t>
      </w:r>
    </w:p>
    <w:p>
      <w:pPr>
        <w:sectPr>
          <w:pgSz w:w="11900" w:h="16838" w:orient="portrait"/>
          <w:cols w:equalWidth="0" w:num="1">
            <w:col w:w="11420"/>
          </w:cols>
          <w:pgMar w:left="240" w:top="226" w:right="23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8" w:name="page89"/>
    <w:bookmarkEnd w:id="8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81"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7"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3"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980" w:hanging="324"/>
        <w:spacing w:after="0" w:line="342"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183"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b w:val="1"/>
          <w:bCs w:val="1"/>
          <w:color w:val="010000"/>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010000"/>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b w:val="1"/>
          <w:bCs w:val="1"/>
          <w:color w:val="010000"/>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Documents concerning us that are referred to in this document may be inspected at c/o 2nd Floor, Building 18, Shanghai Pudong Software Park, 498 Guoshoujing Road, Pudong, Shanghai 201203, People’s Republic of China.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spacing w:after="0" w:line="174"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010000"/>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11.</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2.0% in fiscal year 2017 and appreciated by 2.4 in fiscal 2018.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5" w:name="page96"/>
    <w:bookmarkEnd w:id="9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13.</w:t>
      </w:r>
      <w:r>
        <w:rPr>
          <w:sz w:val="20"/>
          <w:szCs w:val="20"/>
          <w:color w:val="auto"/>
        </w:rPr>
        <w:tab/>
      </w:r>
      <w:r>
        <w:rPr>
          <w:rFonts w:ascii="Arial" w:cs="Arial" w:eastAsia="Arial" w:hAnsi="Arial"/>
          <w:sz w:val="18"/>
          <w:szCs w:val="18"/>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default of any indebtedness nor is there any arrearage in the payment of dividends.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15.</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performed an evaluation of the effectiveness of the design and operation of our disclosure controls and procedures as of June 30, 2018. Based on that evaluation, management, including our Chief Executive Officer and Chief Financial Officer, has concluded that our disclosure controls and procedures as of June 30, 2018 were not effective as discussed below. Accordingly, our management cannot provide reasonable assurance of achieving the desired control objectives. We are in the process of reviewing and, where necessary, modifying controls and procedures throughout the Company.</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reports that we file or submit under the Exchange Act (i) is recorded, processed, summarized and reported within the time periods specified in Securities and Exchange Commission rules and forms and (ii) is accumulated and communicated to our management, including our CEO and CFO, as appropriate to allow timely decisions regarding required disclosure.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and Exchange Act of 1934. Our internal control over financial reporting is a process designed by, or under the supervision of, our Chief Executive Officer and Chief Financial Officer and effected by our management and other personnel to provide reasonable assurance regarding the reliability of our financial reporting and the preparation of our financial statements for external reporting purposes in accordance with accounting principles generally accepted in the United States of America. Internal control over financial reporting includes policies and procedures that pertain to the maintenance of records that in reasonable detail accurately reflect the transactions and dispositions of our assets; provide reasonable assurance that transactions are recorded as necessary to permit preparation of our financial statements in accordance with accounting principles generally accepted in the United States of America.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 Also, projections of any evaluation of effectiveness to future periods are subject to the risk that controls may become inadequate because of changes in conditions, or that the degree of compliance with our policies and procedures may deteriorate.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our audited financial statements for the year ended June 30, 2018, our independent registered public accounting firm identified material weaknesses in the design and operation of our internal controls. As defined in the standards established by the Public Company Accounting Oversight Board of the United States,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previously disclosed, the specific material weakness related to the Company’s lack of controls and procedures in place to monitor, capture, report and disclose certain subsequent events. In order to address the matter as it was identified, we immediately designated a “point” person within the Company’s accounting and finance reporting structure to whom all information relating to material transactions after the balance sheet closing date was and continues to be reported to ensure that such information is then properly and timely disclosed in the Company’s financial statements. We determined that the Company needed to continue to strengthen its accounting staff and to enhance its internal controls function, which monitoring and remedial steps will be carried out by the Company during our fiscal year 2019.</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management conducted an evaluation of the effectiveness of our internal control over financial reporting based on the criteria established in Internal Control</w:t>
      </w:r>
    </w:p>
    <w:p>
      <w:pPr>
        <w:ind w:right="20"/>
        <w:spacing w:after="0" w:line="261" w:lineRule="auto"/>
        <w:rPr>
          <w:sz w:val="20"/>
          <w:szCs w:val="20"/>
          <w:color w:val="auto"/>
        </w:rPr>
      </w:pPr>
      <w:r>
        <w:rPr>
          <w:rFonts w:ascii="Arial" w:cs="Arial" w:eastAsia="Arial" w:hAnsi="Arial"/>
          <w:sz w:val="18"/>
          <w:szCs w:val="18"/>
          <w:color w:val="auto"/>
        </w:rPr>
        <w:t>— Integrated Framework issued by the Committee of Sponsoring Organizations of the Treadway Commission. Management has concluded that our internal control over financial reporting was not effective as of June 30, 2018.</w:t>
      </w:r>
    </w:p>
    <w:p>
      <w:pPr>
        <w:sectPr>
          <w:pgSz w:w="11900" w:h="16838" w:orient="portrait"/>
          <w:cols w:equalWidth="0" w:num="1">
            <w:col w:w="11420"/>
          </w:cols>
          <w:pgMar w:left="240" w:top="226" w:right="23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6" w:name="page97"/>
    <w:bookmarkEnd w:id="9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 We cannot be certain that these measures will successfully remediate the material weakness or that other material weaknesses will not be discovered in the future. If our efforts are not successful or other material weaknesses or control deficiencies occur in the future, we may be unable to report our financial results accurately on a timely basis or help prevent fraud, which could cause our reported financial results to be materially misstated and result in the loss of investor confidence or delisting and cause the market price of our common stock to decline. In addition, it could in turn limit our access to capital markets, harm our results of operations, and lead to a decline in the trading price of our securities.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Because of our status as an emerging growth company, you will not be able to depend on any attestation from our independent registered public accountants as to our internal control over financial reporting for the foreseeable future.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Except as discussed above, during the year ended June 30, 2018, there were no changes in the company’s internal control over financial reporting that have materially affected, or are reasonably likely to materially affect our company’s internal control over financial reporting. It should be noted that while our management believes that our disclosure controls and procedures provide a reasonable level of assurance; our management does not expect that our disclosure controls and procedures or internal financial controls will prevent all errors or fraud. A control system, no matter how well conceived or operated, can provide only reasonable, not absolute, assurance that the objectives of the control system are met.</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determined that Jin He Shao is an audit committee financial expert as that term is defined in Item 16A(b) of Form 20-F, and “independent” as that term is defined in the NASDAQ listing standards.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16B.</w:t>
      </w:r>
      <w:r>
        <w:rPr>
          <w:sz w:val="20"/>
          <w:szCs w:val="20"/>
          <w:color w:val="auto"/>
        </w:rPr>
        <w:tab/>
      </w:r>
      <w:r>
        <w:rPr>
          <w:rFonts w:ascii="Arial" w:cs="Arial" w:eastAsia="Arial" w:hAnsi="Arial"/>
          <w:sz w:val="17"/>
          <w:szCs w:val="17"/>
          <w:b w:val="1"/>
          <w:bCs w:val="1"/>
          <w:color w:val="auto"/>
        </w:rPr>
        <w:t>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approximate aggregate fees for services rendered by Friedman LLP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4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USD’000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USD’000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USD’000</w:t>
            </w:r>
          </w:p>
        </w:tc>
        <w:tc>
          <w:tcPr>
            <w:tcW w:w="100" w:type="dxa"/>
            <w:vAlign w:val="bottom"/>
            <w:tcBorders>
              <w:bottom w:val="single" w:sz="8" w:color="CCEEFF"/>
            </w:tcBorders>
          </w:tcPr>
          <w:p>
            <w:pPr>
              <w:spacing w:after="0"/>
              <w:rPr>
                <w:sz w:val="19"/>
                <w:szCs w:val="1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Audit Related Fees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All Other Fees</w:t>
            </w:r>
          </w:p>
        </w:tc>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Fees</w:t>
            </w:r>
          </w:p>
        </w:tc>
        <w:tc>
          <w:tcPr>
            <w:tcW w:w="3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295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evaluated and approved in advance the scope and cost of the engagement of an auditor before the auditor rendered its audit and non-audit services.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7" w:name="page98"/>
    <w:bookmarkEnd w:id="9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purchase of our securities were made by us or our affiliates in 2018.</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16F.</w:t>
      </w:r>
      <w:r>
        <w:rPr>
          <w:sz w:val="20"/>
          <w:szCs w:val="20"/>
          <w:color w:val="auto"/>
        </w:rPr>
        <w:tab/>
      </w:r>
      <w:r>
        <w:rPr>
          <w:rFonts w:ascii="Arial" w:cs="Arial" w:eastAsia="Arial" w:hAnsi="Arial"/>
          <w:sz w:val="18"/>
          <w:szCs w:val="18"/>
          <w:b w:val="1"/>
          <w:bCs w:val="1"/>
          <w:color w:val="auto"/>
        </w:rPr>
        <w:t>CHANGES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16G.</w:t>
      </w:r>
      <w:r>
        <w:rPr>
          <w:sz w:val="20"/>
          <w:szCs w:val="20"/>
          <w:color w:val="auto"/>
        </w:rPr>
        <w:tab/>
      </w:r>
      <w:r>
        <w:rPr>
          <w:rFonts w:ascii="Arial" w:cs="Arial" w:eastAsia="Arial" w:hAnsi="Arial"/>
          <w:sz w:val="17"/>
          <w:szCs w:val="17"/>
          <w:b w:val="1"/>
          <w:bCs w:val="1"/>
          <w:color w:val="auto"/>
        </w:rPr>
        <w:t>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010000"/>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are filed as part of this Annual Report beginning on page F-1.</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right"/>
        <w:ind w:right="2199"/>
        <w:spacing w:after="0"/>
        <w:rPr>
          <w:sz w:val="20"/>
          <w:szCs w:val="20"/>
          <w:color w:val="auto"/>
        </w:rPr>
      </w:pPr>
      <w:r>
        <w:rPr>
          <w:rFonts w:ascii="Arial" w:cs="Arial" w:eastAsia="Arial" w:hAnsi="Arial"/>
          <w:sz w:val="18"/>
          <w:szCs w:val="18"/>
          <w:b w:val="1"/>
          <w:bCs w:val="1"/>
          <w:color w:val="auto"/>
        </w:rPr>
        <w:t>FOR THE YEARS ENDED JUNE 30, 2018,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2"/>
          </w:tcPr>
          <w:p>
            <w:pPr>
              <w:jc w:val="center"/>
              <w:ind w:right="4570"/>
              <w:spacing w:after="0"/>
              <w:rPr>
                <w:sz w:val="20"/>
                <w:szCs w:val="20"/>
                <w:color w:val="auto"/>
              </w:rPr>
            </w:pPr>
            <w:r>
              <w:rPr>
                <w:rFonts w:ascii="Arial" w:cs="Arial" w:eastAsia="Arial" w:hAnsi="Arial"/>
                <w:sz w:val="18"/>
                <w:szCs w:val="18"/>
                <w:b w:val="1"/>
                <w:bCs w:val="1"/>
                <w:color w:val="auto"/>
                <w:w w:val="99"/>
              </w:rPr>
              <w:t>CLPS INCORPORATION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2"/>
          </w:tcPr>
          <w:p>
            <w:pPr>
              <w:jc w:val="center"/>
              <w:ind w:right="4570"/>
              <w:spacing w:after="0"/>
              <w:rPr>
                <w:sz w:val="20"/>
                <w:szCs w:val="20"/>
                <w:color w:val="auto"/>
              </w:rPr>
            </w:pPr>
            <w:r>
              <w:rPr>
                <w:rFonts w:ascii="Arial" w:cs="Arial" w:eastAsia="Arial" w:hAnsi="Arial"/>
                <w:sz w:val="18"/>
                <w:szCs w:val="18"/>
                <w:color w:val="auto"/>
                <w:w w:val="95"/>
              </w:rPr>
              <w:t>TABLE OF CONTENTS</w:t>
            </w:r>
          </w:p>
        </w:tc>
        <w:tc>
          <w:tcPr>
            <w:tcW w:w="0" w:type="dxa"/>
            <w:vAlign w:val="bottom"/>
          </w:tcPr>
          <w:p>
            <w:pPr>
              <w:spacing w:after="0"/>
              <w:rPr>
                <w:sz w:val="1"/>
                <w:szCs w:val="1"/>
                <w:color w:val="auto"/>
              </w:rPr>
            </w:pPr>
          </w:p>
        </w:tc>
      </w:tr>
      <w:tr>
        <w:trPr>
          <w:trHeight w:val="439"/>
        </w:trPr>
        <w:tc>
          <w:tcPr>
            <w:tcW w:w="46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7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3"/>
        </w:trPr>
        <w:tc>
          <w:tcPr>
            <w:tcW w:w="4660" w:type="dxa"/>
            <w:vAlign w:val="bottom"/>
            <w:gridSpan w:val="8"/>
            <w:vMerge w:val="continue"/>
          </w:tcPr>
          <w:p>
            <w:pPr>
              <w:spacing w:after="0"/>
              <w:rPr>
                <w:sz w:val="17"/>
                <w:szCs w:val="17"/>
                <w:color w:val="auto"/>
              </w:rPr>
            </w:pPr>
          </w:p>
        </w:tc>
        <w:tc>
          <w:tcPr>
            <w:tcW w:w="5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7"/>
            <w:shd w:val="clear" w:color="auto" w:fill="CCEEFF"/>
          </w:tcPr>
          <w:p>
            <w:pPr>
              <w:spacing w:after="0" w:line="189" w:lineRule="exact"/>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57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Balance Sheets</w:t>
              </w:r>
            </w:hyperlink>
          </w:p>
        </w:tc>
        <w:tc>
          <w:tcPr>
            <w:tcW w:w="440" w:type="dxa"/>
            <w:vAlign w:val="bottom"/>
            <w:tcBorders>
              <w:top w:val="single" w:sz="8" w:color="CCEEFF"/>
            </w:tcBorders>
            <w:gridSpan w:val="3"/>
          </w:tcPr>
          <w:p>
            <w:pPr>
              <w:spacing w:after="0"/>
              <w:rPr>
                <w:sz w:val="15"/>
                <w:szCs w:val="15"/>
                <w:color w:val="auto"/>
              </w:rPr>
            </w:pPr>
          </w:p>
        </w:tc>
        <w:tc>
          <w:tcPr>
            <w:tcW w:w="57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Consolidated Statements of Income and Comprehensive Income</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7"/>
          </w:tcPr>
          <w:p>
            <w:pPr>
              <w:spacing w:after="0" w:line="17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Consolidated Statements of Changes in Shareholders’ Equity</w:t>
              </w:r>
            </w:hyperlink>
          </w:p>
        </w:tc>
        <w:tc>
          <w:tcPr>
            <w:tcW w:w="574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Consolidated Statements of Cash Flows</w:t>
              </w:r>
            </w:hyperlink>
          </w:p>
        </w:tc>
        <w:tc>
          <w:tcPr>
            <w:tcW w:w="1780" w:type="dxa"/>
            <w:vAlign w:val="bottom"/>
            <w:tcBorders>
              <w:bottom w:val="single" w:sz="8" w:color="CCEEFF"/>
            </w:tcBorders>
            <w:gridSpan w:val="5"/>
            <w:shd w:val="clear" w:color="auto" w:fill="CCEEFF"/>
          </w:tcPr>
          <w:p>
            <w:pPr>
              <w:spacing w:after="0"/>
              <w:rPr>
                <w:sz w:val="17"/>
                <w:szCs w:val="17"/>
                <w:color w:val="auto"/>
              </w:rPr>
            </w:pPr>
          </w:p>
        </w:tc>
        <w:tc>
          <w:tcPr>
            <w:tcW w:w="57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7"/>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Notes to Consolidated Financial Statements</w:t>
              </w:r>
            </w:hyperlink>
          </w:p>
        </w:tc>
        <w:tc>
          <w:tcPr>
            <w:tcW w:w="574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2"/>
              </w:rPr>
              <w:t>F-8 - F-35</w:t>
            </w: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2"/>
          </w:tcPr>
          <w:p>
            <w:pPr>
              <w:jc w:val="center"/>
              <w:ind w:right="455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3155950" cy="4972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559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CLPS Incorporation and Subsidiaries (collectively, the “Company”) as of June 30, 2018 and 2017, and the related consolidated statements of income and comprehensive income, changes in shareholders’ equity and cash flows for each of the years in the three-year period ended June 30, 2018, and the related notes (collectively referred to as the financial statements). In our opinion, the consolidated financial statements referred to above present fairly, in all material respects, the financial position of CLPS Incorporation and Subsidiaries as of June 30, 2018 and 2017, and the results of their operations and their cash flows for each of the years in the three-year period ended June 30, 2018,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9,742,886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16,267,835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6,644,774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underwriter on the over-allotment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1,472,592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1,231,217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206,361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Amount due from related parties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131,321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29,052,212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12,325,296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260,059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Escrow receivable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Long-term investment – equity method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142,590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 – cost method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512,097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298,953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30,944,911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13,521,923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loans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2,553,989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1,454,770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904,850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125,080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200,836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7,341,688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5,392,434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208,342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12,789,555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8,210,625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share, $0.0001 par value; 100,000,000 shares authorized; 13,590,000 shares issued and outstanding as of June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30, 2018 and 11,290,000 shares issued and outstanding as of June 30, 2017*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17,285,543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7,120,943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Statuary reserves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(524,618)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(2,521,285)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(401,677)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17,479,074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676,282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18,155,356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30,944,911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13,521,923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2" w:name="page103"/>
    <w:bookmarkEnd w:id="10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48,938,593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31,361,976</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29,024,178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(31,277,255)</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7"/>
              </w:rPr>
              <w:t>(18,669,812)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(17,463,416)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2,225,702</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1,206,493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7,837,873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4,232,788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5,579,058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5,871,622</w:t>
            </w: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5,647,790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4,955,037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15,935,197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1,726,141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960,784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508,187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1,446,408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(84,155)</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2,602,770</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2,102,811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2,054,124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(112,128)</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2,714,898</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173,912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2,434,463</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2,047,445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1,826,112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(93,177)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foreign currency translation gain (loss) attributable to Non-controlling interest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comprehensive gain (loss) attributable to CLPS Incorporation’s shareholders</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14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(385,629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2,480,056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1,952,536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1,440,483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175,644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2,770,691</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2,128,180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1,397,871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11,517,123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11,636,367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2018,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226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Common Share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226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Statutory</w:t>
            </w:r>
          </w:p>
        </w:tc>
        <w:tc>
          <w:tcPr>
            <w:tcW w:w="4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Income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controlling</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11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Surplus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Deficit)</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(Loss)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interest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Balance at July 1, 2015</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2,696,377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540,967</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2,639,885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5,913,141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Shareholder’s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contribution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3,377,813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3,377,813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Recapitalization of</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Shanghai CLPS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1,051,952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(551,684)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(500,268)</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Non-controlling</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contribution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46,919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Non-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(5,199)</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Dividends declared</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(6,521,233)</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(6,521,233)</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for the year</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1,826,112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Appropriation of</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statutory reserve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429,439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(429,439)</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(385,629)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(1,471)</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at June 30,</w:t>
            </w: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2016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11,290,000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1,129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7,120,943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418,722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(2,984,943)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(352,361)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4,034</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4,207,524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Non-controlling</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interest through</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290,994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290,994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(1,321,838)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(1,321,838)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4"/>
              </w:rPr>
              <w:t>Net income for the year</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2,047,445</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173,912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2,221,357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Appropriation of</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reserve</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261,949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(261,949)</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translation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7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(94,909)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(93,177)</w:t>
            </w:r>
          </w:p>
        </w:tc>
        <w:tc>
          <w:tcPr>
            <w:tcW w:w="0" w:type="dxa"/>
            <w:vAlign w:val="bottom"/>
          </w:tcPr>
          <w:p>
            <w:pPr>
              <w:spacing w:after="0"/>
              <w:rPr>
                <w:sz w:val="1"/>
                <w:szCs w:val="1"/>
                <w:color w:val="auto"/>
              </w:rPr>
            </w:pPr>
          </w:p>
        </w:tc>
      </w:tr>
      <w:tr>
        <w:trPr>
          <w:trHeight w:val="188"/>
        </w:trPr>
        <w:tc>
          <w:tcPr>
            <w:tcW w:w="1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7,120,943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680,671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line="271" w:lineRule="exact"/>
              <w:rPr>
                <w:sz w:val="20"/>
                <w:szCs w:val="20"/>
                <w:color w:val="auto"/>
              </w:rPr>
            </w:pPr>
            <w:r>
              <w:rPr>
                <w:rFonts w:ascii="Arial" w:cs="Arial" w:eastAsia="Arial" w:hAnsi="Arial"/>
                <w:sz w:val="16"/>
                <w:szCs w:val="16"/>
                <w:color w:val="auto"/>
              </w:rPr>
              <w:t>(2,521,285</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1360" w:type="dxa"/>
            <w:vAlign w:val="bottom"/>
            <w:gridSpan w:val="4"/>
            <w:shd w:val="clear" w:color="auto" w:fill="CCEEFF"/>
          </w:tcPr>
          <w:p>
            <w:pPr>
              <w:jc w:val="right"/>
              <w:spacing w:after="0" w:line="271" w:lineRule="exact"/>
              <w:rPr>
                <w:sz w:val="20"/>
                <w:szCs w:val="20"/>
                <w:color w:val="auto"/>
              </w:rPr>
            </w:pPr>
            <w:r>
              <w:rPr>
                <w:rFonts w:ascii="Arial" w:cs="Arial" w:eastAsia="Arial" w:hAnsi="Arial"/>
                <w:sz w:val="16"/>
                <w:szCs w:val="16"/>
                <w:color w:val="auto"/>
              </w:rPr>
              <w:t>(447,270</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477,110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5,311,298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78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Net Proceeds from</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w w:val="97"/>
              </w:rPr>
              <w:t>IPO, net of issuance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costs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9,549,319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9,549,519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 allotment,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issuance costs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1,472,562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1,472,592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IPO issuance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(362,925)</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(362,925)</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subsidiaries’ shares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from non-controlling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(494,356)</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(585,889)</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Public offering</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612,223</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612,223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issued in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connection with IPO</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(612,223)</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(612,223)</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NCI shareholder’s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contribution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for the year</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2,434,463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280,435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Appropriation of</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statutory reserve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437,796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(437,796)</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45,593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10,200</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at June 30,</w:t>
            </w: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780" w:type="dxa"/>
            <w:vAlign w:val="bottom"/>
          </w:tcPr>
          <w:p>
            <w:pPr>
              <w:ind w:left="180"/>
              <w:spacing w:after="0"/>
              <w:rPr>
                <w:sz w:val="20"/>
                <w:szCs w:val="20"/>
                <w:color w:val="auto"/>
              </w:rPr>
            </w:pPr>
            <w:r>
              <w:rPr>
                <w:rFonts w:ascii="Arial" w:cs="Arial" w:eastAsia="Arial" w:hAnsi="Arial"/>
                <w:sz w:val="18"/>
                <w:szCs w:val="18"/>
                <w:color w:val="auto"/>
              </w:rPr>
              <w:t>2018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13,590,000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17,285,543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1,118,467</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(524,618</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1360" w:type="dxa"/>
            <w:vAlign w:val="bottom"/>
            <w:gridSpan w:val="4"/>
          </w:tcPr>
          <w:p>
            <w:pPr>
              <w:jc w:val="right"/>
              <w:spacing w:after="0" w:line="271" w:lineRule="exact"/>
              <w:rPr>
                <w:sz w:val="20"/>
                <w:szCs w:val="20"/>
                <w:color w:val="auto"/>
              </w:rPr>
            </w:pPr>
            <w:r>
              <w:rPr>
                <w:rFonts w:ascii="Arial" w:cs="Arial" w:eastAsia="Arial" w:hAnsi="Arial"/>
                <w:sz w:val="16"/>
                <w:szCs w:val="16"/>
                <w:color w:val="auto"/>
              </w:rPr>
              <w:t>(401,677</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676,282</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18,155,356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w:t>
      </w:r>
    </w:p>
    <w:p>
      <w:pPr>
        <w:sectPr>
          <w:pgSz w:w="11900" w:h="16838" w:orient="portrait"/>
          <w:cols w:equalWidth="0" w:num="1">
            <w:col w:w="11420"/>
          </w:cols>
          <w:pgMar w:left="240" w:top="226" w:right="239" w:bottom="0" w:gutter="0" w:footer="0" w:header="0"/>
        </w:sectPr>
      </w:pPr>
    </w:p>
    <w:bookmarkStart w:id="104" w:name="page105"/>
    <w:bookmarkEnd w:id="104"/>
    <w:p>
      <w:pPr>
        <w:jc w:val="center"/>
        <w:ind w:right="7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5" w:name="page106"/>
    <w:bookmarkEnd w:id="10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2,714,898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2,221,357</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1,784,971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206,169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tax benefit</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(208,051)</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equity investment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96,904</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86,463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disposal of property and equipment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Changes in assets and liabilities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(9,753,685)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(2,410,155)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1,053,207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Prepayment, deposits and other assets</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(613,277)</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(357,761)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income tax</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(33,225)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payable and other current liabilities</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592,477</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52,574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251,627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219,672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11,945</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110,153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Salaries and benefits payable</w:t>
            </w: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1,848,890</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899,462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957,167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(4,772,610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4,462,268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(231,226)</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(62,518)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for business acquisition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(107,654)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acquired from acquisition</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266,856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 (acquisition) of long term investment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(153,792)</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44,061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(492,672</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(101,218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(374,348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short-term bank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5,659,536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Repayment of short-term bank loans</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(3,060,456)</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contribution by shareholders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2,135,673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 contributions from IPO and over-allotment, net</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11,022,111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Escrow receivable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Due from underwriter on the over-allotment</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(1,472,592)</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issuance cost of IPO</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(283,092)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Non-controlling interest shareholder’s contribution</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non-controlling 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from related parties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2,491,794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Amounts due to related parties</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(936,338)</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(102,754)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77,590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paid</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(612,988)</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(736,436)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(5,279,093)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10,103,240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(832,752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(378,837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90,360</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(153,002)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4,928,318</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(462,628)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3,481,312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4,814,568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5,277,196</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1,795,884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at the end of the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9,742,886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4,814,568</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5,277,196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 paid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325,609</w:t>
            </w: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335,143</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285,019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Cash paid for interest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 of Investing and Financing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payable included in due to related parties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585,402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Payable for business acquisition</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Payable for investment – cost method</w:t>
            </w: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151,539</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Dividend contributed to capital</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1,242,140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Capital contribution from non-controlling shareholders</w:t>
            </w: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Prepaid for issuance costs of IPO in the previous year</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26" w:right="239" w:bottom="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and President, together with Mr. Raymond Ming Hui Lin, the Company’s Chief Executive Officer (“CEO”) are the controlling shareholders of the Company (the “controlling shareholder”).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and President, together with Mr. Raymond Ming Hui Lin, the Company’s Chief Executive Officer (“CEO”) are the controlling shareholders of the Company (the “Controlling shareholders”).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reorganization of the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Prior to the reorganization, CLPS Shanghai’s equity interests were 100% controlled by the same group of the controlling shareholders of CLPS.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Company and its subsidiaries are effectively controlled by the same group of the shareholders before and after the reorganization, they are considered under common control. The above 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Developments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17, 2017, the Company acquired a 55% equity interest in JQ, and its 100% owned subsidiary – JL in Taiwan for cash consideration of approximately $0.07 million. As of the acquisition date, the assets of JQ were cash and other receivables and JQ and its subsidiary has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 The Company believes that this investment could offer new opportunities for operational synergies in the related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June 5, 2018, the Company incorporated CLPS US to develop business in related areas.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13, 2018, the Company purchased a 2.7% equity interest in Lihong in Shanghai for consideration of $0.15 million (RMB 1,000,000) to develop new business. The consideration has not been paid for and is recorded as a liability as of June 30, 2018.</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holding 100% of CLPS Beijing’s equity interest. The consideration was not paid for and was recorded as a liability by Qiner as of June 30, 2018. The consideration was paid on July 5, 2018. Prior to June 2018, the remaining 30% equity interest of CLPS Beijing was recorded as a non-controlling interest on the balance sheet. The Company engaged an independent valuation firm to assist management in assessing the enterprise value of CLPS Beijing. The enterprise value of CLPS Beijing as of June 27, 2018 was $1.94 million based on the evaluation report.</w:t>
      </w:r>
    </w:p>
    <w:p>
      <w:pPr>
        <w:sectPr>
          <w:pgSz w:w="11900" w:h="16838" w:orient="portrait"/>
          <w:cols w:equalWidth="0" w:num="1">
            <w:col w:w="11420"/>
          </w:cols>
          <w:pgMar w:left="240" w:top="226" w:right="239" w:bottom="931"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931" w:gutter="0" w:footer="0" w:header="0"/>
          <w:type w:val="continuous"/>
        </w:sectPr>
      </w:pPr>
    </w:p>
    <w:bookmarkStart w:id="108" w:name="page109"/>
    <w:bookmarkEnd w:id="10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 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Developments (continued</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subsidiaries of the Company are set out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Date of</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Incorporation/</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Place of</w:t>
            </w:r>
          </w:p>
        </w:tc>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Principal</w:t>
            </w:r>
          </w:p>
        </w:tc>
      </w:tr>
      <w:tr>
        <w:trPr>
          <w:trHeight w:val="241"/>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acquisition</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Incorporation</w:t>
            </w:r>
          </w:p>
        </w:tc>
        <w:tc>
          <w:tcPr>
            <w:tcW w:w="3380" w:type="dxa"/>
            <w:vAlign w:val="bottom"/>
          </w:tcPr>
          <w:p>
            <w:pPr>
              <w:ind w:left="1280"/>
              <w:spacing w:after="0"/>
              <w:rPr>
                <w:sz w:val="20"/>
                <w:szCs w:val="20"/>
                <w:color w:val="auto"/>
              </w:rPr>
            </w:pPr>
            <w:r>
              <w:rPr>
                <w:rFonts w:ascii="Arial" w:cs="Arial" w:eastAsia="Arial" w:hAnsi="Arial"/>
                <w:sz w:val="18"/>
                <w:szCs w:val="18"/>
                <w:b w:val="1"/>
                <w:bCs w:val="1"/>
                <w:color w:val="auto"/>
              </w:rPr>
              <w:t>% of Equity Ownership</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Arial" w:cs="Arial" w:eastAsia="Arial" w:hAnsi="Arial"/>
                <w:sz w:val="18"/>
                <w:szCs w:val="18"/>
                <w:b w:val="1"/>
                <w:bCs w:val="1"/>
                <w:color w:val="auto"/>
              </w:rPr>
              <w:t>Activities</w:t>
            </w:r>
          </w:p>
        </w:tc>
      </w:tr>
      <w:tr>
        <w:trPr>
          <w:trHeight w:val="202"/>
        </w:trPr>
        <w:tc>
          <w:tcPr>
            <w:tcW w:w="33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CLPS Incorporation (“CLPS” or the</w:t>
            </w:r>
          </w:p>
        </w:tc>
        <w:tc>
          <w:tcPr>
            <w:tcW w:w="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Incorporated on</w:t>
            </w: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Cayman</w:t>
            </w:r>
          </w:p>
        </w:tc>
        <w:tc>
          <w:tcPr>
            <w:tcW w:w="4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Parent</w:t>
            </w: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May 11, 2017</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Islands</w:t>
            </w:r>
          </w:p>
        </w:tc>
        <w:tc>
          <w:tcPr>
            <w:tcW w:w="3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Qinheng Co., Limited (“Qinheng”)</w:t>
            </w:r>
          </w:p>
        </w:tc>
        <w:tc>
          <w:tcPr>
            <w:tcW w:w="15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4"/>
              </w:rPr>
              <w:t>Hong Kong,</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June 9, 2017</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Qiner Co., Limited (“Qiner”)</w:t>
            </w:r>
          </w:p>
        </w:tc>
        <w:tc>
          <w:tcPr>
            <w:tcW w:w="15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4"/>
              </w:rPr>
              <w:t>Hong Kong,</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3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April 21, 2017</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w w:val="95"/>
              </w:rPr>
              <w:t>Shanghai Qincheng Information Technology</w:t>
            </w:r>
          </w:p>
        </w:tc>
        <w:tc>
          <w:tcPr>
            <w:tcW w:w="15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6"/>
              </w:rPr>
              <w:t>Shanghai,</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Co., Ltd (“CLPS QC” or “WOFE”)</w:t>
            </w:r>
          </w:p>
        </w:tc>
        <w:tc>
          <w:tcPr>
            <w:tcW w:w="1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August 4, 2017</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ChinaLink Professional Service Co., Ltd</w:t>
            </w:r>
          </w:p>
        </w:tc>
        <w:tc>
          <w:tcPr>
            <w:tcW w:w="15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6"/>
              </w:rPr>
              <w:t>Shanghai,</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Shanghai”)</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August 30, 2005</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CLPS Dalian Co., Ltd (“CLPS Dalian”)</w:t>
            </w:r>
          </w:p>
        </w:tc>
        <w:tc>
          <w:tcPr>
            <w:tcW w:w="15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2"/>
              </w:rPr>
              <w:t>Dalian, China</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May 25, 2011</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Ruicheng Co., Ltd (“CLPS RC”)</w:t>
            </w:r>
          </w:p>
        </w:tc>
        <w:tc>
          <w:tcPr>
            <w:tcW w:w="15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6"/>
              </w:rPr>
              <w:t>Shanghai,</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26, 2013</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CLPS Beijing Hengtong Co., Ltd (“CLPS</w:t>
            </w:r>
          </w:p>
        </w:tc>
        <w:tc>
          <w:tcPr>
            <w:tcW w:w="15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5"/>
              </w:rPr>
              <w:t>Beijing, China</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89"/>
              </w:rPr>
              <w:t>70% owned by CLPS Shanghai and 30%</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Beijing”)</w:t>
            </w:r>
          </w:p>
        </w:tc>
        <w:tc>
          <w:tcPr>
            <w:tcW w:w="15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March 30, 2015</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1"/>
              </w:rPr>
              <w:t>owned by Qiner</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TECHNOLOGY (SINGAPORE)</w:t>
            </w:r>
          </w:p>
        </w:tc>
        <w:tc>
          <w:tcPr>
            <w:tcW w:w="156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0"/>
              </w:rPr>
              <w:t>Incorporated</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Singapore</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PTE.LTD (“CLPS SG”)</w:t>
            </w:r>
          </w:p>
        </w:tc>
        <w:tc>
          <w:tcPr>
            <w:tcW w:w="1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on August 18, 2015</w:t>
            </w: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TECHNOLOGY (AUSTRALIA) PTY</w:t>
            </w:r>
          </w:p>
        </w:tc>
        <w:tc>
          <w:tcPr>
            <w:tcW w:w="156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0"/>
              </w:rPr>
              <w:t>Incorporated</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4"/>
              </w:rPr>
              <w:t>Australia</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LTD (“CLPS AU”)</w:t>
            </w:r>
          </w:p>
        </w:tc>
        <w:tc>
          <w:tcPr>
            <w:tcW w:w="15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on November 10,</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30"/>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CLPS Technology (Hong Kong) Co., Limited</w:t>
            </w:r>
          </w:p>
        </w:tc>
        <w:tc>
          <w:tcPr>
            <w:tcW w:w="156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4"/>
              </w:rPr>
              <w:t>Hong Kong,</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80% owned by CLPS Shanghai and 20%</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Hong Kong”)</w:t>
            </w:r>
          </w:p>
        </w:tc>
        <w:tc>
          <w:tcPr>
            <w:tcW w:w="1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January 7, 2016</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owned by unrelated individual shareholders</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w w:val="98"/>
              </w:rPr>
              <w:t>Judge (Shanghai) Co., Ltd (“Judge China”)</w:t>
            </w:r>
          </w:p>
        </w:tc>
        <w:tc>
          <w:tcPr>
            <w:tcW w:w="15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Acquired on</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6"/>
              </w:rPr>
              <w:t>Shanghai,</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89"/>
              </w:rPr>
              <w:t>60% owned by CLPS Shanghai and 40%</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November 9, 2016</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owned by an unrelated Company;</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Judge (Shanghai) Human Resource Co., Ltd</w:t>
            </w:r>
          </w:p>
        </w:tc>
        <w:tc>
          <w:tcPr>
            <w:tcW w:w="15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Acquired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6"/>
              </w:rPr>
              <w:t>Shanghai,</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70% owned by Judge China and 30% owned</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(“Judge HR”)</w:t>
            </w:r>
          </w:p>
        </w:tc>
        <w:tc>
          <w:tcPr>
            <w:tcW w:w="1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November 9, 2016</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by an unrelated company</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CLPS Shenzhen Co., Ltd (“CLPS</w:t>
            </w:r>
          </w:p>
        </w:tc>
        <w:tc>
          <w:tcPr>
            <w:tcW w:w="15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5"/>
              </w:rPr>
              <w:t>Shenzhen,</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89"/>
              </w:rPr>
              <w:t>70% owned by CLPS Shanghai and 30%</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Shenzhen”)</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April 7, 2017</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tcPr>
          <w:p>
            <w:pPr>
              <w:jc w:val="center"/>
              <w:spacing w:after="0"/>
              <w:rPr>
                <w:sz w:val="20"/>
                <w:szCs w:val="20"/>
                <w:color w:val="auto"/>
              </w:rPr>
            </w:pPr>
            <w:r>
              <w:rPr>
                <w:rFonts w:ascii="Arial" w:cs="Arial" w:eastAsia="Arial" w:hAnsi="Arial"/>
                <w:sz w:val="18"/>
                <w:szCs w:val="18"/>
                <w:color w:val="auto"/>
                <w:w w:val="91"/>
              </w:rPr>
              <w:t>owned by CLPS Hong Kong</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Guangzhou Co., Ltd (“CLPS</w:t>
            </w:r>
          </w:p>
        </w:tc>
        <w:tc>
          <w:tcPr>
            <w:tcW w:w="15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7"/>
              </w:rPr>
              <w:t>Guangzhou,</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27, 2017</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CLIVST Ltd. (“CLIVST”)</w:t>
            </w:r>
          </w:p>
        </w:tc>
        <w:tc>
          <w:tcPr>
            <w:tcW w:w="15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6"/>
              </w:rPr>
              <w:t>British Virgin</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July 25, 2017</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Islands</w:t>
            </w:r>
          </w:p>
        </w:tc>
        <w:tc>
          <w:tcPr>
            <w:tcW w:w="33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FDT-CL Financial Technology Services</w:t>
            </w:r>
          </w:p>
        </w:tc>
        <w:tc>
          <w:tcPr>
            <w:tcW w:w="15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4"/>
              </w:rPr>
              <w:t>Hong Kong,</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52% owned by CLIVST, 48% owned by an</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(“FDT-CL”)**</w:t>
            </w:r>
          </w:p>
        </w:tc>
        <w:tc>
          <w:tcPr>
            <w:tcW w:w="1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October 24, 2017</w:t>
            </w: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unrelated individual</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JQ Technology Co., Limited(“JQ”)</w:t>
            </w:r>
          </w:p>
        </w:tc>
        <w:tc>
          <w:tcPr>
            <w:tcW w:w="15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Acquired on</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4"/>
              </w:rPr>
              <w:t>Hong Kong,</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90"/>
              </w:rPr>
              <w:t>55% owned by Qiner, 45% owned by an</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October 17, 2017</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China</w:t>
            </w: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unrelated individuals</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JIALIN Technology Limited (“JL”)</w:t>
            </w:r>
          </w:p>
        </w:tc>
        <w:tc>
          <w:tcPr>
            <w:tcW w:w="15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Acquired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2"/>
              </w:rPr>
              <w:t>Taiwan</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100% owned by JQ</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October 17, 2017</w:t>
            </w: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CLPS Technology (US) Ltd. (“CLPS US”)</w:t>
            </w:r>
          </w:p>
        </w:tc>
        <w:tc>
          <w:tcPr>
            <w:tcW w:w="15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1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1"/>
              </w:rPr>
              <w:t>Delaware,</w:t>
            </w: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 owned by Qiner</w:t>
            </w:r>
          </w:p>
        </w:tc>
        <w:tc>
          <w:tcPr>
            <w:tcW w:w="1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3"/>
              </w:rPr>
              <w:t>Network</w:t>
            </w:r>
          </w:p>
        </w:tc>
      </w:tr>
      <w:tr>
        <w:trPr>
          <w:trHeight w:val="230"/>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June 5, 2018</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USA</w:t>
            </w:r>
          </w:p>
        </w:tc>
        <w:tc>
          <w:tcPr>
            <w:tcW w:w="33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technology</w:t>
            </w:r>
          </w:p>
        </w:tc>
      </w:tr>
      <w:tr>
        <w:trPr>
          <w:trHeight w:val="202"/>
        </w:trPr>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Infogain Solutions PTE. Ltd. (“Infogain”) *</w:t>
            </w:r>
          </w:p>
        </w:tc>
        <w:tc>
          <w:tcPr>
            <w:tcW w:w="15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3"/>
              </w:rPr>
              <w:t>Acquired on</w:t>
            </w:r>
          </w:p>
        </w:tc>
        <w:tc>
          <w:tcPr>
            <w:tcW w:w="11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Singapore</w:t>
            </w:r>
          </w:p>
        </w:tc>
        <w:tc>
          <w:tcPr>
            <w:tcW w:w="3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80% owned by CLPS SG, 20% owned by</w:t>
            </w:r>
          </w:p>
        </w:tc>
        <w:tc>
          <w:tcPr>
            <w:tcW w:w="10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Consolidated</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3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August 20, 2018</w:t>
            </w: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unrelated individuals</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subsidiary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bl>
    <w:p>
      <w:pPr>
        <w:spacing w:after="0" w:line="121" w:lineRule="exact"/>
        <w:rPr>
          <w:sz w:val="20"/>
          <w:szCs w:val="20"/>
          <w:color w:val="auto"/>
        </w:rPr>
      </w:pPr>
    </w:p>
    <w:p>
      <w:pPr>
        <w:ind w:firstLine="8"/>
        <w:spacing w:after="0" w:line="277" w:lineRule="auto"/>
        <w:tabs>
          <w:tab w:leader="none" w:pos="139"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Entities incorporated or acquired subsequent to June 30, 2018 are not included in the Company’s consolidated financial statements for the years ended June 30, 2018, 2017 and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On July 20, 2018, the Company decided to close down FDT-CL.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9" w:name="page110"/>
    <w:bookmarkEnd w:id="10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requirements of the Securities Exchange Commission (“SEC”).</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7" w:lineRule="exact"/>
        <w:rPr>
          <w:sz w:val="20"/>
          <w:szCs w:val="20"/>
          <w:color w:val="auto"/>
        </w:rPr>
      </w:pPr>
    </w:p>
    <w:p>
      <w:pPr>
        <w:ind w:left="580" w:hanging="572"/>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disclosed, the fair value of the Company’s financial instruments including cash and cash equivalents, accounts receivable, other receivables and other current assets, accounts payable, customer deposits, accrued expenses and other current liabilities approximates their recorded values due to their short-term maturities.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0" w:name="page111"/>
    <w:bookmarkEnd w:id="1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deposit and other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Prepayment, deposit and other assets primarily consists of advances to suppliers for purchasing goods or services that have not been received or provided and advances to employees. These advances are interest free, unsecured and short-term in nature and are reviewed periodically to determine whether their carrying value has become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contract costs represent costs incurred in advance of revenue recognition arising from direct and incremental staff costs in respect of the fixed fee contracts according to the customer’s requirements prior to the delivery of services, and such deferred costs will be recognized upon the recognition of the related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investment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holds investments in equity method and cost method investees. Investee companies over which the Company has the ability to exercise significant influence but does not have a controlling interest and is the primary beneficiary are accounted for using the equity method. Significant influence is generally considered to exist when the Company has an ownership interest in the voting shares of the investee between 20% and 50%, and other factors, such as representation in the investee’s Board of Directors, voting rights and the impact of commercial arrangements, are considered in determining whether the equity method of accounting is appropriate. Under this method of accounting, the Company records its proportionate share of the net earnings or losses of equity method investees and a corresponding increase or decrease to the investment balances. The Company evaluates its equity method investments for impairment whenever events or changes in circumstances indicate that the carrying amounts of such investments may not be recoverable.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entities in which the Company has no control or significant influence and is not the primary beneficiary are accounted for at cost. Cost method investments are recorded at the lower of cost or fair value. If declines in the value of cost method investments are determined to be other-than temporary, a loss is recorded in the current period as a component of miscellaneous, net in the consolidated statements of income.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 at the acquisition date, if any, are measured at their fair values as of that date. Goodwill is recognized and measured as the excess of the total consideration transferred plus the fair value of any non-controlling interest of the acquire, if any, at the acquisition date over the fair values of the identifiable net assets acquired.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income and comprehensive income as an allocation of the total income or loss for the year between non-controlling interest holders and the shareholders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and amortization. The straight-line method is used to compute depreciation and amortization over the estimated useful lives of the assets,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8520" w:type="dxa"/>
            <w:vAlign w:val="bottom"/>
            <w:gridSpan w:val="2"/>
          </w:tcPr>
          <w:p>
            <w:pPr>
              <w:ind w:left="640"/>
              <w:spacing w:after="0"/>
              <w:rPr>
                <w:sz w:val="20"/>
                <w:szCs w:val="20"/>
                <w:color w:val="auto"/>
              </w:rPr>
            </w:pPr>
            <w:r>
              <w:rPr>
                <w:rFonts w:ascii="Arial" w:cs="Arial" w:eastAsia="Arial" w:hAnsi="Arial"/>
                <w:sz w:val="18"/>
                <w:szCs w:val="18"/>
                <w:b w:val="1"/>
                <w:bCs w:val="1"/>
                <w:color w:val="auto"/>
              </w:rPr>
              <w:t>Useful life</w:t>
            </w: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640" w:type="dxa"/>
            <w:vAlign w:val="bottom"/>
            <w:tcBorders>
              <w:top w:val="single" w:sz="8" w:color="CCEEFF"/>
            </w:tcBorders>
            <w:shd w:val="clear" w:color="auto" w:fill="CCEEFF"/>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shorter of lease terms or the estimated useful lives</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Machinery equipment</w:t>
            </w:r>
          </w:p>
        </w:tc>
        <w:tc>
          <w:tcPr>
            <w:tcW w:w="8520" w:type="dxa"/>
            <w:vAlign w:val="bottom"/>
            <w:gridSpan w:val="2"/>
          </w:tcPr>
          <w:p>
            <w:pPr>
              <w:ind w:left="640"/>
              <w:spacing w:after="0"/>
              <w:rPr>
                <w:sz w:val="20"/>
                <w:szCs w:val="20"/>
                <w:color w:val="auto"/>
              </w:rPr>
            </w:pPr>
            <w:r>
              <w:rPr>
                <w:rFonts w:ascii="Arial" w:cs="Arial" w:eastAsia="Arial" w:hAnsi="Arial"/>
                <w:sz w:val="18"/>
                <w:szCs w:val="18"/>
                <w:color w:val="auto"/>
              </w:rPr>
              <w:t>5–10 years</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vehicles</w:t>
            </w:r>
          </w:p>
        </w:tc>
        <w:tc>
          <w:tcPr>
            <w:tcW w:w="8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 years</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8520" w:type="dxa"/>
            <w:vAlign w:val="bottom"/>
            <w:gridSpan w:val="2"/>
          </w:tcPr>
          <w:p>
            <w:pPr>
              <w:ind w:left="640"/>
              <w:spacing w:after="0"/>
              <w:rPr>
                <w:sz w:val="20"/>
                <w:szCs w:val="20"/>
                <w:color w:val="auto"/>
              </w:rPr>
            </w:pPr>
            <w:r>
              <w:rPr>
                <w:rFonts w:ascii="Arial" w:cs="Arial" w:eastAsia="Arial" w:hAnsi="Arial"/>
                <w:sz w:val="18"/>
                <w:szCs w:val="18"/>
                <w:color w:val="auto"/>
              </w:rPr>
              <w:t>5 years</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income.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2" w:name="page113"/>
    <w:bookmarkEnd w:id="1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There was only one reporting unit (that also represented the operating segment) as of June 30, 2018. Goodwill was allocated to the one reporting unit as of June 30,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3" w:name="page114"/>
    <w:bookmarkEnd w:id="1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a comprehensive range of IT services and solutions, which primarily are on a time-and-expense basis, or fixed-price basis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Time-and-expense basis contracts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Fixed-price basis contracts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there are following separated service elements in the fixed-fee customized solution contract:</w:t>
      </w:r>
    </w:p>
    <w:p>
      <w:pPr>
        <w:spacing w:after="0" w:line="22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Solution development service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multiple-element arrangements that include application customized services and PCS as well as specific service component,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w:t>
      </w:r>
    </w:p>
    <w:p>
      <w:pPr>
        <w:jc w:val="both"/>
        <w:ind w:firstLine="8"/>
        <w:spacing w:after="0" w:line="269" w:lineRule="auto"/>
        <w:tabs>
          <w:tab w:leader="none" w:pos="3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best estimate of the selling price (“BESP”). The Company uses VSOE of selling price in the selling price allocation in all instances where it exists. VSOE of selling price for products and services is determined when a substantial majority of the selling prices fall within a reasonable range when sold separately. Otherwise, BESP is used because the Company’s customized application differs substantially from that of competitors, it is difficult to obtain the reliable standalone competitive pricing necessary to establish TPE. Accordingly, the Company uses its best estimate of selling prices of solution development service and PCS (and specific service if applicable) as the basis of revenue allocation. In estimating its selling price for solution development service and PCS (and specific service if applicable), the Company considers the internal estimated cost to provide such services adjusted by reasonable profit margin for similar arrangements, customer demand, and the historical pricing as significant factors to determine the BESP.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Revenue allocates to solution development service component is recognized using contract accounting in accordance with Accounting Standards Codification (“ASC”) 605-35-25. The revenue recognition for these contracts varies depending on the terms of the individual contracts, and may be recognized proportionally over the term of the contract or deferred until the end of the contract term and recognized when our obligations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The Company has a long history of providing these services resulting in its ability to reasonably estimate the service hours expected to be incurred and the progress toward completion on each fixed-price customized contract based on the proportion of service hours incurred to date relative to total estimated service hours at completion. Estimated contract costs are based on the budgeted service hours, which are updated based on the progress toward completion on a monthly basis. Pursuant to the contract terms, the Company has enforceable right on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Differences between the timing of billings and the recognition of revenue based on various methods of accounting are recorded as deferred revenue.</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 The Company reports revenues net of value added tax (“VAT”). The Company’s subsidiaries in the PRC are subject to a 6% to 16% value added tax (“VAT”) and related surcharges on the revenues earned from providing services. The VAT rate is up to 16% since May 1,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incur in the development of new software modules and products, either as part of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expenditures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expenditures are expensed as incurred and such expenses were minimal for the periods presented. Advertising expenditures have been included as part of selling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was expensed as incurred.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2018, 2017 and 2016. All of the tax returns of the Company’s subsidiaries in China remain subject to examination by the tax authorities for five years from the date of filing through year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added tax (“VAT”)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represents the invoiced value of service, net of VAT. The VAT is based on gross sales price and VAT rates range up to 16%, depending on the type of service provided. Entities that are VAT general taxpayers are allowed to offset qualified input VAT paid to suppliers against their output VAT liabilities. Net VAT balance between input VAT and output VAT is recorded in tax payable. All of the VAT returns filed by the company’s subsidiaries in China, have been and remain subject to examination by the tax authorities for five years from the date of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earnings per share is computed using the weighted average number of ordinary shares outstanding during the period. Diluted earnings per share is computed using the weighted average number of ordinary shares and potential ordinary shares outstanding during the period, which may include restricted share units, options, convertible securities and warrants. The computation of diluted earnings per share does not assume conversion, exercise, or contingent issuance of securities that would have an anti-dilutive effect (i.e. an increase in earnings per share amounts) on earnings per share.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functional currencies of the Company are the local currency of the county in which the subsidiary operates. The Company’s financial statements are reported using U.S. Dollars. The results of operations and the consolidated statements of cash flows denominated in foreign currencies are translated at the average rates of exchange during the reporting period. Assets and liabilities denominated in foreign currencies at the balance sheet date are translated at the applicable rates of exchange in effect at that date. The equity denominated in the functional currencies is translated at the historical rates of exchange at the time of capital contributions. Because cash flows are translated based on the average translation rates,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consolidated statement of income and 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(loss) consists of two components, net income (loss) and other comprehensive income (loss). Other comprehensive income (loss) refers to revenue, expenses, gains and losses that under GAAP are recorded as an element of shareholders’ equity but are excluded from net income. Other comprehensive income (loss) consists of a foreign currency translation adjustment resulting from the Company not using the U.S. dollar as its functional currencies.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9" w:lineRule="exact"/>
        <w:rPr>
          <w:sz w:val="20"/>
          <w:szCs w:val="20"/>
          <w:color w:val="auto"/>
        </w:rPr>
      </w:pPr>
    </w:p>
    <w:p>
      <w:pPr>
        <w:ind w:left="300" w:hanging="292"/>
        <w:spacing w:after="0"/>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2.0% in fiscal year 2017 and appreciated by 2.4% in fiscal 2018.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4" w:lineRule="exact"/>
        <w:rPr>
          <w:sz w:val="20"/>
          <w:szCs w:val="20"/>
          <w:color w:val="auto"/>
        </w:rPr>
      </w:pPr>
    </w:p>
    <w:p>
      <w:pPr>
        <w:ind w:left="300" w:hanging="292"/>
        <w:spacing w:after="0"/>
        <w:tabs>
          <w:tab w:leader="none" w:pos="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2018 and 2017, $4,012,088 and $4,199,905 of the Company’s cash and cash equivalents was on deposit at financial institutions in the PRC where there currently is no rule or regulation requiring such financial institutions to maintain insurance to cover bank deposits in the event of bank failure. As of June 30, 2018, the Company had $81,644, $4,005, $5,568,360 and $76,789 of cash and cash equivalents on deposit at financial institutions in Singapore, Australia, Hong Kong and Taiwan, respectively. As of June 30, 2017, the Company had $130,614, $130,413 and $353,636 of cash and cash equivalents on deposit at financial institutions in Singapore, Australia and Hong Kong,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8" w:name="page119"/>
    <w:bookmarkEnd w:id="1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9" w:lineRule="exact"/>
        <w:rPr>
          <w:sz w:val="20"/>
          <w:szCs w:val="20"/>
          <w:color w:val="auto"/>
        </w:rPr>
      </w:pPr>
    </w:p>
    <w:p>
      <w:pPr>
        <w:ind w:left="300" w:hanging="292"/>
        <w:spacing w:after="0"/>
        <w:tabs>
          <w:tab w:leader="none" w:pos="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years ended June 30, 2018, 2017 and 2016, one customer with its affiliates accounted for 30.8%, 38.6% and 59.2% of the Company’s total revenues, respectively. For the year ended June 30, 2018, one customer and its affiliates accounted for 35.9% of the Company’s total accounts receivable balance. For the year ended June 30, 2017, one customer and its affiliates accounted for 39.1% of the Company’s total accounts receivable balance. For the year ended June 30, 2016, two customers and its affiliates accounted for 47.3% and 10.0% of the Company’s total accounts receivable balance.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 awards issued to non-employees, such as consultants and underwriters, including warrants and options are measured at fair value at the earlier of the commitment date or the date the service is completed and recognized over the period the service is provided. The Company uses the Black-Scholes pricing model to estimate the fair value of warrants. The determination of estimated fair value of share-based payment awards on the grant date using a Black-Scholes option pricing model is affected by the Company’s stock price as well as assumptions regarding a number of complex and subjective variables. These variables include the Company’s expected stock price volatility over the expected term of the awards, actual and projected warrant exercise behaviors, a risk-free interest rate and any expected dividends.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share-based awards to employees and directors, including restricted share units (“RSUs”), are measured at the grant date based on the fair value of the awards. Share-based compensation, net of forfeitures, is recognized as expense on a straight-line basis over the requisite service period, which is the vesting period.</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the estimated compensation cost of service-based restricted share units based on the fair value of its ordinary shares on the date of the grant. The Company recognizes the compensation cost, net of estimated forfeitures, over a vesting term of generally three years.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The Company uses historical data to estimate pre-vesting restricted share units’ forfeitures and records share-based compensation expense only for those awards that are expected to vest.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9" w:name="page120"/>
    <w:bookmarkEnd w:id="1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4980"/>
        <w:spacing w:after="0" w:line="425" w:lineRule="auto"/>
        <w:rPr>
          <w:sz w:val="20"/>
          <w:szCs w:val="20"/>
          <w:color w:val="auto"/>
        </w:rPr>
      </w:pPr>
      <w:r>
        <w:rPr>
          <w:rFonts w:ascii="Arial" w:cs="Arial" w:eastAsia="Arial" w:hAnsi="Arial"/>
          <w:sz w:val="18"/>
          <w:szCs w:val="18"/>
          <w:b w:val="1"/>
          <w:bCs w:val="1"/>
          <w:color w:val="auto"/>
        </w:rPr>
        <w:t>NOTE 2 – SUMMARY OF SIGNIFICANT ACCOUNTING POLICIES - continued Recent Accounting Pronouncements</w:t>
      </w:r>
    </w:p>
    <w:p>
      <w:pPr>
        <w:jc w:val="both"/>
        <w:spacing w:after="0" w:line="284"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In September 2017, the FASB issued ASU No. 2017-13, which to clarify effective dates that public business entities and other entities were required to adopt ASC Topic 606 for annual reporting. A public business entity and certain other specified entities adopt ASC Topic 606 for annual reporting periods beginning after December 15, 2017, including interim reporting periods within that reporting period. We are planning to adopt Topic 606 in the first quarter of our fiscal 2019 using the retrospective transition method, and are continuing to evaluate the impact our pending adoption of Topic 606 will have on our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w:t>
      </w:r>
    </w:p>
    <w:p>
      <w:pPr>
        <w:spacing w:after="0" w:line="3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In September 2017, the FASB issued ASU No. 2017-13, which to clarify effective dates that public business entities and other entities were required to adopt ASC Topic 842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842 for annual reporting periods beginning after December 15, 2019, and interim reporting periods within annual reporting periods beginning after December 15, 2020. ASU No. 2017-13 also amended that all components of a leveraged lease be recalculated from inception of the lease based on the revised after tax cash flows arising from the change in the tax law, including revised tax rates. The difference between the amounts originally recorded and the recalculated amounts must be included in income of the year in which the tax law is enacted. In July 2018, the FASB issued ASU No. 2018-10, about improvements to clarify the Codification or to correct unintended application of guidance in ASU No. 2016-02. The amendments in ASU No. 2018-10 are of a similar nature to the items typically addressed in the Codification improvements project. The amendments in ASU No. 2018-10 affect narrow aspects of the guidance issued in the amendments in ASU No.2016-02. In July 2018, the FASB issued ASU No. 2018-11, which to clarify two requirements in the new leases standard: transition —comparative reporting at adoption and separating components of a contract. The amendments in this Update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consistent with preparers’ requests. ASU No. 2018-11 also provides lessors with a practical expedient, by class of underlying asset, to not separate nonlease components from the associated lease component and, instead, to account for those components as a single component if the nonlease components otherwise would be accounted for under the new revenue guidance (Topic 606) and both of the following are met: the timing and pattern of transfer of the nonlease component(s) and associated lease component are the same, and the lease component, if accounted for separately, would be classified as an operating lease. The effective date and transition requirements for ASU No 2018-11 related to separating components of a contract are the same as the effective date and transition requirements in ASU 2016-02. The Company has not early adopted this update and it will become effective on July 1, 2020. The Company is currently evaluating the impact of this new standard on its consolidated financial statements and related disclosures.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0" w:name="page121"/>
    <w:bookmarkEnd w:id="1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1" w:name="page122"/>
    <w:bookmarkEnd w:id="1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and Derivatives and Hedging (Topic 815). The guidance of Part I is to clarify accounting for certain financial instruments with down round feature in a financial instrument that reduces the strike price of an issued financial instrument if the issuer sells shares of its stock for an amount less than the currently stated strike price of the issued financial instrument or issues an equity-linked financial instrument with a strike price below the currently stated strike price of the issued financial instrument.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The amendments also recharacterize the indefinite deferral of certain provisions of Topic 480 that now are presented as pending content in the Codification, to a scope exception. Those amendments do not have an accounting effect. The amendments in Part I of ASU No. 2017-11 are effective for fiscal years beginning after December 15, 2019, and interim periods within fiscal years beginning after December 15, 2020. Early adoption is permitted for all entities, including adoption in an interim period. The amendments in Part II of this Update do not require any transition guidance because those amendments do not have an accounting effect. The Company has not early adopted this update and it will become effective on July 1, 2020. The Company is currently evaluating the impact of our pending adoption of ASU 2017-11 on its consolidated financial statements.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2017, the FASB issued ASU No. 2017-09, “Compensation—Stock Compensation (Topic 718)”. The amendments affect any entity that changes the terms or conditions of a share-based payment award. An entity should account for the effects of a modification unless the fair value (or calculated value or intrinsic value, if such an alternative measurement method is used) of the modified award is the same as the fair value, the vesting conditions of the modified award are the same as the vesting conditions of the original award, and the classification of the modified award as an equity instrument or a liability instrument is the same as the classification of the original award. The amendments in this Update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Company has not early adopted this update and it will become effective on July 1, 2018. The Company does not expect that the adoption of this guidance will have a material impact on its consolidated financial statements.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2018, the FASB issued ASU No. 2018-02, “Income Statement—Reporting Comprehensive Income (Topic 220): Reclassification of Certain Tax Effects from Accumulated Other Comprehensive Income”. The amendments eliminate the stranded tax effects resulting from the Tax Cuts and Jobs Act and will improve the usefulness of information reported to financial statement users. ASU No. 2018-02 is effective for all entities for fiscal years beginning after December 15, 2018, and interim periods within those fiscal years. The Company has not early adopted this update and it will become effective on July 1, 2019. The Company does not expect that the adoption of this guidance will have a material impact on its consolidated financial statements.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2018, the FASB issued ASU No. 2018-03, Technical Corrections and Improvements to Financial Instruments—Overall (Subtopic 825-10), to provide guidance to clarify recognition and measurement of financial assets and financial liabilities. The amendments clarify certain aspects of the guidance issued in ASU No. 2016-01. All entities may early adopt ASU No. 2018-03 for fiscal years beginning after December 15, 2017, including interim periods within those fiscal years, as long as they have adopted Update 2016-01. The Company has not early adopted this update and it will become effective on July 1, 2018. The Company does not expect that the adoption of this guidance will have a material impact on its consolidated financial statements.</w:t>
      </w:r>
    </w:p>
    <w:p>
      <w:pPr>
        <w:sectPr>
          <w:pgSz w:w="11900" w:h="16838" w:orient="portrait"/>
          <w:cols w:equalWidth="0" w:num="1">
            <w:col w:w="11420"/>
          </w:cols>
          <w:pgMar w:left="240" w:top="226" w:right="239"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2" w:name="page123"/>
    <w:bookmarkEnd w:id="1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The amendments expand the scope of Topic 718 to include share-based payment transactions for acquiring goods and services from nonemployees.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amendments are effective for public business entities for fiscal years beginning after December 15, 2018, including interim periods within that fiscal year. The Company has not early adopted this update and it will become effective on July 1, 2019. The Company is currently evaluating the impact of our pending adoption of ASU 2018-07 on its consolidated financial statements.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No 2018-13, Fair Value Measurement (Topic 820), Disclosure Framework—Changes to the Disclosure Requirements for Fair Value Measurement. The amendments in this Update modify the disclosure requirements on fair value measurements in Topic 820, Fair Value Measurement, based on the concepts in the Concepts Statement, including the consideration of costs and benefits. The amendments in this Update are effective for all entities for fiscal years, and interim periods within those fiscal years, beginning after December 15, 2019. The Company is currently evaluating the impact of our pending adoption of ASU 2018-07 on its consolidated financial statements.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9, 2016, CLPS Shanghai acquired 60% of Judge China and its 70% owned subsidiary Judge HR from Judge Company Asia Limited (“Judge Asia”) with the final purchase price of $480,061 (RMB 3.25 million). The Company funded the acquisition with cash and a payable to Judge Asia of $128,928 (RMB 0.9 million), of which $103,255 was subsequently offset with the Company’s receivables from Judge Asia. The Company believes that the acquisition will allow it to better manage opportunities and capitalize on the growth potential in the human resource related industries.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Intangible – customer relationship, net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Wages payable and accruals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intangible assets include customer contacts of $339,883, which was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 (a) the assembled work force and (b) the expected but unidentifiable business growth as a result of the synergy resulting from the acquisition.</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3" w:name="page124"/>
    <w:bookmarkEnd w:id="1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16,419,182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(151,347)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(109,117)</w:t>
            </w:r>
          </w:p>
        </w:tc>
        <w:tc>
          <w:tcPr>
            <w:tcW w:w="0" w:type="dxa"/>
            <w:vAlign w:val="bottom"/>
          </w:tcPr>
          <w:p>
            <w:pPr>
              <w:spacing w:after="0"/>
              <w:rPr>
                <w:sz w:val="1"/>
                <w:szCs w:val="1"/>
                <w:color w:val="auto"/>
              </w:rPr>
            </w:pPr>
          </w:p>
        </w:tc>
      </w:tr>
      <w:tr>
        <w:trPr>
          <w:trHeight w:val="27"/>
        </w:trPr>
        <w:tc>
          <w:tcPr>
            <w:tcW w:w="6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vMerge w:val="continue"/>
            <w:shd w:val="clear" w:color="auto" w:fill="CCEEFF"/>
          </w:tcPr>
          <w:p>
            <w:pPr>
              <w:spacing w:after="0"/>
              <w:rPr>
                <w:sz w:val="21"/>
                <w:szCs w:val="21"/>
                <w:color w:val="auto"/>
              </w:rPr>
            </w:pPr>
          </w:p>
        </w:tc>
        <w:tc>
          <w:tcPr>
            <w:tcW w:w="28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16,267,835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6,644,774</w:t>
            </w:r>
          </w:p>
        </w:tc>
        <w:tc>
          <w:tcPr>
            <w:tcW w:w="0" w:type="dxa"/>
            <w:vAlign w:val="bottom"/>
          </w:tcPr>
          <w:p>
            <w:pPr>
              <w:spacing w:after="0"/>
              <w:rPr>
                <w:sz w:val="1"/>
                <w:szCs w:val="1"/>
                <w:color w:val="auto"/>
              </w:rPr>
            </w:pPr>
          </w:p>
        </w:tc>
      </w:tr>
      <w:tr>
        <w:trPr>
          <w:trHeight w:val="21"/>
        </w:trPr>
        <w:tc>
          <w:tcPr>
            <w:tcW w:w="61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Unbilled accounts receivable included in trade accounts receivable above amounted to $934,687 and $263,434 as of June 30, 2018 and 2017, respectively.</w:t>
      </w:r>
    </w:p>
    <w:p>
      <w:pPr>
        <w:sectPr>
          <w:pgSz w:w="11900" w:h="16838" w:orient="portrait"/>
          <w:cols w:equalWidth="0" w:num="1">
            <w:col w:w="11420"/>
          </w:cols>
          <w:pgMar w:left="240" w:top="226"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Movement of the allowance for doubtful accounts is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doubtful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Write off for doubtful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AMOUNT DUE FROM UNDERWRITER ON THE OVER-ALLOTMENT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As of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109,117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46,774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134,021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62,990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(93,767)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(647)</w:t>
            </w:r>
          </w:p>
        </w:tc>
      </w:tr>
      <w:tr>
        <w:trPr>
          <w:trHeight w:val="27"/>
        </w:trPr>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151,347</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109,117</w:t>
            </w:r>
          </w:p>
        </w:tc>
        <w:tc>
          <w:tcPr>
            <w:tcW w:w="4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8, 2018, CLPS Incorporation (the “Company”) closed on the over-allotment option to purchase an additional 300,000 common shares of the Company by The Benchmark Company, LLC, at the IPO price of $5.25 per share. As a result, the Company has raised additional gross proceeds of approximately $1.58 million before underwriting discounts and commissions and offering expenses. Net proceeds from the over-allotment of approximately $1.47 million were received on July 4,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NOTE 6 – PREPAYMENTS, DEPOSITS AND OTHER ASSETS, NET</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Prepayments, deposits and other assets consisted of the following:</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466,117</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Advances and deposits to suppliers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178,224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29,484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179,384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Note receivable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114,979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567,934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(6,149)</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(41,602)</w:t>
            </w:r>
          </w:p>
        </w:tc>
        <w:tc>
          <w:tcPr>
            <w:tcW w:w="0" w:type="dxa"/>
            <w:vAlign w:val="bottom"/>
          </w:tcPr>
          <w:p>
            <w:pPr>
              <w:spacing w:after="0"/>
              <w:rPr>
                <w:sz w:val="1"/>
                <w:szCs w:val="1"/>
                <w:color w:val="auto"/>
              </w:rPr>
            </w:pPr>
          </w:p>
        </w:tc>
      </w:tr>
      <w:tr>
        <w:trPr>
          <w:trHeight w:val="216"/>
        </w:trPr>
        <w:tc>
          <w:tcPr>
            <w:tcW w:w="7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1,350,589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Less: Long term portion</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(119,372)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(123,783)</w:t>
            </w:r>
          </w:p>
        </w:tc>
        <w:tc>
          <w:tcPr>
            <w:tcW w:w="0" w:type="dxa"/>
            <w:vAlign w:val="bottom"/>
          </w:tcPr>
          <w:p>
            <w:pPr>
              <w:spacing w:after="0"/>
              <w:rPr>
                <w:sz w:val="1"/>
                <w:szCs w:val="1"/>
                <w:color w:val="auto"/>
              </w:rPr>
            </w:pPr>
          </w:p>
        </w:tc>
      </w:tr>
      <w:tr>
        <w:trPr>
          <w:trHeight w:val="27"/>
        </w:trPr>
        <w:tc>
          <w:tcPr>
            <w:tcW w:w="7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1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vMerge w:val="continue"/>
            <w:shd w:val="clear" w:color="auto" w:fill="CCEEFF"/>
          </w:tcPr>
          <w:p>
            <w:pPr>
              <w:spacing w:after="0"/>
              <w:rPr>
                <w:sz w:val="21"/>
                <w:szCs w:val="21"/>
                <w:color w:val="auto"/>
              </w:rPr>
            </w:pPr>
          </w:p>
        </w:tc>
        <w:tc>
          <w:tcPr>
            <w:tcW w:w="19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1,231,217</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578,391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Movement of the allowance for doubtful accounts is as follows:</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41,602</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Provision (reversal) for doubtful accounts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(37,117)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vMerge w:val="continue"/>
          </w:tcPr>
          <w:p>
            <w:pPr>
              <w:spacing w:after="0"/>
              <w:rPr>
                <w:sz w:val="20"/>
                <w:szCs w:val="20"/>
                <w:color w:val="auto"/>
              </w:rPr>
            </w:pPr>
          </w:p>
        </w:tc>
        <w:tc>
          <w:tcPr>
            <w:tcW w:w="1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6,149</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41,602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4" w:name="page125"/>
    <w:bookmarkEnd w:id="1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Office Furniture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106,576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100,524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35,706</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Leasehold improvement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77,678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66,157</w:t>
            </w:r>
          </w:p>
        </w:tc>
        <w:tc>
          <w:tcPr>
            <w:tcW w:w="0" w:type="dxa"/>
            <w:vAlign w:val="bottom"/>
          </w:tcPr>
          <w:p>
            <w:pPr>
              <w:spacing w:after="0"/>
              <w:rPr>
                <w:sz w:val="1"/>
                <w:szCs w:val="1"/>
                <w:color w:val="auto"/>
              </w:rPr>
            </w:pPr>
          </w:p>
        </w:tc>
      </w:tr>
      <w:tr>
        <w:trPr>
          <w:trHeight w:val="216"/>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(457,412)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(315,630)</w:t>
            </w:r>
          </w:p>
        </w:tc>
        <w:tc>
          <w:tcPr>
            <w:tcW w:w="0" w:type="dxa"/>
            <w:vAlign w:val="bottom"/>
          </w:tcPr>
          <w:p>
            <w:pPr>
              <w:spacing w:after="0"/>
              <w:rPr>
                <w:sz w:val="1"/>
                <w:szCs w:val="1"/>
                <w:color w:val="auto"/>
              </w:rPr>
            </w:pPr>
          </w:p>
        </w:tc>
      </w:tr>
      <w:tr>
        <w:trPr>
          <w:trHeight w:val="27"/>
        </w:trPr>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vMerge w:val="continue"/>
            <w:shd w:val="clear" w:color="auto" w:fill="CCEEFF"/>
          </w:tcPr>
          <w:p>
            <w:pPr>
              <w:spacing w:after="0"/>
              <w:rPr>
                <w:sz w:val="21"/>
                <w:szCs w:val="21"/>
                <w:color w:val="auto"/>
              </w:rPr>
            </w:pPr>
          </w:p>
        </w:tc>
        <w:tc>
          <w:tcPr>
            <w:tcW w:w="2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333,897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273,347</w:t>
            </w:r>
          </w:p>
        </w:tc>
        <w:tc>
          <w:tcPr>
            <w:tcW w:w="0" w:type="dxa"/>
            <w:vAlign w:val="bottom"/>
          </w:tcPr>
          <w:p>
            <w:pPr>
              <w:spacing w:after="0"/>
              <w:rPr>
                <w:sz w:val="1"/>
                <w:szCs w:val="1"/>
                <w:color w:val="auto"/>
              </w:rPr>
            </w:pPr>
          </w:p>
        </w:tc>
      </w:tr>
      <w:tr>
        <w:trPr>
          <w:trHeight w:val="21"/>
        </w:trPr>
        <w:tc>
          <w:tcPr>
            <w:tcW w:w="63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$152,342, 109,356 and $54,105 for the years ended June 30, 2018,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Intangible assets, net consisted of customer contacts acquired by Judge China on June 1, 2013 with an estimated useful life of 10 years. Judge China was acquired by the Company on November 9, 2016 (Note 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5560" w:type="dxa"/>
            <w:vAlign w:val="bottom"/>
            <w:tcBorders>
              <w:bottom w:val="single" w:sz="8" w:color="CCEEFF"/>
            </w:tcBorders>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Customer contacts</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(88,155)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(34,419)</w:t>
            </w:r>
          </w:p>
        </w:tc>
        <w:tc>
          <w:tcPr>
            <w:tcW w:w="0" w:type="dxa"/>
            <w:vAlign w:val="bottom"/>
          </w:tcPr>
          <w:p>
            <w:pPr>
              <w:spacing w:after="0"/>
              <w:rPr>
                <w:sz w:val="1"/>
                <w:szCs w:val="1"/>
                <w:color w:val="auto"/>
              </w:rPr>
            </w:pPr>
          </w:p>
        </w:tc>
      </w:tr>
      <w:tr>
        <w:trPr>
          <w:trHeight w:val="27"/>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vMerge w:val="continue"/>
            <w:shd w:val="clear" w:color="auto" w:fill="CCEEFF"/>
          </w:tcPr>
          <w:p>
            <w:pPr>
              <w:spacing w:after="0"/>
              <w:rPr>
                <w:sz w:val="21"/>
                <w:szCs w:val="21"/>
                <w:color w:val="auto"/>
              </w:rPr>
            </w:pPr>
          </w:p>
        </w:tc>
        <w:tc>
          <w:tcPr>
            <w:tcW w:w="3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260,059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305,464</w:t>
            </w:r>
          </w:p>
        </w:tc>
        <w:tc>
          <w:tcPr>
            <w:tcW w:w="0" w:type="dxa"/>
            <w:vAlign w:val="bottom"/>
          </w:tcPr>
          <w:p>
            <w:pPr>
              <w:spacing w:after="0"/>
              <w:rPr>
                <w:sz w:val="1"/>
                <w:szCs w:val="1"/>
                <w:color w:val="auto"/>
              </w:rPr>
            </w:pPr>
          </w:p>
        </w:tc>
      </w:tr>
      <w:tr>
        <w:trPr>
          <w:trHeight w:val="21"/>
        </w:trPr>
        <w:tc>
          <w:tcPr>
            <w:tcW w:w="55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$53,827, $34,270 and nil for the years ended June 30, 2018, 2017 and 2016. Estimated future amortization expense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Year ending June 30,</w:t>
            </w:r>
          </w:p>
        </w:tc>
        <w:tc>
          <w:tcPr>
            <w:tcW w:w="18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3"/>
              </w:rPr>
              <w:t>expense</w:t>
            </w:r>
          </w:p>
        </w:tc>
      </w:tr>
      <w:tr>
        <w:trPr>
          <w:trHeight w:val="216"/>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53,827</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53,827</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53,827</w:t>
            </w:r>
          </w:p>
        </w:tc>
        <w:tc>
          <w:tcPr>
            <w:tcW w:w="80" w:type="dxa"/>
            <w:vAlign w:val="bottom"/>
          </w:tcPr>
          <w:p>
            <w:pPr>
              <w:spacing w:after="0"/>
              <w:rPr>
                <w:sz w:val="18"/>
                <w:szCs w:val="18"/>
                <w:color w:val="auto"/>
              </w:rPr>
            </w:pPr>
          </w:p>
        </w:tc>
      </w:tr>
      <w:tr>
        <w:trPr>
          <w:trHeight w:val="250"/>
        </w:trPr>
        <w:tc>
          <w:tcPr>
            <w:tcW w:w="10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Remaining</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260,059</w:t>
            </w:r>
          </w:p>
        </w:tc>
        <w:tc>
          <w:tcPr>
            <w:tcW w:w="80" w:type="dxa"/>
            <w:vAlign w:val="bottom"/>
          </w:tcPr>
          <w:p>
            <w:pPr>
              <w:spacing w:after="0"/>
              <w:rPr>
                <w:sz w:val="20"/>
                <w:szCs w:val="20"/>
                <w:color w:val="auto"/>
              </w:rPr>
            </w:pPr>
          </w:p>
        </w:tc>
      </w:tr>
      <w:tr>
        <w:trPr>
          <w:trHeight w:val="21"/>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 ended June 30, 2018 were as follows:</w:t>
      </w:r>
    </w:p>
    <w:p>
      <w:pPr>
        <w:spacing w:after="0" w:line="221"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2017</w:t>
            </w: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195,080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Reverse of goodwill arising from acquisition of Judge China</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(26,302)</w:t>
            </w:r>
          </w:p>
        </w:tc>
      </w:tr>
      <w:tr>
        <w:trPr>
          <w:trHeight w:val="237"/>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10180" w:type="dxa"/>
            <w:vAlign w:val="bottom"/>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173,560</w:t>
            </w:r>
          </w:p>
        </w:tc>
        <w:tc>
          <w:tcPr>
            <w:tcW w:w="100" w:type="dxa"/>
            <w:vAlign w:val="bottom"/>
          </w:tcPr>
          <w:p>
            <w:pPr>
              <w:spacing w:after="0"/>
              <w:rPr>
                <w:sz w:val="21"/>
                <w:szCs w:val="21"/>
                <w:color w:val="auto"/>
              </w:rPr>
            </w:pP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consideration of Judge China was reduced by $26,302 due to the bad debts for the receivable from Judge Asia as of June 30, 2018.</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performed its annual goodwill impairment review for the year ended June 30, 2018 and determined there was no impairment as of June 30, 2018.</w:t>
      </w:r>
    </w:p>
    <w:p>
      <w:pPr>
        <w:sectPr>
          <w:pgSz w:w="11900" w:h="16838" w:orient="portrait"/>
          <w:cols w:equalWidth="0" w:num="1">
            <w:col w:w="11420"/>
          </w:cols>
          <w:pgMar w:left="240" w:top="226" w:right="23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5" w:name="page126"/>
    <w:bookmarkEnd w:id="1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ESCROW RECEIVABLE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2018, the Company placed $200,000 in an escrow account in connection with the Company’s indemnification as part of their IPO raise. The escrow shall remain in place for a period of 18 months until November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 TERM INVESTMENT</w:t>
      </w:r>
    </w:p>
    <w:p>
      <w:pPr>
        <w:spacing w:after="0" w:line="229"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Equity Investment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(“Huanyu”). The Company invested funds for a 30% equity interest in Huanyu for $0.15 million (RMB 1,000,000). For the year ended June 30, 2018, 30% of the loss from Huanyu was $8,684 and was included in other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The investment in Huanyu was accounted for using the equity method with the cost allocated as follows: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6"/>
              </w:rPr>
              <w:t>As of June 30,</w:t>
            </w:r>
          </w:p>
        </w:tc>
      </w:tr>
      <w:tr>
        <w:trPr>
          <w:trHeight w:val="241"/>
        </w:trPr>
        <w:tc>
          <w:tcPr>
            <w:tcW w:w="10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Original investment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Loss in equity interest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(8,684)</w:t>
            </w:r>
          </w:p>
        </w:tc>
      </w:tr>
      <w:tr>
        <w:trPr>
          <w:trHeight w:val="237"/>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0"/>
        </w:trPr>
        <w:tc>
          <w:tcPr>
            <w:tcW w:w="101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142,590</w:t>
            </w:r>
          </w:p>
        </w:tc>
        <w:tc>
          <w:tcPr>
            <w:tcW w:w="80" w:type="dxa"/>
            <w:vAlign w:val="bottom"/>
          </w:tcPr>
          <w:p>
            <w:pPr>
              <w:spacing w:after="0"/>
              <w:rPr>
                <w:sz w:val="21"/>
                <w:szCs w:val="21"/>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Investment at cost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13, 2018, the Company purchased a 2.7% equity interest in Lihong in Shanghai for consideration of $0.15 million (RMB 1,000,000) to develop new business. The consideration has not been paid for and is recorded as a liability as of June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NOTE 12 – SHORT TERM LOANS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Outstanding balances of short term bank loans consisted of the following:</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Loan from Bank of Communication, with an interest rate of 5.655% per annum due on July 20, 2018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spacing w:after="0" w:line="201" w:lineRule="exact"/>
              <w:rPr>
                <w:sz w:val="20"/>
                <w:szCs w:val="20"/>
                <w:color w:val="auto"/>
              </w:rPr>
            </w:pPr>
            <w:r>
              <w:rPr>
                <w:rFonts w:ascii="Arial" w:cs="Arial" w:eastAsia="Arial" w:hAnsi="Arial"/>
                <w:sz w:val="18"/>
                <w:szCs w:val="18"/>
                <w:color w:val="auto"/>
                <w:w w:val="96"/>
              </w:rPr>
              <w:t>Loan from China Merchants Bank, with an interest rate of 5.655% per annum due in July and August, 2018,</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1,813,483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2,553,989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6, 2017, the Company entered into a revolving credit facility with Bank of Communication (“BC Credit Facility”) which permits the Company to borrow up to approximately $753,100 (RMB 5,000,000) during the period from October 9, 2017 to October 9, 2018. The Company borrowed $753,116 (RMB 4,900,000) with an interest rate at 5.655% per annum on November 8, 2017 and repaid the loan on February 8,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 2018, the Company entered into an additional credit facility with China Merchants Bank which permits the Company to borrow up to $1,111,712 (RMB 7,000,000). The Company borrowed $1,111,712 (RMB 7,000,000) with an interest rate at 5.655% per annum on February 9, 2018 and repaid the loan on July 2,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8, 2018, the Company borrowed $740,506 (RMB 4,900,000) from Bank of Communication at an interest rate of 5.655% per annum and due on July 20, 2018. On July 20, 2018, the Company repaid the loan.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6" w:name="page127"/>
    <w:bookmarkEnd w:id="1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SHORT TERM LOANS -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17, 2017, the Company entered into a revolving credit facility with China Merchants Bank (“CMB Credit Facility”) which permits the Company to borrow up to approximately $753,100 (RMB 5,000,000) with an interest rate at 5.655% per annum during the period from May 17, 2017 to May 16, 2018. The CMB Credit Facility is guaranteed by the CEO and Chairman and President of the Company as joint guarantors. In September 2017, the Company borrowed the full credit amount (RMB 5,000,000) the loans were repaid by May 2018. The credit facility was renewed on June 22, 2018, and the credit line was up to $1,543,115 (RMB 10,000,000).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fiscal year 2018, the Company borrowed $4,152,377 (RMB 27,000,000) from CMB Credit Facility with an interest rate at 5.655% per annum. As of June 30, 2018, the Company had a balance of $1,813,483 (RMB 12,000,000) with China Merchants Bank. These loans were repaid in July and August 2018 respectively.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22, 2018, the Company entered into a revolving credit facility with China Merchants Bank (“CMB Credit Facility”) which permits the Company to borrow up to approximately $1,543,115 (RMB 10,000,000) for the period from July 11, 2018 to July 10, 2019 with an interest rate at 5.655% per annum. The CMB Credit Facility is guaranteed by the CEO, the wife of the CEO, Chairman, and the wife of Chairman of the Company, and Shanghai Small and Medium-sized Enterprises Policy Financing Guarantee Fund Management Centre as joint guarantors. On July 11, 2018, the Company borrowed $1,543,115 due on July 11, 2019.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8, 2018, the Company borrowed $292,770 (RMB 2,000,000) from Bank of Communication with an interest rate at 5.655% per annum expiring November 15,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10, 2018, the Company borrowed $438,629 (RMB 3,000,000) from China Merchants Bank at an interest rate of 5.133% per annum and due on August 9,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15, 2018, the Company borrowed $435,692 (RMB 3,000,000) from China Merchants Bank at an interest rate of 5.655% per annum and due on August 14,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5, 2018, the Company borrowed $439,457 (RMB 3,000,000) from Bank of Communication at an interest rate of 5.0025% per annum and due on December 20,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7, 2018, the Company borrowed $ 293,204 (RMB 2,000,000) from China Merchants Bank at an interest rate of 5.655% per annum and due on September 6,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$82,507, Nil and Nil for the years ended June 30, 2018, 2017 and 2016,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SALARIES AND BENEFITS PAYABLE</w:t>
      </w:r>
    </w:p>
    <w:p>
      <w:pPr>
        <w:spacing w:after="0" w:line="23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tabs>
          <w:tab w:leader="none" w:pos="8800" w:val="left"/>
          <w:tab w:leader="none" w:pos="9220" w:val="left"/>
          <w:tab w:leader="none" w:pos="10160" w:val="left"/>
          <w:tab w:leader="none" w:pos="10580" w:val="left"/>
        </w:tabs>
        <w:rPr>
          <w:sz w:val="20"/>
          <w:szCs w:val="20"/>
          <w:color w:val="auto"/>
        </w:rPr>
      </w:pPr>
      <w:r>
        <w:rPr>
          <w:rFonts w:ascii="Arial" w:cs="Arial" w:eastAsia="Arial" w:hAnsi="Arial"/>
          <w:sz w:val="18"/>
          <w:szCs w:val="18"/>
          <w:color w:val="auto"/>
        </w:rPr>
        <w:t>Salaries and benefits payable</w:t>
      </w:r>
      <w:r>
        <w:rPr>
          <w:sz w:val="20"/>
          <w:szCs w:val="20"/>
          <w:color w:val="auto"/>
        </w:rPr>
        <w:tab/>
      </w:r>
      <w:r>
        <w:rPr>
          <w:rFonts w:ascii="Arial" w:cs="Arial" w:eastAsia="Arial" w:hAnsi="Arial"/>
          <w:sz w:val="34"/>
          <w:szCs w:val="34"/>
          <w:color w:val="auto"/>
          <w:vertAlign w:val="subscript"/>
        </w:rPr>
        <w:t>$</w:t>
      </w:r>
      <w:r>
        <w:rPr>
          <w:rFonts w:ascii="Arial" w:cs="Arial" w:eastAsia="Arial" w:hAnsi="Arial"/>
          <w:sz w:val="34"/>
          <w:szCs w:val="34"/>
          <w:color w:val="auto"/>
        </w:rPr>
        <w:tab/>
      </w:r>
      <w:r>
        <w:rPr>
          <w:rFonts w:ascii="Arial" w:cs="Arial" w:eastAsia="Arial" w:hAnsi="Arial"/>
          <w:sz w:val="34"/>
          <w:szCs w:val="34"/>
          <w:color w:val="auto"/>
          <w:vertAlign w:val="subscript"/>
        </w:rPr>
        <w:t>7,341,688</w:t>
      </w:r>
      <w:r>
        <w:rPr>
          <w:sz w:val="20"/>
          <w:szCs w:val="20"/>
          <w:color w:val="auto"/>
        </w:rPr>
        <w:tab/>
      </w:r>
      <w:r>
        <w:rPr>
          <w:rFonts w:ascii="Arial" w:cs="Arial" w:eastAsia="Arial" w:hAnsi="Arial"/>
          <w:sz w:val="34"/>
          <w:szCs w:val="34"/>
          <w:u w:val="single" w:color="auto"/>
          <w:color w:val="auto"/>
          <w:vertAlign w:val="subscript"/>
        </w:rPr>
        <w:t>$</w:t>
      </w:r>
      <w:r>
        <w:rPr>
          <w:sz w:val="20"/>
          <w:szCs w:val="20"/>
          <w:color w:val="auto"/>
        </w:rPr>
        <w:tab/>
      </w:r>
      <w:r>
        <w:rPr>
          <w:rFonts w:ascii="Arial" w:cs="Arial" w:eastAsia="Arial" w:hAnsi="Arial"/>
          <w:sz w:val="24"/>
          <w:szCs w:val="24"/>
          <w:u w:val="single" w:color="auto"/>
          <w:color w:val="auto"/>
          <w:vertAlign w:val="subscript"/>
        </w:rPr>
        <w:t>5,392,434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Salaries and benefits payable included $3,075,391 and $2,349,795 accrued employer portion of social benefits payable to local governments as of June 30, 2018 and 2017,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r>
              <w:rPr>
                <w:rFonts w:ascii="Arial" w:cs="Arial" w:eastAsia="Arial" w:hAnsi="Arial"/>
                <w:sz w:val="18"/>
                <w:szCs w:val="18"/>
                <w:b w:val="1"/>
                <w:bCs w:val="1"/>
                <w:color w:val="auto"/>
              </w:rPr>
              <w:t>NOTE 14 – RELATED PARTY TRANSACTIONS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20" w:type="dxa"/>
            <w:vAlign w:val="bottom"/>
          </w:tcPr>
          <w:p>
            <w:pPr>
              <w:spacing w:after="0"/>
              <w:rPr>
                <w:sz w:val="20"/>
                <w:szCs w:val="20"/>
                <w:color w:val="auto"/>
              </w:rPr>
            </w:pPr>
            <w:r>
              <w:rPr>
                <w:rFonts w:ascii="Arial" w:cs="Arial" w:eastAsia="Arial" w:hAnsi="Arial"/>
                <w:sz w:val="18"/>
                <w:szCs w:val="18"/>
                <w:color w:val="auto"/>
              </w:rPr>
              <w:t>The balances due to and due from related parties were as follows: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96"/>
              </w:rPr>
              <w:t>Non-controlling shareholder of CLPS Beijing before acquisition of the remaining 30% equity on June 27, 2018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Non-controlling interest shareholder of Judge China</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131,321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vMerge w:val="continue"/>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Due to related parties</w:t>
            </w: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4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8"/>
                <w:szCs w:val="18"/>
                <w:color w:val="auto"/>
              </w:rPr>
              <w:t>Non-controlling shareholder of JQ</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45,615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 Raymond Ming Hui Lin, CEO of the Company (i)</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162,727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20" w:type="dxa"/>
            <w:vAlign w:val="bottom"/>
            <w:vMerge w:val="continue"/>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208,342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1,729,791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Due to related parties mainly represents the unpaid bonus, dividends, wages and other benefit to the Company’s CEO.</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 is five years starting on December 9, 2017. Mr. Xiao Feng Yang, Mr. Raymond Ming Hui Lin and Ms. Tian van Acken’s basic annual compensations are approximately $94,100, $71,400 and $93,010, respectively, with annual bonuses determined based on the sole direction of the Compensation Committee of the Board of Directors in accordance with criteria established by the Compensation Committee of the Board.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17, 2017, the Company entered into a revolving credit facility with China Merchants Bank (“CMB Credit Facility”) which permits the Company to borrow up to approximately $753,100 (RMB 5,000,000) during the period from May 17, 2017 to May 16, 2018. The CMB Credit Facility is guaranteed by the CEO and Chairman and President of the Company as joint guarantors. In September, 2017, the Company borrowed the full credit amount (RMB 5,000,000) and the loans were repaid by May 2018. The credit facility was renewed on June 22, 2018, and the credit line was up to $1,543,115 (RMB 10,000,000).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 2018, the Company entered into an additional credit facility with China Merchants Bank which permits the Company to borrow up to $1,111,712 (RMB 7,000,000). The Company borrowed $1,111,712 (RMB 7,000,000) with an interest rate at 5.655% per annum on February 9, 2018 and repaid the loan on July 2,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2018, the Company borrowed $4,152,377 (RMB 27,000,000) from CMB Credit Facility. As of June 30, 2018, the Company had a balance of $1,813,483 (RMB 12,000,000) with China Merchants Bank. These loans were repaid in July and August 2018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22, 2018, the Company entered into a revolving credit facility with China Merchants Bank (“CMB Credit Facility”) which permits the Company to borrow up to approximately $1,543,115 (RMB 10,000,000) during the period from July 11, 2018 to July 10, 2019. The CMB Credit Facility is guaranteed by the CEO, the wife of the CEO, Chairman, and the wife of Chairman of the Company, and Shanghai Small and Medium-sized Enterprises Policy Financing Guarantee Fund Management Centre as joint guarantors.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8" w:name="page129"/>
    <w:bookmarkEnd w:id="1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w:t>
      </w:r>
    </w:p>
    <w:p>
      <w:pPr>
        <w:spacing w:after="0" w:line="225" w:lineRule="exact"/>
        <w:rPr>
          <w:sz w:val="20"/>
          <w:szCs w:val="20"/>
          <w:color w:val="auto"/>
        </w:rPr>
      </w:pPr>
    </w:p>
    <w:p>
      <w:pPr>
        <w:ind w:left="580" w:hanging="572"/>
        <w:spacing w:after="0"/>
        <w:tabs>
          <w:tab w:leader="none" w:pos="5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CLPS Hong Kong was established in Hong Kong and is subject to statutory income tax rate at 16.5%. CLPS SG is subject to Singapore income tax at the rate of 17%. CLPS AU was established in Australia and is subject to corporate income tax at 30%. JL are subject to Taiwan income tax at the rate of 17%.</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Enterprise Income Tax (“EIT”) Law of PRC, domestic enterprises and Foreign Investment Enterprises (the “FIE”) are usually subject to a unified 25% enterprise income tax rate while preferential tax rates, tax holidays and even tax exemption may be granted on case-by-case basis. EIT grants preferential tax treatment to certain High and New Technology Enterprises (“HNTEs”). Under this preferential tax treatment, HNTEs are entitled to an income tax rate of 15%, subject to a requirement that they re-apply for HNTE status every three years. CLPS Shanghai, the Company’s main operating subsidiary in PRC, has been approved as HNTEs in 2013 and reapproved in 2016. The Company is entitled to a reduced income tax rate of 15% through November 2019.</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EIT is typically governed by the local tax authority in China. Each local tax authority at times may grant tax holidays to local enterprises as a way to encourage entrepreneurship and stimulate local economy. The impact of the tax holidays noted above decreased income taxes by $285,130, $317,488 and $290,159 for the fiscal year 2018, 2017 and 2016, respectively. The benefit of the tax holidays on net income per share (basic and diluted) was $0.02, 0.03 and $0.03 for the years ended June 30, 2018, 2017 and 2016,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13"/>
          </w:tcPr>
          <w:p>
            <w:pPr>
              <w:jc w:val="right"/>
              <w:ind w:right="94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2,863,419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2,297,424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Non-PRC</w:t>
            </w:r>
          </w:p>
        </w:tc>
        <w:tc>
          <w:tcPr>
            <w:tcW w:w="10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(260,649)</w:t>
            </w:r>
          </w:p>
        </w:tc>
        <w:tc>
          <w:tcPr>
            <w:tcW w:w="1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(413,400)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(243,300)</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2,602,770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2,102,811</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2,054,124</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following table reconciles the statutory rate to the Company’s effective tax rate: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right"/>
              <w:ind w:right="5"/>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PRC statutory income tax rate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1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PRC preferential tax rate and tax holidays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R&amp;D credits</w:t>
            </w:r>
          </w:p>
        </w:tc>
        <w:tc>
          <w:tcPr>
            <w:tcW w:w="1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 and others*</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72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Effective tax rate</w:t>
            </w: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1"/>
              </w:rPr>
              <w:t>)%</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81"/>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60" w:right="4240" w:hanging="5552"/>
        <w:spacing w:after="0" w:line="778" w:lineRule="auto"/>
        <w:tabs>
          <w:tab w:leader="none" w:pos="1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Permanent difference and other primarily represented tax effect on the intercompany transactions. 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9" w:name="page130"/>
    <w:bookmarkEnd w:id="1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(a)</w:t>
            </w:r>
          </w:p>
        </w:tc>
        <w:tc>
          <w:tcPr>
            <w:tcW w:w="7040" w:type="dxa"/>
            <w:vAlign w:val="bottom"/>
          </w:tcPr>
          <w:p>
            <w:pPr>
              <w:ind w:left="180"/>
              <w:spacing w:after="0"/>
              <w:rPr>
                <w:sz w:val="20"/>
                <w:szCs w:val="20"/>
                <w:color w:val="auto"/>
              </w:rPr>
            </w:pPr>
            <w:r>
              <w:rPr>
                <w:rFonts w:ascii="Arial" w:cs="Arial" w:eastAsia="Arial" w:hAnsi="Arial"/>
                <w:sz w:val="18"/>
                <w:szCs w:val="18"/>
                <w:b w:val="1"/>
                <w:bCs w:val="1"/>
                <w:color w:val="auto"/>
              </w:rPr>
              <w:t>Corporate Income Taxes (“CIT”) (continued)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The provision (benefit) for income tax consists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CCEEFF"/>
            </w:tcBorders>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Deferred income tax benefit</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(208,051)</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7"/>
        </w:trPr>
        <w:tc>
          <w:tcPr>
            <w:tcW w:w="74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(benefit) provision for income tax expenses</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(112,128</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140" w:type="dxa"/>
            <w:vAlign w:val="bottom"/>
            <w:vMerge w:val="continue"/>
            <w:shd w:val="clear" w:color="auto" w:fill="CCEEFF"/>
          </w:tcPr>
          <w:p>
            <w:pPr>
              <w:spacing w:after="0"/>
              <w:rPr>
                <w:sz w:val="21"/>
                <w:szCs w:val="21"/>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1"/>
        </w:trPr>
        <w:tc>
          <w:tcPr>
            <w:tcW w:w="4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June 30, 2018, the tax years ended December 31, 2012 through December 31, 2017 for the Company’s PRC entities remain open for statutory examination by PRC tax authorities.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 of assets and liabilities for financial reporting purposes and the amounts used for income tax purposes. As of June 30, 2018 and 2017, the Company had net operating loss carry forwards of approximately $3,752,850 and $1,234,500, respectively, from the Company’s PRC subsidiaries, which will expire by December 31, 2021. As of June 30, 2018, the Company had net operating loss carry forwards of approximately $458,000, $137,000, $76,000 and $3,000 from its operations in Singapore, Australia, Hong Kong and Taiwan, respectively. The net operating losses in Singapore, Australia and Hong Kong will be carried forward indefinitely.</w:t>
      </w:r>
    </w:p>
    <w:p>
      <w:pPr>
        <w:sectPr>
          <w:pgSz w:w="11900" w:h="16838" w:orient="portrait"/>
          <w:cols w:equalWidth="0" w:num="1">
            <w:col w:w="11420"/>
          </w:cols>
          <w:pgMar w:left="240" w:top="226"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components of the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operating loss carry 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expenses and other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r>
      <w:tr>
        <w:trPr>
          <w:trHeight w:val="241"/>
        </w:trPr>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431"/>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649,766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423,543</w:t>
            </w:r>
          </w:p>
        </w:tc>
      </w:tr>
      <w:tr>
        <w:trPr>
          <w:trHeight w:val="237"/>
        </w:trPr>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57,965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9,611</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433,154</w:t>
            </w:r>
          </w:p>
        </w:tc>
      </w:tr>
    </w:tbl>
    <w:p>
      <w:pPr>
        <w:spacing w:after="0" w:line="20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Unbilled accounts receivables</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(169,266)</w:t>
            </w: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(62,855)</w:t>
            </w: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contract cost</w:t>
            </w:r>
          </w:p>
        </w:tc>
        <w:tc>
          <w:tcPr>
            <w:tcW w:w="3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(26,368)</w:t>
            </w:r>
          </w:p>
        </w:tc>
        <w:tc>
          <w:tcPr>
            <w:tcW w:w="2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(71,346)</w:t>
            </w:r>
          </w:p>
        </w:tc>
      </w:tr>
      <w:tr>
        <w:trPr>
          <w:trHeight w:val="210"/>
        </w:trPr>
        <w:tc>
          <w:tcPr>
            <w:tcW w:w="5580" w:type="dxa"/>
            <w:vAlign w:val="bottom"/>
            <w:tcBorders>
              <w:top w:val="single" w:sz="8" w:color="CCEEFF"/>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Total deferred tax liabilities</w:t>
            </w:r>
          </w:p>
        </w:tc>
        <w:tc>
          <w:tcPr>
            <w:tcW w:w="32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(195,634</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(134,201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55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5580" w:type="dxa"/>
            <w:vAlign w:val="bottom"/>
          </w:tcPr>
          <w:p>
            <w:pPr>
              <w:ind w:left="180"/>
              <w:spacing w:after="0"/>
              <w:rPr>
                <w:sz w:val="20"/>
                <w:szCs w:val="20"/>
                <w:color w:val="auto"/>
              </w:rPr>
            </w:pPr>
            <w:r>
              <w:rPr>
                <w:rFonts w:ascii="Arial" w:cs="Arial" w:eastAsia="Arial" w:hAnsi="Arial"/>
                <w:sz w:val="18"/>
                <w:szCs w:val="18"/>
                <w:color w:val="auto"/>
              </w:rPr>
              <w:t>Total deferred tax assets, net</w:t>
            </w:r>
          </w:p>
        </w:tc>
        <w:tc>
          <w:tcPr>
            <w:tcW w:w="3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512,097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298,953</w:t>
            </w:r>
          </w:p>
        </w:tc>
        <w:tc>
          <w:tcPr>
            <w:tcW w:w="80" w:type="dxa"/>
            <w:vAlign w:val="bottom"/>
          </w:tcPr>
          <w:p>
            <w:pPr>
              <w:spacing w:after="0"/>
              <w:rPr>
                <w:sz w:val="22"/>
                <w:szCs w:val="22"/>
                <w:color w:val="auto"/>
              </w:rPr>
            </w:pPr>
          </w:p>
        </w:tc>
      </w:tr>
      <w:tr>
        <w:trPr>
          <w:trHeight w:val="21"/>
        </w:trPr>
        <w:tc>
          <w:tcPr>
            <w:tcW w:w="5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group’s deferred tax assets is dependent upon the generation of future income, exclusive of reversing taxable temporary differences. Based upon the level of historical taxable income and projections for future taxable income over the periods in which the deferred tax assets are recoverable, management believes that it is more likely than not that the results of future operations will generate sufficient taxable income to realize the deferred tax assets as at June 30, 2018 and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0" w:name="page131"/>
    <w:bookmarkEnd w:id="1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Taxes Payable</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color w:val="auto"/>
              </w:rPr>
              <w:t>The Company’s taxes payable consists of the following:</w:t>
            </w: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tax payable</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Corporate income tax payable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96,636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Withholding tax payable</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257,942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Disability insurance fund payable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299,645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2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22,150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taxes payable</w:t>
            </w:r>
          </w:p>
        </w:tc>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gridSpan w:val="2"/>
            <w:vMerge w:val="continue"/>
          </w:tcPr>
          <w:p>
            <w:pPr>
              <w:spacing w:after="0"/>
              <w:rPr>
                <w:sz w:val="20"/>
                <w:szCs w:val="20"/>
                <w:color w:val="auto"/>
              </w:rPr>
            </w:pP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904,850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640,864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 the unrecognized benefits associated with the tax positions. As of June 30, 2018 and 2017, the Company did not have any significant unrecognized uncertain tax positions. The Company did not incur any interest and penalties related to potential underpaid income tax expenses for the years ended June 30, 2018 and 2017, respectively, and also does not anticipate any significant increases or decreases in unrecognized tax benefits in the next 12 months from June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subsidiaries lease administrative office space under various operating leases. Rent expense amounted to $730,705 and $565,328 for the years ended June 30, 2018 and 2017, respectively.</w:t>
      </w:r>
    </w:p>
    <w:p>
      <w:pPr>
        <w:sectPr>
          <w:pgSz w:w="11900" w:h="16838" w:orient="portrait"/>
          <w:cols w:equalWidth="0" w:num="1">
            <w:col w:w="11420"/>
          </w:cols>
          <w:pgMar w:left="240" w:top="226"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non-cancelable operating leases are as follows: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Lease</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expense</w:t>
      </w:r>
    </w:p>
    <w:p>
      <w:pPr>
        <w:spacing w:after="0" w:line="22" w:lineRule="exact"/>
        <w:rPr>
          <w:sz w:val="20"/>
          <w:szCs w:val="20"/>
          <w:color w:val="auto"/>
        </w:rPr>
      </w:pPr>
    </w:p>
    <w:p>
      <w:pPr>
        <w:ind w:left="660" w:hanging="651"/>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699,019</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235,303</w:t>
      </w:r>
    </w:p>
    <w:p>
      <w:pPr>
        <w:spacing w:after="0" w:line="32"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14,217</w:t>
      </w:r>
    </w:p>
    <w:p>
      <w:pPr>
        <w:spacing w:after="0" w:line="85" w:lineRule="exact"/>
        <w:rPr>
          <w:sz w:val="20"/>
          <w:szCs w:val="20"/>
          <w:color w:val="auto"/>
        </w:rPr>
      </w:pPr>
    </w:p>
    <w:p>
      <w:pPr>
        <w:ind w:left="660" w:hanging="651"/>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948,539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886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886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7886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226" w:right="239" w:bottom="1440" w:gutter="0" w:footer="0" w:header="0"/>
          <w:type w:val="continuous"/>
        </w:sect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1" w:name="page132"/>
    <w:bookmarkEnd w:id="1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b w:val="1"/>
                <w:bCs w:val="1"/>
                <w:color w:val="auto"/>
              </w:rPr>
              <w:t>Basic earnings per share calculation: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CLPS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2,434,463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2,047,445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1,826,112</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ordinary shares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11,517,123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11,290,000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11,290,000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Basic earnings per share attributable to CLPS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calculation: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CLPS for calculating diluted earnings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2,434,463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2,047,445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1,826,112</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ordinary shares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11,517,123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11,290,000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11,290,000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Weighted average ordinary shares equivalents: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Effects of dilutive securities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Shares used in computing diluted earnings per share attributable to CLPS</w:t>
            </w: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11,636,367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11,290,000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11,290,000</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earnings per share attributable to CLPS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PUBLIC OFFERING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Initial Public Offering (“IPO”) on May 24, 2018, the Company issued the following warrants to the placement agents for the offering.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24, 2018, CLPS completed a private placement of 93,030 warrants to Gear Capital Partners Limited (“Gear Ltd.”), acting as counsel of CLPS. Each warrant entitles Gear Ltd. to purchase shares at $4.20 per share. The warrants carry a term of five years expiring on May 22, 2023 and shall not be exercisable for a period of 180 days from May 23,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24, 2018, CLPS completed a private placement of 107,000 warrants to Ascent Investor Relations LLC. (“Ascent”), acting as investor relations consultant of CLPS. Each warrant entitles Ascent to purchase shares at $4.20 per share. The warrants carry a term of five years expiring on May 22, 2023 and shall not be exercisable for a period of 180 days from May 23, 2018.</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29, 2018, CLPS completed a private placement of 83,162 warrants to Jay Linde, Cuttone &amp; Co., LLC, THE BENCHMARK COMPANY, LLC, and Alberleen Group LLC, (together, “Holders”), acting as underwriters of CLPS. Each warrant entitles Holders to purchase shares at $6.30 per share. The warrants carry a term of five years expiring on May 22, 2023 and shall not be exercisable for a period of 180 days from May 23,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The Company uses the Black-Scholes option pricing model to estimate the fair value of warrants.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The assumptions used to value the Company’s warrant grants were as follows: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012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For the years</w:t>
            </w:r>
          </w:p>
        </w:tc>
      </w:tr>
      <w:tr>
        <w:trPr>
          <w:trHeight w:val="216"/>
        </w:trPr>
        <w:tc>
          <w:tcPr>
            <w:tcW w:w="10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10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0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283,192</w:t>
            </w:r>
          </w:p>
        </w:tc>
        <w:tc>
          <w:tcPr>
            <w:tcW w:w="16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49.39%</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term represents the weighted average period of time that share-based awards granted are expected to be outstanding giving consideration to historical exercise patterns. Expected volatilities are based on historical volatilities of the similar public company’s ordinary shares over the respective expected term of the share-based awards. Risk-free interest rate is based on US Treasury zero-coupon issues with maturity terms similar to the expected term on the share-based awards.</w:t>
      </w:r>
    </w:p>
    <w:p>
      <w:pPr>
        <w:sectPr>
          <w:pgSz w:w="11900" w:h="16838" w:orient="portrait"/>
          <w:cols w:equalWidth="0" w:num="1">
            <w:col w:w="11420"/>
          </w:cols>
          <w:pgMar w:left="240" w:top="226" w:right="239" w:bottom="1109"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109" w:gutter="0" w:footer="0" w:header="0"/>
          <w:type w:val="continuous"/>
        </w:sectPr>
      </w:pPr>
    </w:p>
    <w:bookmarkStart w:id="132" w:name="page133"/>
    <w:bookmarkEnd w:id="1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NOTE 18 – SHARE-BASED PAYMENT - continued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The following table sets forth the summary of warrants activities: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Weighted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Average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warrants</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July 1, 2017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83,162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240" w:type="dxa"/>
            <w:vAlign w:val="bottom"/>
          </w:tcPr>
          <w:p>
            <w:pPr>
              <w:ind w:left="600"/>
              <w:spacing w:after="0"/>
              <w:rPr>
                <w:sz w:val="20"/>
                <w:szCs w:val="20"/>
                <w:color w:val="auto"/>
              </w:rPr>
            </w:pPr>
            <w:r>
              <w:rPr>
                <w:rFonts w:ascii="Arial" w:cs="Arial" w:eastAsia="Arial" w:hAnsi="Arial"/>
                <w:sz w:val="18"/>
                <w:szCs w:val="18"/>
                <w:color w:val="auto"/>
                <w:w w:val="83"/>
              </w:rPr>
              <w:t>4.9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3"/>
              </w:rPr>
              <w:t>4.9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Outstanding as of June 30, 2018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283,192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June 30, 2018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Vested as of June 30, 2018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283,192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aggregated fair value of the Public Offering Warrants on May 24, 2018 was $612,223. As of June 30, 2018, 283,192 shares of warrants were issued and outstanding. No warrants were exercised during the fiscal year 2018 and through the date of this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CLPS was established under the laws of Cayman Islands on May 11, 2017. The original authorized number of common shares was 1 share with a par value of $1. After an amendment on December 7, 2017, the authorized number of common shares became 100,000,000 shares with a par value of $0.0001 each.</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18, 2017, the Board of Directors (“Board”) approved the 2017 Stock Incentive Plan (“Plan”), subject to approval by the Company’s shareholders. The Plan is a share-based compensation plan that provides for discretionary grants of, among others, RSU,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The Board authorized up to 2,210,000 shares for grants under the terms of the Plan. The grants under the Plan generally have a maximum contractual term of ten years from the date of grant. Stock awards granted under the plan at the determination of the Board shall be effective and exercisable upon the Company’ completion of an initial public offering of its securities. The terms of individual agreements for various grants under the Plan will be determined by the Board (or its Compensation Committee) and might contain both service and performance conditions.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paid-in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additional paid-in capital in the consolidated balance sheet represented net proceeds of initial public offering and seasoned equity offering, and the combined contributed capital of the Company’s subsidiaries.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 to develop business in the related area.</w:t>
      </w:r>
    </w:p>
    <w:p>
      <w:pPr>
        <w:sectPr>
          <w:pgSz w:w="11900" w:h="16838" w:orient="portrait"/>
          <w:cols w:equalWidth="0" w:num="1">
            <w:col w:w="11420"/>
          </w:cols>
          <w:pgMar w:left="240" w:top="226" w:right="23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3" w:name="page134"/>
    <w:bookmarkEnd w:id="1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SHAREHOLDERS’ EQUITY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paid-in capital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24, 2018, CLPS consummated its initial public offering, or IPO, of 2,000,000 common shares, $0.0001 par value per share. The units were sold at an offering price of $5.25 per unit, generating total gross proceeds of $10.5 million. Net proceeds from the IPO were $9.5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8, 2018, CLPS Incorporation (the “Company”) closed on the exercise in full of the over-allotment option to purchase an additional 300,000 common shares of the Company by The Benchmark Company, LLC, the representative of the underwriters in connection with and the book running manager of the Company’s U.S. firm commitment underwritten initial public offering (“IPO”) (“Benchmark”), at the IPO price of $5.25 per share. As a result, the Company has raised gross proceeds of approximately $1.58 million, in addition to the IPO gross proceeds of approximately $10.5 million, or combined gross proceeds in this IPO of approximately $12.08 million, before underwriting discounts and commissions and offering expenses. The Company’s shares trade on The Nasdaq Capital Market under the trading symbol “CLPS.”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$437,796, $261,949 and $429,439 to statutory reserves during the years ended June 30, 2018, 2017 and 2016, respectively in accordance with PRC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NON-CONTROLLING INTERESTS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CLPS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CLPS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CLPS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CLPS</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Judge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Beijing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Shenzhen</w:t>
            </w:r>
          </w:p>
        </w:tc>
        <w:tc>
          <w:tcPr>
            <w:tcW w:w="8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Hong Kong</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China</w:t>
            </w:r>
          </w:p>
        </w:tc>
        <w:tc>
          <w:tcPr>
            <w:tcW w:w="220" w:type="dxa"/>
            <w:vAlign w:val="bottom"/>
          </w:tcPr>
          <w:p>
            <w:pPr>
              <w:spacing w:after="0"/>
              <w:rPr>
                <w:sz w:val="20"/>
                <w:szCs w:val="20"/>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JQ</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(i)</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Repurchase of non-controlling interest (ii)</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as of June 30, 2016</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4,034</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4,034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(20,157)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157,775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173,912</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shareholders (iii) (iv)</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6,438</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290,994</w:t>
            </w: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297,432</w:t>
            </w: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as of June 30, 2017</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42,283</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(13,648)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449,453</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477,110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31,705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54,651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146,594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280,435</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shareholders (v)</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 subsidiaries’ shares from non-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 (vi)</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(91,533)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(91,533)</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10,068</w:t>
            </w: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7"/>
        </w:trPr>
        <w:tc>
          <w:tcPr>
            <w:tcW w:w="3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June 30, 2018</w:t>
            </w: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4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514,172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146,621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676,282</w:t>
            </w:r>
          </w:p>
        </w:tc>
        <w:tc>
          <w:tcPr>
            <w:tcW w:w="0" w:type="dxa"/>
            <w:vAlign w:val="bottom"/>
          </w:tcPr>
          <w:p>
            <w:pPr>
              <w:spacing w:after="0"/>
              <w:rPr>
                <w:sz w:val="1"/>
                <w:szCs w:val="1"/>
                <w:color w:val="auto"/>
              </w:rPr>
            </w:pPr>
          </w:p>
        </w:tc>
      </w:tr>
      <w:tr>
        <w:trPr>
          <w:trHeight w:val="21"/>
        </w:trPr>
        <w:tc>
          <w:tcPr>
            <w:tcW w:w="3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60" w:right="2320" w:hanging="5552"/>
        <w:spacing w:after="0" w:line="778" w:lineRule="auto"/>
        <w:tabs>
          <w:tab w:leader="none" w:pos="342"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the year ended June 30, 2016, the non-controlling shareholder of CLPS Beijing contributed $46,919 to CLPS Beijing. 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4" w:name="page135"/>
    <w:bookmarkEnd w:id="1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NON-CONTROLLING INTERESTS - continued</w:t>
      </w:r>
    </w:p>
    <w:p>
      <w:pPr>
        <w:spacing w:after="0" w:line="229" w:lineRule="exact"/>
        <w:rPr>
          <w:sz w:val="20"/>
          <w:szCs w:val="20"/>
          <w:color w:val="auto"/>
        </w:rPr>
      </w:pPr>
    </w:p>
    <w:p>
      <w:pPr>
        <w:jc w:val="both"/>
        <w:ind w:left="340" w:hanging="332"/>
        <w:spacing w:after="0" w:line="264"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the year ended June 30, 2016, the Company paid $6,987 to acquire a non-controlling interest in CLPS RC. After the acquisition, CLPS RC became a wholly owned subsidiary of the Company. The payment in excess of carrying value of the non-controlling interest amounted to $5,199, which was charge to additional paid in capital.</w:t>
      </w:r>
    </w:p>
    <w:p>
      <w:pPr>
        <w:spacing w:after="0" w:line="167"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the year ended June 30, 2017, the non-controlling shareholder of CLPS Hong Kong contributed $6,438 as capital.</w:t>
      </w:r>
    </w:p>
    <w:p>
      <w:pPr>
        <w:spacing w:after="0" w:line="21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November 9, 2016, CLPS Shanghai acquired 60% of Judge China and its 70% owned subsidiary Judge HR from Judge Asia. As a result, the fair value of non-controlling interests was $290,994.</w:t>
      </w:r>
    </w:p>
    <w:p>
      <w:pPr>
        <w:spacing w:after="0" w:line="15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October 17, 2017, the Company acquired 55% of JQ and its 100% owned subsidiary – JL. For the year ended June 30, 2018, the non-controlling shareholder of JQ contributed $70 to JQ.</w:t>
      </w:r>
    </w:p>
    <w:p>
      <w:pPr>
        <w:spacing w:after="0" w:line="15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June 27, 2018, Qiner acquired 30% of CLPS Beijing and 70% of its equity was owned by CLPS Shanghai. As a result, the Company controlled 100% of CLPS Beijing as of June 30,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INFORMATION AND REVENUE ANALYSIS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 has one operating segment. The Company’s revenue and net income are substantially derived from enterprise application services and financial industry IT services.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operations are primarily based in China, where the Company derives a substantial portion of their revenues. For the year ended June 30, 2018, revenues generated in mainland China, Hong Kong, Australia and Taiwan were $ 47,196,672, $1,414,174, $210,984 and $116,763, respectively. For the year ended June 30, 2017, revenues generated in mainland China, Hong Kong and Australia were $30,822,390, $362,892 and $176,694, respectively. For year ended June 30, 2016, all revenues were generated in mainland China.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the service lines for the years ended June 30, 2018,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Fintech IT consulting service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47,159,651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29,146,470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28,015,173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1,634,100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1,846,423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927,185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369,083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48,938,593</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31,361,976</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29,024,178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5, 2018, the Company paid consideration of $0.6 million for the remaining 30% equity interest of CLPS Beijing, which was a liability at June 30, 2018.</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12, 2018, the Company granted an aggregate of 671,469 restricted share units (“RSUs”) to key employees and directors under the share incentive plans. No RSUs were granted to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33% per year over a three-year period, with the first 33% vesting on the grant date. As at the grant date of July 12, 2018, the weighted-average fair value per share was $12.22 and the estimated total fair value of the RSUs granted was $8.2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 July 20, 2018, the Company decided to close down FDT-CL.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15, 2018, the shareholders of CLPS SG and CLPS AU were changed to Qiner from CLPS Shanghai pursuant to the shares purchase agreements. Qiner purchased the 100% equity interest of CLPS SG and CLPS AU from CLPS Shanghai for consideration of $0.6 million (or approximately 850,000 Singapore dollars) and $0.1 million (or approximately 200,000 Australian dollars), respectively. These transactions did not change the holding company’s ownership of these entities.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20, 2018, CLPS SG acquired an 80% interest in Infogain Solutions PTE. Ltd. (“Infogain”) located in Singapore from Sharma Devendra Prasad and Deepak Malhotra with the final purchase price of $420,000 (or approximately 576,000 Singapore dollars).</w:t>
      </w:r>
    </w:p>
    <w:p>
      <w:pPr>
        <w:sectPr>
          <w:pgSz w:w="11900" w:h="16838" w:orient="portrait"/>
          <w:cols w:equalWidth="0" w:num="1">
            <w:col w:w="11420"/>
          </w:cols>
          <w:pgMar w:left="240" w:top="226" w:right="23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5" w:name="page136"/>
    <w:bookmarkEnd w:id="1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are filed as part of this Annual Report beginning on page F-1.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7"/>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69">
              <w:r>
                <w:rPr>
                  <w:rFonts w:ascii="Arial" w:cs="Arial" w:eastAsia="Arial" w:hAnsi="Arial"/>
                  <w:sz w:val="18"/>
                  <w:szCs w:val="18"/>
                  <w:color w:val="0000EE"/>
                </w:rPr>
                <w:t>Form of Underwriting Agreement (2).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70">
              <w:r>
                <w:rPr>
                  <w:rFonts w:ascii="Arial" w:cs="Arial" w:eastAsia="Arial" w:hAnsi="Arial"/>
                  <w:sz w:val="18"/>
                  <w:szCs w:val="18"/>
                  <w:color w:val="0000EE"/>
                </w:rPr>
                <w:t>Memorandum and Articles of Association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71">
              <w:r>
                <w:rPr>
                  <w:rFonts w:ascii="Arial" w:cs="Arial" w:eastAsia="Arial" w:hAnsi="Arial"/>
                  <w:sz w:val="18"/>
                  <w:szCs w:val="18"/>
                  <w:color w:val="0000EE"/>
                </w:rPr>
                <w:t>Specimen Share Certificate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72">
              <w:r>
                <w:rPr>
                  <w:rFonts w:ascii="Arial" w:cs="Arial" w:eastAsia="Arial" w:hAnsi="Arial"/>
                  <w:sz w:val="18"/>
                  <w:szCs w:val="18"/>
                  <w:color w:val="0000EE"/>
                </w:rPr>
                <w:t>2017 Equity Incentive Plan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73">
              <w:r>
                <w:rPr>
                  <w:rFonts w:ascii="Arial" w:cs="Arial" w:eastAsia="Arial" w:hAnsi="Arial"/>
                  <w:sz w:val="18"/>
                  <w:szCs w:val="18"/>
                  <w:color w:val="0000EE"/>
                </w:rPr>
                <w:t>Form Independent Director Agreement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74">
              <w:r>
                <w:rPr>
                  <w:rFonts w:ascii="Arial" w:cs="Arial" w:eastAsia="Arial" w:hAnsi="Arial"/>
                  <w:sz w:val="18"/>
                  <w:szCs w:val="18"/>
                  <w:color w:val="0000EE"/>
                </w:rPr>
                <w:t>Employment Agreement between the Company and Xiao Feng Yang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Employment Agreement between the Company and Raymond Ming Hui Lin (1).</w:t>
              </w:r>
            </w:hyperlink>
          </w:p>
        </w:tc>
        <w:tc>
          <w:tcPr>
            <w:tcW w:w="444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76">
              <w:r>
                <w:rPr>
                  <w:rFonts w:ascii="Arial" w:cs="Arial" w:eastAsia="Arial" w:hAnsi="Arial"/>
                  <w:sz w:val="18"/>
                  <w:szCs w:val="18"/>
                  <w:color w:val="0000EE"/>
                </w:rPr>
                <w:t>Employment Agreement between the Company and Tian van Acken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602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ANZ Global Services and Operations (Chengdu) Company Limited Agreement (1).</w:t>
              </w:r>
            </w:hyperlink>
          </w:p>
        </w:tc>
        <w:tc>
          <w:tcPr>
            <w:tcW w:w="424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78">
              <w:r>
                <w:rPr>
                  <w:rFonts w:ascii="Arial" w:cs="Arial" w:eastAsia="Arial" w:hAnsi="Arial"/>
                  <w:sz w:val="18"/>
                  <w:szCs w:val="18"/>
                  <w:color w:val="0000EE"/>
                </w:rPr>
                <w:t>Master Lease Agreement - Shanghai Pudong Software Park Co., Ltd.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7"/>
                <w:szCs w:val="17"/>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79">
              <w:r>
                <w:rPr>
                  <w:rFonts w:ascii="Arial" w:cs="Arial" w:eastAsia="Arial" w:hAnsi="Arial"/>
                  <w:sz w:val="18"/>
                  <w:szCs w:val="18"/>
                  <w:color w:val="0000EE"/>
                </w:rPr>
                <w:t>Form of Framework Contract for Subcontracting (1).</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tcPr>
          <w:p>
            <w:pPr>
              <w:spacing w:after="0"/>
              <w:rPr>
                <w:sz w:val="15"/>
                <w:szCs w:val="15"/>
                <w:color w:val="auto"/>
              </w:rPr>
            </w:pPr>
          </w:p>
        </w:tc>
        <w:tc>
          <w:tcPr>
            <w:tcW w:w="380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r:id="rId180">
              <w:r>
                <w:rPr>
                  <w:rFonts w:ascii="Arial" w:cs="Arial" w:eastAsia="Arial" w:hAnsi="Arial"/>
                  <w:sz w:val="18"/>
                  <w:szCs w:val="18"/>
                  <w:color w:val="0000EE"/>
                </w:rPr>
                <w:t>Form Warrant Agreement (2).</w:t>
              </w:r>
            </w:hyperlink>
          </w:p>
        </w:tc>
        <w:tc>
          <w:tcPr>
            <w:tcW w:w="6460" w:type="dxa"/>
            <w:vAlign w:val="bottom"/>
            <w:tcBorders>
              <w:top w:val="single" w:sz="8" w:color="CCEEFF"/>
            </w:tcBorders>
            <w:gridSpan w:val="11"/>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5"/>
                <w:szCs w:val="15"/>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81">
              <w:r>
                <w:rPr>
                  <w:rFonts w:ascii="Arial" w:cs="Arial" w:eastAsia="Arial" w:hAnsi="Arial"/>
                  <w:sz w:val="18"/>
                  <w:szCs w:val="18"/>
                  <w:color w:val="0000EE"/>
                </w:rPr>
                <w:t>Form Lockup Agreement (2).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82">
              <w:r>
                <w:rPr>
                  <w:rFonts w:ascii="Arial" w:cs="Arial" w:eastAsia="Arial" w:hAnsi="Arial"/>
                  <w:sz w:val="18"/>
                  <w:szCs w:val="18"/>
                  <w:color w:val="0000EE"/>
                </w:rPr>
                <w:t>Escrow Indemnification Agreement (2).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5"/>
                <w:szCs w:val="15"/>
                <w:color w:val="auto"/>
              </w:rPr>
            </w:pPr>
          </w:p>
        </w:tc>
        <w:tc>
          <w:tcPr>
            <w:tcW w:w="1026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0000EE"/>
              </w:rPr>
              <w:t>Credit Agreement with China Merchants Bank Co. Ltd.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sz w:val="20"/>
                <w:szCs w:val="20"/>
                <w:color w:val="auto"/>
              </w:rPr>
            </w:pPr>
            <w:r>
              <w:rPr>
                <w:rFonts w:ascii="Arial" w:cs="Arial" w:eastAsia="Arial" w:hAnsi="Arial"/>
                <w:sz w:val="18"/>
                <w:szCs w:val="18"/>
                <w:color w:val="0000EE"/>
              </w:rPr>
              <w:t>Credit Agreement with Bank of Communications Co., Ltd.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25"/>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the Chief Executive Officer (Principal Executive Officer) pursuant to Rule 13a-14(a) of the Securities Exchange Act, as</w:t>
            </w:r>
          </w:p>
        </w:tc>
        <w:tc>
          <w:tcPr>
            <w:tcW w:w="48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4"/>
              </w:rPr>
              <w:t>amended.</w:t>
            </w:r>
          </w:p>
        </w:tc>
        <w:tc>
          <w:tcPr>
            <w:tcW w:w="9560" w:type="dxa"/>
            <w:vAlign w:val="bottom"/>
            <w:tcBorders>
              <w:bottom w:val="single" w:sz="8" w:color="CCEEFF"/>
            </w:tcBorders>
            <w:gridSpan w:val="2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5"/>
                <w:szCs w:val="15"/>
                <w:color w:val="auto"/>
              </w:rPr>
            </w:pPr>
          </w:p>
        </w:tc>
        <w:tc>
          <w:tcPr>
            <w:tcW w:w="9680" w:type="dxa"/>
            <w:vAlign w:val="bottom"/>
            <w:tcBorders>
              <w:bottom w:val="single" w:sz="8" w:color="0000EE"/>
            </w:tcBorders>
            <w:gridSpan w:val="24"/>
          </w:tcPr>
          <w:p>
            <w:pPr>
              <w:spacing w:after="0" w:line="176" w:lineRule="exact"/>
              <w:rPr>
                <w:sz w:val="20"/>
                <w:szCs w:val="20"/>
                <w:color w:val="auto"/>
              </w:rPr>
            </w:pPr>
            <w:r>
              <w:rPr>
                <w:rFonts w:ascii="Arial" w:cs="Arial" w:eastAsia="Arial" w:hAnsi="Arial"/>
                <w:sz w:val="18"/>
                <w:szCs w:val="18"/>
                <w:color w:val="0000EE"/>
                <w:w w:val="92"/>
              </w:rPr>
              <w:t>Certification of the Chief Financial Officer (Principal Financial Officer) pursuant to Rule 13a-14(a) of the Securities Exchange Act, as</w:t>
            </w:r>
          </w:p>
        </w:tc>
        <w:tc>
          <w:tcPr>
            <w:tcW w:w="5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sz w:val="20"/>
                <w:szCs w:val="20"/>
                <w:color w:val="auto"/>
              </w:rPr>
            </w:pPr>
            <w:r>
              <w:rPr>
                <w:rFonts w:ascii="Arial" w:cs="Arial" w:eastAsia="Arial" w:hAnsi="Arial"/>
                <w:sz w:val="18"/>
                <w:szCs w:val="18"/>
                <w:color w:val="0000EE"/>
              </w:rPr>
              <w:t>amended.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0000EE"/>
            </w:tcBorders>
            <w:gridSpan w:val="26"/>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the Chief Executive Officer and Chief Financial Officer pursuant to 18 U.S.C. 1350, as adopted pursuant to Section 906 of the</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8160" w:type="dxa"/>
            <w:vAlign w:val="bottom"/>
            <w:tcBorders>
              <w:bottom w:val="single" w:sz="8" w:color="CCEEFF"/>
            </w:tcBorders>
            <w:gridSpan w:val="2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14.1</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83">
              <w:r>
                <w:rPr>
                  <w:rFonts w:ascii="Arial" w:cs="Arial" w:eastAsia="Arial" w:hAnsi="Arial"/>
                  <w:sz w:val="18"/>
                  <w:szCs w:val="18"/>
                  <w:color w:val="0000EE"/>
                </w:rPr>
                <w:t>Code of Conduct and Ethics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7"/>
                <w:szCs w:val="17"/>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84">
              <w:r>
                <w:rPr>
                  <w:rFonts w:ascii="Arial" w:cs="Arial" w:eastAsia="Arial" w:hAnsi="Arial"/>
                  <w:sz w:val="18"/>
                  <w:szCs w:val="18"/>
                  <w:color w:val="0000EE"/>
                </w:rPr>
                <w:t>List of Subsidiaries of the Registrant (1).</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Borders>
              <w:top w:val="single" w:sz="8" w:color="CCEEFF"/>
            </w:tcBorders>
          </w:tcPr>
          <w:p>
            <w:pPr>
              <w:spacing w:after="0"/>
              <w:rPr>
                <w:sz w:val="15"/>
                <w:szCs w:val="15"/>
                <w:color w:val="auto"/>
              </w:rPr>
            </w:pPr>
          </w:p>
        </w:tc>
        <w:tc>
          <w:tcPr>
            <w:tcW w:w="2940" w:type="dxa"/>
            <w:vAlign w:val="bottom"/>
            <w:tcBorders>
              <w:top w:val="single" w:sz="8" w:color="0000EE"/>
            </w:tcBorders>
            <w:gridSpan w:val="11"/>
          </w:tcPr>
          <w:p>
            <w:pPr>
              <w:spacing w:after="0" w:line="176" w:lineRule="exact"/>
              <w:rPr>
                <w:sz w:val="20"/>
                <w:szCs w:val="20"/>
                <w:color w:val="auto"/>
              </w:rPr>
            </w:pPr>
            <w:r>
              <w:rPr>
                <w:rFonts w:ascii="Arial" w:cs="Arial" w:eastAsia="Arial" w:hAnsi="Arial"/>
                <w:sz w:val="18"/>
                <w:szCs w:val="18"/>
                <w:color w:val="0000EE"/>
              </w:rPr>
              <w:t>Consent of Friedman LLP.</w:t>
            </w:r>
          </w:p>
        </w:tc>
        <w:tc>
          <w:tcPr>
            <w:tcW w:w="7320" w:type="dxa"/>
            <w:vAlign w:val="bottom"/>
            <w:tcBorders>
              <w:top w:val="single" w:sz="8" w:color="CCEEFF"/>
            </w:tcBorders>
            <w:gridSpan w:val="16"/>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Charter of the Audit Committee (1).</w:t>
              </w:r>
            </w:hyperlink>
          </w:p>
        </w:tc>
        <w:tc>
          <w:tcPr>
            <w:tcW w:w="7660" w:type="dxa"/>
            <w:vAlign w:val="bottom"/>
            <w:tcBorders>
              <w:bottom w:val="single" w:sz="8" w:color="CCEEFF"/>
            </w:tcBorders>
            <w:gridSpan w:val="1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86">
              <w:r>
                <w:rPr>
                  <w:rFonts w:ascii="Arial" w:cs="Arial" w:eastAsia="Arial" w:hAnsi="Arial"/>
                  <w:sz w:val="18"/>
                  <w:szCs w:val="18"/>
                  <w:color w:val="0000EE"/>
                </w:rPr>
                <w:t>Charter of the Compensation Committee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7"/>
                <w:szCs w:val="17"/>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87">
              <w:r>
                <w:rPr>
                  <w:rFonts w:ascii="Arial" w:cs="Arial" w:eastAsia="Arial" w:hAnsi="Arial"/>
                  <w:sz w:val="18"/>
                  <w:szCs w:val="18"/>
                  <w:color w:val="0000EE"/>
                </w:rPr>
                <w:t>Charter of the Nominating Committee (1).</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101.INS</w:t>
            </w:r>
          </w:p>
        </w:tc>
        <w:tc>
          <w:tcPr>
            <w:tcW w:w="30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XBRL Instance Document</w:t>
            </w:r>
          </w:p>
        </w:tc>
        <w:tc>
          <w:tcPr>
            <w:tcW w:w="7220" w:type="dxa"/>
            <w:vAlign w:val="bottom"/>
            <w:tcBorders>
              <w:top w:val="single" w:sz="8" w:color="CCEEFF"/>
            </w:tcBorders>
            <w:gridSpan w:val="1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March 27, 2018 and incorporated by reference herein.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Previously filed with the SEC as an exhibit to Report on Form 6-K and incorporated by reference herein.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6" w:name="page137"/>
    <w:bookmarkEnd w:id="1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September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September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Tian van 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Tian van Acken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China Merchants Bank Co., Ltd.</w:t>
      </w:r>
    </w:p>
    <w:p>
      <w:pPr>
        <w:spacing w:after="0" w:line="268"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Shanghai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Credit Granting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1228725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Credit Granting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Credit grantor: China Merchants Bank Co., Ltd., Shanghai Century Avenue Branch (hereinafter referred to as “Party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Person-in-charge: Chen Siqing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applicant: CLPS Incorporation (hereinafter referred to as “Party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representative/person-in-charge: Yang Xiaofeng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Upon application by Party B, Party A agrees to provide a line of credit (LOC) to Party B. Upon fully consultation, Party A and Party B have reached a consensus in respect of the following terms and conditions in accordance with the relevant laws and regulations, and hereby enter into this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Line of Credit</w:t>
      </w:r>
    </w:p>
    <w:p>
      <w:pPr>
        <w:spacing w:after="0" w:line="229"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1.1 Party A shall grant Party B a LOC of RMB Ten Million yuan (or equivalent amount of other currencies, which shall be translated with the exchange rate published by Party A on the date when the specific business occurs, the same below), including revolving LOC and/or one-time LOC.</w:t>
      </w:r>
    </w:p>
    <w:p>
      <w:pPr>
        <w:spacing w:after="0" w:line="14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The varieties of credit granting under the LOC includes but is not limited to credit for loan/order-related loan, trade financing, bill discounting, commercial bill acceptance, guaranteed discount for commercial acceptance bills, international/domestic letter of guarantee, customs duties and dues payment guarantee, corporate account overdraft, derivative transaction and gold leasing or the combination thereof.</w:t>
      </w:r>
    </w:p>
    <w:p>
      <w:pPr>
        <w:spacing w:after="0" w:line="181"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The revolving LOC refers to the maximum amount of total principal balance of the credit for one or more business varieties mentioned in the preceding paragraph granted by Party A to Party B occurred during the credit period, which can be repeatedly used in a revolving manner.</w:t>
      </w:r>
    </w:p>
    <w:p>
      <w:pPr>
        <w:spacing w:after="0" w:line="170"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The one-time LOC means that the cumulative amount of credit for the business varieties mentioned in the preceding paragraph granted by Party A to Party B occurred during the credit period shall not exceed the one-time LOC approved by Party A. Party B shall not use the one-time LOC in a revolving manner, and the amount of each credit granting applied by Party B under the LOC shall offset the amount of one-time LOC until the amount of LOC is fully offset by the accumulated amount of all the credit granting.</w:t>
      </w:r>
    </w:p>
    <w:p>
      <w:pPr>
        <w:spacing w:after="0" w:line="18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“Trade financing” includes but is not limited to international/domestic letters of credit, import bill advance, delivery against bank guarantee, import bill advance under collection, packaged loans, export bill advance, export negotiation, export bill advance under collection, remittance financing for import/export, and credit insurance financing, factoring, bill avalization and other business varieties.</w:t>
      </w:r>
    </w:p>
    <w:p>
      <w:pPr>
        <w:spacing w:after="0" w:line="181"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1.2 If Party A conducts import factoring or domestic buyer factoring with Party B as the debtor, the account receivable owed by Party B transferred to Party A in such business shall offset the above-mentioned LOC; if Party B applies for domestic seller factoring or export factoring to Party A, the basic acquisition price (basic acquisition funds) provided by Party A to Party B using its own funds or other legal funds shall offset the above-mentioned LOC.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9" w:name="page140"/>
    <w:bookmarkEnd w:id="139"/>
    <w:p>
      <w:pPr>
        <w:jc w:val="both"/>
        <w:ind w:firstLine="378"/>
        <w:spacing w:after="0" w:line="264" w:lineRule="auto"/>
        <w:rPr>
          <w:sz w:val="20"/>
          <w:szCs w:val="20"/>
          <w:color w:val="auto"/>
        </w:rPr>
      </w:pPr>
      <w:r>
        <w:rPr>
          <w:rFonts w:ascii="Arial" w:cs="Arial" w:eastAsia="Arial" w:hAnsi="Arial"/>
          <w:sz w:val="18"/>
          <w:szCs w:val="18"/>
          <w:color w:val="auto"/>
        </w:rPr>
        <w:t>1.3 Where Party A, according to the needs of its internal processes, entrusts other branches of China Merchants Bank to issue a subsidiary letter of credit to the beneficiary after issuing the master letter of credit, the bill advance and delivery against bank guarantee that occurs under such letter of credit shall offset the above-mentioned LOC;</w:t>
      </w:r>
    </w:p>
    <w:p>
      <w:pPr>
        <w:spacing w:after="0" w:line="181"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When the import letter of credit is used, if the import bill advance is actually incurred later under the same letter of credit, the import letter of credit and import bill advance shall offset the same amount at different stages. That is, when the import bill advance occurs, the amount recovered after the letter of credit is paid, if re-used for import bill advance, shall be deemed to offset the same amount under the original import license.</w:t>
      </w:r>
    </w:p>
    <w:p>
      <w:pPr>
        <w:spacing w:after="0" w:line="166"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1.4 The LOC exclude the amount of credit corresponding to the security deposit or pledge of deposit provided by Party B or a third party for a single specific transaction under this Agreement, the same below.</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1.5 The unsettled balance for business conducted under the (insert the name and No. of agreement) previously entered by Party A (or Party A’s subsidiary) and Party B are automatically incorporated in this Agreement and shall offset the LOC under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Credit Period</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The credit period shall be 12 months, from July 11, 2018 to July 10, 2019.Party B shall submit application for using the credit line to Party A during the credit period, and Party A does not accept the application for using the credit line submitted by Party B after the expiration of the credit period, except as otherwise provided in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Types and Scope of Credit Line</w:t>
      </w:r>
    </w:p>
    <w:p>
      <w:pPr>
        <w:spacing w:after="0" w:line="229"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The types of LOC under this Agreement (revolving LOC or one-time LOC), the applicable types of credit granting, the amount of LOC under each type of credit granting, the transferability of different types of credit granting, and the specific conditions for use, etc. are subject to the approval of Party A. If Party A makes adjustments to its original approval opinions according to the application of Party B during the credit period, the subsequent approval opinions issued by Party A constitute supplements and changes to the original approval opinions, and so 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Use of LOC</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4.1 The specific business agreement (whether a single agreement/application or a framework agreement) signed by Party A and Party B for each specific business under the LOC constitutes an integral part of the Credit Granting Agreement and they jointly specify the rights and obligations, etc. related to the specific business.</w:t>
      </w:r>
    </w:p>
    <w:p>
      <w:pPr>
        <w:spacing w:after="0" w:line="181"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Party B must apply for using the LOC on a case-by-case basis and submit the materials requested by Party A. Party A shall examine and approve the application one by one. Party A has the right to comprehensively consider whether to approve based on its internal management requirements and Party B’s operation, and has the right to refuse Party B’s application unilaterally, without bearing any form of legal responsibility for Party B. In the event of any inconsistency between this paragraph and other terms, the agreement in this paragraph shall prevail.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jc w:val="both"/>
        <w:ind w:firstLine="378"/>
        <w:spacing w:after="0" w:line="277" w:lineRule="auto"/>
        <w:rPr>
          <w:sz w:val="20"/>
          <w:szCs w:val="20"/>
          <w:color w:val="auto"/>
        </w:rPr>
      </w:pPr>
      <w:r>
        <w:rPr>
          <w:rFonts w:ascii="Arial" w:cs="Arial" w:eastAsia="Arial" w:hAnsi="Arial"/>
          <w:sz w:val="18"/>
          <w:szCs w:val="18"/>
          <w:color w:val="auto"/>
        </w:rPr>
        <w:t>The business elements such as the specific amount, interest rate, term, purpose, and expenses of each loan or other credit granting shall be determined by the specific business agreement, the business certificate confirmed by Party A, and the business record of Party A’s system.</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4.2 The using period of each loan or other credit granting under the LOC shall be determined according to Party B’s business needs and Party A’s business management rules. The expiration date of specific business may be later than the expiration date of credit period (unless otherwise requested by Party A).</w:t>
      </w:r>
    </w:p>
    <w:p>
      <w:pPr>
        <w:spacing w:after="0" w:line="181" w:lineRule="exact"/>
        <w:rPr>
          <w:sz w:val="20"/>
          <w:szCs w:val="20"/>
          <w:color w:val="auto"/>
        </w:rPr>
      </w:pPr>
    </w:p>
    <w:p>
      <w:pPr>
        <w:jc w:val="both"/>
        <w:ind w:firstLine="378"/>
        <w:spacing w:after="0" w:line="233" w:lineRule="exact"/>
        <w:rPr>
          <w:sz w:val="20"/>
          <w:szCs w:val="20"/>
          <w:color w:val="auto"/>
        </w:rPr>
      </w:pPr>
      <w:r>
        <w:rPr>
          <w:rFonts w:ascii="Arial" w:cs="Arial" w:eastAsia="Arial" w:hAnsi="Arial"/>
          <w:sz w:val="18"/>
          <w:szCs w:val="18"/>
          <w:color w:val="auto"/>
        </w:rPr>
        <w:t xml:space="preserve">4.3 During the credit period, Party A shall have the right to assess Party B’s operation and financial status on a regular basis every year, and adjust the LOC available for Party B to use based on the assessment (if this provision is applicable, please place a √ in the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Guarantee Provisions</w:t>
      </w:r>
    </w:p>
    <w:p>
      <w:pPr>
        <w:spacing w:after="0" w:line="229"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5.1 All the debts owed by Party B to Party A under this Agreement shall be jointly and severally guaranteed by Lin Minghui, Deng Zhaohui, Yang Xiaofeng and Pan Yan, and they shall issue a separate letter of guarantee to Party A.</w:t>
      </w:r>
    </w:p>
    <w:p>
      <w:pPr>
        <w:spacing w:after="0" w:line="170"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At the same time, the working capital loan limit of RMB Three Million yuan under this Agreement is jointly and severally guaranteed by the Shanghai Small and Medium-sized Enterprises Policy Financing Guarantee Fund Management Center. The guarantee amount is not less than 70% of the principal amount of the single loan to Party B, with the specific proportion being subject to the Guarantee Contract signed by Party A and the Shanghai Small and Medium-sized Enterprises Policy Financing Guarantee Fund Management Center when Party B use the working capital loan limit.</w:t>
      </w:r>
    </w:p>
    <w:p>
      <w:pPr>
        <w:spacing w:after="0" w:line="17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5.2 All debts owed by Party B to Party A under this Agreement shall be pledged by the property it owns or has the right to dispose of according to law, and the two parties shall sign a guarantee contract separately.</w:t>
      </w:r>
    </w:p>
    <w:p>
      <w:pPr>
        <w:spacing w:after="0" w:line="170"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If the guarantor fails to sign the guarantee contract and complete the guarantee procedures in accordance with the provisions of this clause (including the debtor of account receivable raises a defense before the receivable is pledged), Party A has the right to refuse to provide credit to Party B.</w:t>
      </w:r>
    </w:p>
    <w:p>
      <w:pPr>
        <w:spacing w:after="0" w:line="124"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5.3 Under the circumstances that the guarantor provides the guarantee for any debt owed by Party B to Party A under this Agreement using real estate, Party B shall immediately notify Party A if it knows that the collateral has been or may be included in the government demolition and land expropriation plan, and press the guarantor to continue to provide guarantees for Party B’s debts in accordance with the guarantee contract using the compensation provided by the expropriator and complete the corresponding guarantee procedures in a timely manner, or provide other guarantee measures required and approved by Party A.</w:t>
      </w:r>
    </w:p>
    <w:p>
      <w:pPr>
        <w:spacing w:after="0" w:line="188"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Under the circumstances stated in the preceding paragraph, if the guarantee needs to be reset or other guarantee measures are taken, the relevant expenses incurred shall be borne by the guarantor, with Party B being jointly and severally liable for the expenses. Party A has the right to deduct these fees directly from Party B’s account.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ind w:left="180" w:hanging="172"/>
        <w:spacing w:after="0"/>
        <w:tabs>
          <w:tab w:leader="none" w:pos="1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B</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6.1 Party B shall have right to:</w:t>
      </w:r>
    </w:p>
    <w:p>
      <w:pPr>
        <w:spacing w:after="0" w:line="22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6.1.1 Request Party A to provide loans or other credits within the LOC in accordance with the conditions specified in this Agreement;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6.1.2 Use the LOC as stipulated in this Agreement;</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6.1.3 Request Party A to keep confidential the production, operation, property, account and other information provided by Party B, unless otherwise required by laws and regulations or otherwise required by the regulatory authority; and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6.1.4 Transfer the debt to a third party after obtaining the consent of Party A.</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 Party B shall bear the following obligations:</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6.2.1 It shall truthfully provide documents and information required by Party A (including but not limited to providing its true financial books/statements and annual financial reports in the period required by Party A, major decisions and changes in production, operation and management, withdrawal/use of funds, information related to guarantee, etc.), and all the bank accounts, account numbers and balance of deposits and loans, as well as cooperate with Party A’s investigation, review and inspection.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6.2.2 It shall accept the supervision of Party A on its use of credit funds and related production operations and financial activities.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6.2.3 It shall use loans and/or other credits in accordance with the provision of this Agreement and the specific contract and/or promised purposes.</w:t>
      </w:r>
    </w:p>
    <w:p>
      <w:pPr>
        <w:spacing w:after="0" w:line="237"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6.2.4 It shall repay the principal, interest and expenses of loans, advances and other debt under credit granting in full and on time in accordance with the provisions of this Agreement and each specific contract.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6.2.5 It shall obtain Party A’s written consent if transferring all or part of the debts under this Agreement to a third party.</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6.2.6 Under the following circumstances, it shall immediately notify Party A and actively cooperate with Party A to implement the guarantee measures for the safe repayment of principal, interest and expenses of loans, advances and other debt under credit granting:</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6.2.6.1 Occurrence of major financial losses, asset losses or other financial crisis;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6.2.6.2 Providing a loan or guarantee for a third party, or providing a collateral (pledge) guarantee with its own property (right);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6.2.6.3 Suspension of business, revocation or cancellation of business license, filing or being filed for bankruptcy, dissolution, etc;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2" w:name="page143"/>
    <w:bookmarkEnd w:id="142"/>
    <w:p>
      <w:pPr>
        <w:ind w:left="380"/>
        <w:spacing w:after="0"/>
        <w:rPr>
          <w:sz w:val="20"/>
          <w:szCs w:val="20"/>
          <w:color w:val="auto"/>
        </w:rPr>
      </w:pPr>
      <w:r>
        <w:rPr>
          <w:rFonts w:ascii="Arial" w:cs="Arial" w:eastAsia="Arial" w:hAnsi="Arial"/>
          <w:sz w:val="16"/>
          <w:szCs w:val="16"/>
          <w:color w:val="auto"/>
        </w:rPr>
        <w:t>6.2.6.4 The controlling shareholder and other related companies fall into a major operational or financial crisis, which affects their normal operation;</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6.2.6.5 The amount of the related transaction with the controlling shareholder and other related companies exceeds 10% of the net assets of Party B;</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6.2.6.6 Occurrence of any litigation, arbitration or criminal or administrative penalty that has a material adverse effect on its business or property status;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6.2.6.7 Occurrence of other significant events that may affect its ability to pay its debts.</w:t>
      </w:r>
    </w:p>
    <w:p>
      <w:pPr>
        <w:spacing w:after="0" w:line="225"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6.2.7 It shall not neglect to manage and exercise their mature creditor’s right, or dispose of existing primary property improperly or without consideration.</w:t>
      </w:r>
    </w:p>
    <w:p>
      <w:pPr>
        <w:spacing w:after="0" w:line="170"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6.2.8 It shall obtain the written consent of Party A before carrying out major events such as merger (M&amp;A), division, restructuring, joint venture (cooperation), transfer of property (share) rights, joint-stock reform, foreign investment, and increase of debt financing.</w:t>
      </w:r>
    </w:p>
    <w:p>
      <w:pPr>
        <w:spacing w:after="0" w:line="138"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color w:val="auto"/>
        </w:rPr>
        <w:t xml:space="preserve">6.2.9 In accordance with Party A’s request, it shall: (place a “√” in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8" w:lineRule="exact"/>
        <w:rPr>
          <w:sz w:val="20"/>
          <w:szCs w:val="20"/>
          <w:color w:val="auto"/>
        </w:rPr>
      </w:pPr>
    </w:p>
    <w:p>
      <w:pPr>
        <w:ind w:left="720" w:hanging="334"/>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Effect insurance for its core assets and designate Party A as the first-order beneficiary;</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 sell or use as collateral the /   assets designated by Party A before the settlement of the debt under the credit granting;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Impose the following restrictions on the dividends paid to its shareholders as required by Party A before the settlement of the debt under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-269875</wp:posOffset>
            </wp:positionV>
            <wp:extent cx="2032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2032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granting: /</w:t>
            </w:r>
          </w:p>
        </w:tc>
        <w:tc>
          <w:tcPr>
            <w:tcW w:w="280" w:type="dxa"/>
            <w:vAlign w:val="bottom"/>
          </w:tcPr>
          <w:p>
            <w:pPr>
              <w:jc w:val="right"/>
              <w:ind w:right="130"/>
              <w:spacing w:after="0"/>
              <w:rPr>
                <w:sz w:val="20"/>
                <w:szCs w:val="20"/>
                <w:color w:val="auto"/>
              </w:rPr>
            </w:pPr>
            <w:r>
              <w:rPr>
                <w:rFonts w:ascii="Arial" w:cs="Arial" w:eastAsia="Arial" w:hAnsi="Arial"/>
                <w:sz w:val="18"/>
                <w:szCs w:val="18"/>
                <w:color w:val="auto"/>
                <w:w w:val="78"/>
              </w:rPr>
              <w:t>;</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20" w:type="dxa"/>
            <w:vAlign w:val="bottom"/>
            <w:gridSpan w:val="4"/>
          </w:tcPr>
          <w:p>
            <w:pPr>
              <w:ind w:left="380"/>
              <w:spacing w:after="0"/>
              <w:rPr>
                <w:sz w:val="20"/>
                <w:szCs w:val="20"/>
                <w:color w:val="auto"/>
              </w:rPr>
            </w:pPr>
            <w:r>
              <w:rPr>
                <w:rFonts w:ascii="Arial" w:cs="Arial" w:eastAsia="Arial" w:hAnsi="Arial"/>
                <w:sz w:val="18"/>
                <w:szCs w:val="18"/>
                <w:color w:val="auto"/>
              </w:rPr>
              <w:t>●   Others: /</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0"/>
        </w:trPr>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6.2.10 In the event of dynamic pledge of accounts receivable, it shall guarantee that the LOC balance at any point during the credit period is lower than</w:t>
      </w:r>
    </w:p>
    <w:p>
      <w:pPr>
        <w:spacing w:after="0" w:line="46" w:lineRule="exact"/>
        <w:rPr>
          <w:sz w:val="20"/>
          <w:szCs w:val="20"/>
          <w:color w:val="auto"/>
        </w:rPr>
      </w:pPr>
    </w:p>
    <w:p>
      <w:pPr>
        <w:ind w:left="400" w:hanging="392"/>
        <w:spacing w:after="0"/>
        <w:tabs>
          <w:tab w:leader="none" w:pos="4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of the balance of pledged accounts receivable, otherwise must provide new accounts receivable recognized by Party A for pledge or pay a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45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245745" cy="8890"/>
                    </a:xfrm>
                    <a:prstGeom prst="rect">
                      <a:avLst/>
                    </a:prstGeom>
                    <a:noFill/>
                  </pic:spPr>
                </pic:pic>
              </a:graphicData>
            </a:graphic>
          </wp:anchor>
        </w:drawing>
      </w:r>
    </w:p>
    <w:p>
      <w:pPr>
        <w:spacing w:after="0" w:line="12"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deposit until the balance of the accounts receivable pledged ×/</w:t>
      </w:r>
      <w:r>
        <w:rPr>
          <w:sz w:val="20"/>
          <w:szCs w:val="20"/>
          <w:color w:val="auto"/>
        </w:rPr>
        <w:tab/>
      </w:r>
      <w:r>
        <w:rPr>
          <w:rFonts w:ascii="Arial" w:cs="Arial" w:eastAsia="Arial" w:hAnsi="Arial"/>
          <w:sz w:val="16"/>
          <w:szCs w:val="16"/>
          <w:color w:val="auto"/>
        </w:rPr>
        <w:t>% + valid security deposit &gt; LOC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-19050</wp:posOffset>
            </wp:positionV>
            <wp:extent cx="1746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174625" cy="8890"/>
                    </a:xfrm>
                    <a:prstGeom prst="rect">
                      <a:avLst/>
                    </a:prstGeom>
                    <a:noFill/>
                  </pic:spPr>
                </pic:pic>
              </a:graphicData>
            </a:graphic>
          </wp:anchor>
        </w:drawing>
      </w:r>
    </w:p>
    <w:p>
      <w:pPr>
        <w:spacing w:after="0" w:line="19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6.2.11 In the event that Party B provides a security deposit for pledge, it shall be obliged to add the corresponding amount of security deposit or provide other guarantee in accordance with Party A’s request if the balance of the security deposit falls short of _</w:t>
      </w:r>
      <w:r>
        <w:rPr>
          <w:rFonts w:ascii="Arial" w:cs="Arial" w:eastAsia="Arial" w:hAnsi="Arial"/>
          <w:sz w:val="18"/>
          <w:szCs w:val="18"/>
          <w:u w:val="single" w:color="auto"/>
          <w:color w:val="auto"/>
        </w:rPr>
        <w:t>/</w:t>
      </w:r>
      <w:r>
        <w:rPr>
          <w:rFonts w:ascii="Arial" w:cs="Arial" w:eastAsia="Arial" w:hAnsi="Arial"/>
          <w:sz w:val="18"/>
          <w:szCs w:val="18"/>
          <w:color w:val="auto"/>
        </w:rPr>
        <w:t>_% of the specific business amount due to exchange rate fluctuations.</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6.2.12 It shall ensure that the payment for goods under the import transaction are collected through the account designated by Party A; in the event of export negotiation, transfer the notes and/or documents under the letter of credit to Party A.</w:t>
      </w:r>
    </w:p>
    <w:p>
      <w:pPr>
        <w:spacing w:after="0" w:line="166"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A</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7.1 Party A shall have:</w:t>
      </w:r>
    </w:p>
    <w:p>
      <w:pPr>
        <w:spacing w:after="0" w:line="225"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7.1.1 Right to request Party B to repay the principal, interest and expenses of the loan, advance and other debt under the credit granting under this Agreement and the specific contract in full and on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ind w:left="380"/>
        <w:spacing w:after="0"/>
        <w:rPr>
          <w:sz w:val="20"/>
          <w:szCs w:val="20"/>
          <w:color w:val="auto"/>
        </w:rPr>
      </w:pPr>
      <w:r>
        <w:rPr>
          <w:rFonts w:ascii="Arial" w:cs="Arial" w:eastAsia="Arial" w:hAnsi="Arial"/>
          <w:sz w:val="18"/>
          <w:szCs w:val="18"/>
          <w:color w:val="auto"/>
        </w:rPr>
        <w:t>7.1.2 Right to request Party B to provide information related to the use of the LOC;</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7.1.3 Right to know the production and operation and financial activities of Party B;</w:t>
      </w:r>
    </w:p>
    <w:p>
      <w:pPr>
        <w:spacing w:after="0" w:line="225"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7.1.4 Right to supervise Party B’s use of loans and/or other credits for the purposes specified in this Agreement and each specific contract; directly suspend or limit the corporate online banking function of Party B’s account when the business needs it (including but not limited to closing the online banking, presetting the list of payment targets/single payment limit/phased payment limit, etc.), restrict the sale of settlement documents, or restrict telephone banking, mobile banking and other non-counter payment and universal cash withdrawing functions of Party B’s account;</w:t>
      </w:r>
    </w:p>
    <w:p>
      <w:pPr>
        <w:spacing w:after="0" w:line="171"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7.1.5 Right to entrust other agencies of China Merchants Bank located at the place where the beneficiary is located to issue subsidiary letter of credit to the beneficiary, according to the needs of its internal processes, after accepting Party B’s application for the opening of letter of credit;</w:t>
      </w:r>
    </w:p>
    <w:p>
      <w:pPr>
        <w:spacing w:after="0" w:line="147"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7.1.6 Right to deduct directly from the account opened by Party B at any branch of China Merchants Bank to repay the debts owed by Party B under this Agreement and each specific contract (when the debt under the credit granting is not in RMB, it has the right to deduct directly from the RMB account of Party B and purchase foreign exchange at the exchange rate published by Party A to repay the principal, interest and expenses under the credit granting);</w:t>
      </w:r>
    </w:p>
    <w:p>
      <w:pPr>
        <w:spacing w:after="0" w:line="147"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7.1.7 Right to transfer its creditor’s rights owed by Party B and notify Party B of the transfer and collect the debt in such manner as it deems appropriate, including but not limited to by fax, posts, personal delivery, and announcement in public media;</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7.1.8 Right to supervise the account of Party B and entrust other agencies of China Merchants Bank other than Party A to supervise Party B’s account, and control the payment of loan funds according to the loan purpose and payment scope agreed by both parties; and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7.1.9 Other rights set out in this Agreement.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7.2 Party A shall bear the following obligations:</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7.2.1 It shall grant loans or other credits to Party B within the LOC in accordance with the conditions stipulated in this Agreement and each specific contract; and</w:t>
      </w:r>
    </w:p>
    <w:p>
      <w:pPr>
        <w:spacing w:after="0" w:line="170"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7.2.2 It shall keep confidential the information of assets, finance, production and operation of Party B, except as otherwise provided by laws and regulations or otherwise required by the regulatory authority.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Party B specifically undertakes:</w:t>
      </w:r>
    </w:p>
    <w:p>
      <w:pPr>
        <w:spacing w:after="0" w:line="229"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8.1 That it is a legal person duly incorporated and validly existing under the laws of PRC and have full civil capacity to sign and perform this Agreement, and its registration and annual report publicity procedures are true, legal and valid;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ind w:left="380"/>
        <w:spacing w:after="0"/>
        <w:rPr>
          <w:sz w:val="20"/>
          <w:szCs w:val="20"/>
          <w:color w:val="auto"/>
        </w:rPr>
      </w:pPr>
      <w:r>
        <w:rPr>
          <w:rFonts w:ascii="Arial" w:cs="Arial" w:eastAsia="Arial" w:hAnsi="Arial"/>
          <w:sz w:val="18"/>
          <w:szCs w:val="18"/>
          <w:color w:val="auto"/>
        </w:rPr>
        <w:t>8.2 That it has been fully authorized by the Board of Directors or any other authorized body to sign and fulfill this Agreement;</w:t>
      </w:r>
    </w:p>
    <w:p>
      <w:pPr>
        <w:spacing w:after="0" w:line="225" w:lineRule="exact"/>
        <w:rPr>
          <w:sz w:val="20"/>
          <w:szCs w:val="20"/>
          <w:color w:val="auto"/>
        </w:rPr>
      </w:pPr>
    </w:p>
    <w:p>
      <w:pPr>
        <w:jc w:val="both"/>
        <w:ind w:right="20" w:firstLine="378"/>
        <w:spacing w:after="0" w:line="342" w:lineRule="auto"/>
        <w:rPr>
          <w:sz w:val="20"/>
          <w:szCs w:val="20"/>
          <w:color w:val="auto"/>
        </w:rPr>
      </w:pPr>
      <w:r>
        <w:rPr>
          <w:rFonts w:ascii="Arial" w:cs="Arial" w:eastAsia="Arial" w:hAnsi="Arial"/>
          <w:sz w:val="16"/>
          <w:szCs w:val="16"/>
          <w:color w:val="auto"/>
        </w:rPr>
        <w:t>8.3 That the documents, information, and vouchers provided by it regarding Party B, the guarantor, the mortgagor (pledgor), and the collateral (pledged property) are true, accurate, complete, and valid, without any significant errors that are inconsistent with the facts or omissions of any significant facts;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8.4 To strictly abide by covenants set out in the specific business agreements and various letters and related documents issued to Party A;</w:t>
      </w:r>
    </w:p>
    <w:p>
      <w:pPr>
        <w:spacing w:after="0" w:line="225"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8.5 That at the time of signing this Agreement, there was no litigation, arbitration or criminal or administrative punishment that may have significant adverse consequences for Party B or Party B’s major property, and such litigation, arbitration or criminal or administrative penalties will not occur during the execution of this Agreement; in the event of occurrence, Party B shall immediately notify Party A;</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8.6 To strictly abide by the national laws and regulations in business activities, carry out various business in strict accordance with the business scope stipulated by the business license of Party B or approved according to law, and go through the formalities for registration, annual inspection, and the extension of term of business operation, etc. on time;</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8.7 To maintain or enhance the management level, ensure the value preservation and appreciation of existing assets, and not to waive any mature claims or dispose of existing major assets improperly or without consideration;</w:t>
      </w:r>
    </w:p>
    <w:p>
      <w:pPr>
        <w:spacing w:after="0" w:line="170" w:lineRule="exact"/>
        <w:rPr>
          <w:sz w:val="20"/>
          <w:szCs w:val="20"/>
          <w:color w:val="auto"/>
        </w:rPr>
      </w:pPr>
    </w:p>
    <w:p>
      <w:pPr>
        <w:ind w:left="380"/>
        <w:spacing w:after="0"/>
        <w:tabs>
          <w:tab w:leader="none" w:pos="8000" w:val="left"/>
          <w:tab w:leader="none" w:pos="9020" w:val="left"/>
        </w:tabs>
        <w:rPr>
          <w:sz w:val="20"/>
          <w:szCs w:val="20"/>
          <w:color w:val="auto"/>
        </w:rPr>
      </w:pPr>
      <w:r>
        <w:rPr>
          <w:rFonts w:ascii="Arial" w:cs="Arial" w:eastAsia="Arial" w:hAnsi="Arial"/>
          <w:sz w:val="18"/>
          <w:szCs w:val="18"/>
          <w:color w:val="auto"/>
        </w:rPr>
        <w:t>8.8 That without the permission of Party A, it shall not pay off other long-term debts in advance,</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-10160</wp:posOffset>
            </wp:positionV>
            <wp:extent cx="10509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20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8.9 That at the signing and during the performance of this Agreement, no other significant events occur to Party B that affect the performance of its obligations under this Agreement;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8.10 That, during the validity period of this Agreement, if Party B’s annual main business revenue falls short of RMB 300 million yuan, the funds withdrawn under this Agreement shall not exceed RMB 8 million yuan;</w:t>
      </w:r>
    </w:p>
    <w:p>
      <w:pPr>
        <w:spacing w:after="0" w:line="170"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8.11 That, during the validity period of this Agreement, it shall notify Party A in writing in advance of the profit distribution, and its undistributed profit shall not be less than 2 times of the balance of LOC under this Agreement (excluding the conversion of profit into registered capital).</w:t>
      </w:r>
    </w:p>
    <w:p>
      <w:pPr>
        <w:spacing w:after="0" w:line="147" w:lineRule="exact"/>
        <w:rPr>
          <w:sz w:val="20"/>
          <w:szCs w:val="20"/>
          <w:color w:val="auto"/>
        </w:rPr>
      </w:pPr>
    </w:p>
    <w:p>
      <w:pPr>
        <w:ind w:left="380"/>
        <w:spacing w:after="0"/>
        <w:tabs>
          <w:tab w:leader="none" w:pos="1820" w:val="left"/>
        </w:tabs>
        <w:rPr>
          <w:sz w:val="20"/>
          <w:szCs w:val="20"/>
          <w:color w:val="auto"/>
        </w:rPr>
      </w:pPr>
      <w:r>
        <w:rPr>
          <w:rFonts w:ascii="Arial" w:cs="Arial" w:eastAsia="Arial" w:hAnsi="Arial"/>
          <w:sz w:val="18"/>
          <w:szCs w:val="18"/>
          <w:color w:val="auto"/>
        </w:rPr>
        <w:t>8.12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-10160</wp:posOffset>
            </wp:positionV>
            <wp:extent cx="6889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68897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expenses</w:t>
      </w:r>
    </w:p>
    <w:p>
      <w:pPr>
        <w:spacing w:after="0" w:line="229"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In the event that this agreement needs to be notarized (excluding mandatory notarization) or other services provided by a third party, the relevant expenses shall be borne by the party as the client in the commission. If the two parties jointly act as the client, they shall each bear 50%.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jc w:val="both"/>
        <w:ind w:firstLine="378"/>
        <w:spacing w:after="0" w:line="259" w:lineRule="auto"/>
        <w:rPr>
          <w:sz w:val="20"/>
          <w:szCs w:val="20"/>
          <w:color w:val="auto"/>
        </w:rPr>
      </w:pPr>
      <w:r>
        <w:rPr>
          <w:rFonts w:ascii="Arial" w:cs="Arial" w:eastAsia="Arial" w:hAnsi="Arial"/>
          <w:sz w:val="18"/>
          <w:szCs w:val="18"/>
          <w:color w:val="auto"/>
        </w:rPr>
        <w:t>In the event that Party B cannot repay the debts owed to Party A under this Agreement, Party B shall bear attorney fees, legal fees, travel expenses, announcement fees, delivery fees and all other expenses incurred by Party A to realize the creditor’s rights. Party B authorizes Party A to directly deduct such expenses from Party B’s bank account in Party A. If there are any shortfalls, Party B undertakes to repay the amount after receiving the notice from Party A, and Party A does not need to provide any proof.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Event of Default and the Settlement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 It shall be deemed an event of default if:</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10.1.1 Party B fails to perform or breaches the obligations set out in this Agreement;</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10.1.2 The information in the representations or undertakings made by Party B under this Agreement is untrue or incomplete, or Party B breaches the requirement and does not make correction as required by Party A;</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10.1.3 Party B commits a significant breach of a legally valid contract signed with other creditors and fails to satisfactorily resolve it within three months from the date of breach;</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aforesaid significant breach of contract means that due to Party B’s breach, its creditors have the right to claim compensation of more than</w:t>
      </w:r>
    </w:p>
    <w:p>
      <w:pPr>
        <w:spacing w:after="0" w:line="3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RMB/</w:t>
      </w:r>
      <w:r>
        <w:rPr>
          <w:sz w:val="20"/>
          <w:szCs w:val="20"/>
          <w:color w:val="auto"/>
        </w:rPr>
        <w:tab/>
      </w:r>
      <w:r>
        <w:rPr>
          <w:rFonts w:ascii="Arial" w:cs="Arial" w:eastAsia="Arial" w:hAnsi="Arial"/>
          <w:sz w:val="18"/>
          <w:szCs w:val="18"/>
          <w:color w:val="auto"/>
        </w:rPr>
        <w:t>from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-19050</wp:posOffset>
            </wp:positionV>
            <wp:extent cx="4318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431800" cy="8890"/>
                    </a:xfrm>
                    <a:prstGeom prst="rect">
                      <a:avLst/>
                    </a:prstGeom>
                    <a:noFill/>
                  </pic:spPr>
                </pic:pic>
              </a:graphicData>
            </a:graphic>
          </wp:anchor>
        </w:drawing>
      </w:r>
    </w:p>
    <w:p>
      <w:pPr>
        <w:spacing w:after="0" w:line="19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10.1.4 Party B encounters significant obstacles in listing its shares on the New Third Board or suspends its listing application; Party B is subject to warning letter, ordered corrections, restrictions on securities account trading and other self-regulatory measures for more than three times or subject to disciplinary punishment, termination of listing, etc; or</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10.1.5 Other events occurs that, in the opinion of Party A, damage its legitimate rights and interests.</w:t>
      </w:r>
    </w:p>
    <w:p>
      <w:pPr>
        <w:spacing w:after="0" w:line="225"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10.2 If one of the following circumstances occurs to the guarantor, Party A believes that it may affect the guarantor’s guarantee capacity, and requires the guarantor to eliminate the adverse effects caused by it, or requires Party B to increase or replace the guarantee, but the guarantor and Party B fail to cooperate, it shall be deemed an event of default:</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10.2.1 A circumstance similar to those described in Clause 6.2.6 of this Agreement occurs, or the consent of Party A is not obtained when the circumstances described in Clause 6.2.8 occur;</w:t>
      </w:r>
    </w:p>
    <w:p>
      <w:pPr>
        <w:spacing w:after="0" w:line="170"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10.2.2 When the irrevocable letter of guarantee is issued, the actual guarantee capacity is concealed, or the authorization of relevant authority is not obtained;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10.2.3 Failure to go through formalities for the annual inspection registration and the extension of term of business operation; or</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10.2.4 Neglect to manage and exercise their mature creditor’s right, or disposal of existing primary property improperly or without consideration.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jc w:val="both"/>
        <w:ind w:firstLine="378"/>
        <w:spacing w:after="0" w:line="259" w:lineRule="auto"/>
        <w:rPr>
          <w:sz w:val="20"/>
          <w:szCs w:val="20"/>
          <w:color w:val="auto"/>
        </w:rPr>
      </w:pPr>
      <w:r>
        <w:rPr>
          <w:rFonts w:ascii="Arial" w:cs="Arial" w:eastAsia="Arial" w:hAnsi="Arial"/>
          <w:sz w:val="18"/>
          <w:szCs w:val="18"/>
          <w:color w:val="auto"/>
        </w:rPr>
        <w:t>10.3 If one of the following circumstances occurs to the mortgagor (or pledgor), Party A believes that it may result in the invalidity of the mortgage (or pledge) or the shortfall in the value of collateral (pledged property), and requires the mortgagor (or pledgor) to eliminate the adverse effects caused by it, or requires Party B to increase or replace the mortgage (or pledge), but the mortgagor (or pledgor) and Party B fail to cooperate, it shall be deemed an event of default: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10.3.1 The mortgagor (or pledgor) does not own or has no right to dispose of the collateral (or pledged property), or there is dispute over the ownership;</w:t>
      </w:r>
    </w:p>
    <w:p>
      <w:pPr>
        <w:spacing w:after="0" w:line="24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10.3.2 The collateral (or pledged property) has been rented, seized, detained, supervised, or is subject to legal right of priority (including but not limited to priority of construction project), and / or such circumstances are concealed;</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10.3.3 The mortgagor transfers, leases, re-collateralizes the collateral or dispose of it in any other improper manner without the written consent of Party A, or although the disposal of the collateral is consented to by Party A, the proceeds from the disposal are not used to repay the debt owed by Party B to Party A as required by Party A;</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10.3.4 The mortgagor does not properly keep, maintain and repair the collateral, and thus the value of the collateral is obviously impaired; or the mortgagor’s acts directly jeopardize the collateral, resulting in a decrease in the value of the collateral; or the mortgagor does not effect insurance for the collateral during the mortgage period according to Party A’s requirements;</w:t>
      </w:r>
    </w:p>
    <w:p>
      <w:pPr>
        <w:spacing w:after="0" w:line="397"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10.3.5 The collateral has been or may be included in the scope of government demolition and expropriation, and the mortgagor fails to immediately inform Party A and fulfill the relevant obligations as stipulated in the mortgage contract; or</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10.3.6 Where the mortgagor uses its real estate mortgaged to China Merchants Bank to provide the residual value mortgage for the business under this Agreement, the mortgagor settles the personal mortgage loan in advance without the consent of Party A before Party B pays off the debt under this Agreement.</w:t>
      </w:r>
    </w:p>
    <w:p>
      <w:pPr>
        <w:spacing w:after="0" w:line="181"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10.4 When the guarantee under this Agreement includes the pledge of accounts receivable, if the debtor of the accounts receivable obviously deteriorates in operation, transfers property/withdraws funds to avoid debts, colludes with the pledgor to change path for the payment of receivables, causing that the collected funds are not transferred to the account designated for receivable collection, loses business reputation, loses or may lose the ability to perform contract, or other significant events affecting the debtor’s solvency occurs, Party A has the right to request Party B to provide corresponding guarantee or provide new valid receivables for pledge; if Party B fails to provide, it shall be deemed an event of default.</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 In the event of any of the above default, Party A shall have the right to adopt the following measures, separately or simultaneously: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10.5.1 Reducing the LOC under this agreement, or stop the use of remaining LOC balance;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ind w:left="380"/>
        <w:spacing w:after="0"/>
        <w:rPr>
          <w:sz w:val="20"/>
          <w:szCs w:val="20"/>
          <w:color w:val="auto"/>
        </w:rPr>
      </w:pPr>
      <w:r>
        <w:rPr>
          <w:rFonts w:ascii="Arial" w:cs="Arial" w:eastAsia="Arial" w:hAnsi="Arial"/>
          <w:sz w:val="18"/>
          <w:szCs w:val="18"/>
          <w:color w:val="auto"/>
        </w:rPr>
        <w:t>10.5.2 Recovering in advance the principal, interest and related expenses of loans issued within the LOC;</w:t>
      </w:r>
    </w:p>
    <w:p>
      <w:pPr>
        <w:spacing w:after="0" w:line="225"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10.5.3 For bills that have been accepted by Party A during the credit period, or letter of credit (including subsidiary letter of credit issued by branches entrusted by Party A), letter of guarantee, and letter of delivery against bank guarantee, etc. that have been issued by Party A , Party A may request Party B to increase the amount of the security deposit (regardless of whether Party A has made advance payment), or transfer the funds in other accounts opened by Party B at Party A into its security deposit account as a security deposit for the settlement of Party A’s advances under this Agreement, or hand over the corresponding funds to a third party as a security deposit for Party A’s advance payment for Party B;</w:t>
      </w:r>
    </w:p>
    <w:p>
      <w:pPr>
        <w:spacing w:after="0" w:line="173"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10.5.4 For the unpaid accounts receivable transferred from Party B to Party A under factoring, Party A has the right to request Party B to immediately fulfill repurchase obligations and take other recovery measures in accordance with the specific business agreements; for the accounts receivable transferred from Party B to Party A under factoring, Party A has the right to seek recourse from Party B.</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10.5.5 Party A may directly request Party B to provide other property accepted by Party A as a new guarantee, and if Party B fails to provide new</w:t>
      </w:r>
    </w:p>
    <w:p>
      <w:pPr>
        <w:spacing w:after="0" w:line="35"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guarantee as required, a penalty shall be levied against it at a rate of /</w:t>
      </w:r>
      <w:r>
        <w:rPr>
          <w:sz w:val="20"/>
          <w:szCs w:val="20"/>
          <w:color w:val="auto"/>
        </w:rPr>
        <w:tab/>
      </w:r>
      <w:r>
        <w:rPr>
          <w:rFonts w:ascii="Arial" w:cs="Arial" w:eastAsia="Arial" w:hAnsi="Arial"/>
          <w:sz w:val="16"/>
          <w:szCs w:val="16"/>
          <w:color w:val="auto"/>
        </w:rPr>
        <w:t>% of the LOC amount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-19050</wp:posOffset>
            </wp:positionV>
            <wp:extent cx="3460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346075" cy="8890"/>
                    </a:xfrm>
                    <a:prstGeom prst="rect">
                      <a:avLst/>
                    </a:prstGeom>
                    <a:noFill/>
                  </pic:spPr>
                </pic:pic>
              </a:graphicData>
            </a:graphic>
          </wp:anchor>
        </w:drawing>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10.5.6 Directly freezing/deducting deposits from any settlement account and/or other accounts opened by Party B at China Merchants Bank; and</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10.5.7 Seeking recourse in accordance with this Agreement.</w:t>
      </w:r>
    </w:p>
    <w:p>
      <w:pPr>
        <w:spacing w:after="0" w:line="225"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10.6 For the funds obtained by Party A through seeking recourse, the repayment sequence shall be from the earliest to latest according to the actual maturity date of each credit. For each credit, the repayment sequence shall be from expenses, penalty, compounded interest, penalty interest, interest, to the principal of credit, until all the principal, interests and related expenses are paid off.</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Party A has the right to unilaterally adjust the above repayment sequence, unless otherwise required by laws and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Change and Rescission of Contract</w:t>
      </w:r>
    </w:p>
    <w:p>
      <w:pPr>
        <w:spacing w:after="0" w:line="229"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This Agreement may be changed and rescinded upon negotiation and conclusion of a written agreement by the Parties hereto. This Agreement shall still be valid before the conclusion of the written agreement. Any Party shall not change, amend or rescind this Agreement unilaterally.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Miscellaneous</w:t>
      </w:r>
    </w:p>
    <w:p>
      <w:pPr>
        <w:spacing w:after="0" w:line="229"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12.1 During the term of this Agreement, any tolerance, grace period granted by Party A for Party B’s breach of contract or delay of performance, or any delay of Party A in performing any rights or interests under this Contract shall not damage, affect, or limit any rights and interests of Party A as a creditor vested by relevant laws and this Agreement, and shall neither be deemed as Party A’s consent or approval to any breach of this Agreement by Party B, nor be deemed as Party A’s waiver of right to take action against any existing or future default.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8" w:name="page149"/>
    <w:bookmarkEnd w:id="148"/>
    <w:p>
      <w:pPr>
        <w:jc w:val="both"/>
        <w:ind w:firstLine="378"/>
        <w:spacing w:after="0" w:line="302" w:lineRule="auto"/>
        <w:rPr>
          <w:sz w:val="20"/>
          <w:szCs w:val="20"/>
          <w:color w:val="auto"/>
        </w:rPr>
      </w:pPr>
      <w:r>
        <w:rPr>
          <w:rFonts w:ascii="Arial" w:cs="Arial" w:eastAsia="Arial" w:hAnsi="Arial"/>
          <w:sz w:val="16"/>
          <w:szCs w:val="16"/>
          <w:color w:val="auto"/>
        </w:rPr>
        <w:t>12.2 In the event that this Agreement or any part thereof becomes null and void for any reason, Party B shall still be liable for repaying all the debt owed to Party A under this Agreement. Under the above-mentioned circumstances, Party A shall have the right to terminate this Agreement and promptly claim for the repayment of all the debt owed by Party B under this Agreement. In the event that any change in the applicable laws and policy requirements causes the increase of costs for Party A to perform the obligations under the Agreement, Party B shall compensate Party A for the new costs as required by Party A.</w:t>
      </w:r>
    </w:p>
    <w:p>
      <w:pPr>
        <w:spacing w:after="0" w:line="154"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12.3 Notices, requests or other documents related to this Agreement between Party A and Party B shall be sent in writing (including but not limited to by letters, faxes, e-mails, Party A’s online banking, SMS or WeChat).</w:t>
      </w:r>
    </w:p>
    <w:p>
      <w:pPr>
        <w:spacing w:after="0" w:line="170"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12.3.1 For the delivery by hand (including but not limited to delivery by lawyer/notary, express, etc.), the instrument shall be deemed to have been served when the addressee signs the receipt (in the event of rejection by the addressee, it shall be deemed to have been served on the date of rejection/return or the 7th day after mailing ( whichever is earlier)); for the delivery by mail, the instrument shall be deemed to have been served at the 7th day after mailing; for the delivery by fax, email, Party A’s online banking notice, SMS, WeChat or other electronic means, the instrument shall be deemed to have been served at the date when the sender’s corresponding system displays that the transmission is successful.</w:t>
      </w:r>
    </w:p>
    <w:p>
      <w:pPr>
        <w:spacing w:after="0" w:line="173"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For the notice to Party B regarding the transfer of the creditor’s right or dunning published by Party A on mass media, it shall be deemed to have been served on the date of publishing.</w:t>
      </w:r>
    </w:p>
    <w:p>
      <w:pPr>
        <w:spacing w:after="0" w:line="170"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Any Party that changes the contact address, email address, fax number, mobile number or WeChat account number shall notify the other party of the change within five working days from the date of the change, otherwise the other party shall have the right to deliver the instrument according to the original contact address or information If the instrument is not successfully delivered due to the change of contact address, the date of return or the 7th day after delivery (whichever is earlier) shall be deemed to be the date of service. The party making the change is responsible for the losses that may arise therefrom, and the legal effect of delivery shall not be affected.</w:t>
      </w:r>
    </w:p>
    <w:p>
      <w:pPr>
        <w:spacing w:after="0" w:line="188" w:lineRule="exact"/>
        <w:rPr>
          <w:sz w:val="20"/>
          <w:szCs w:val="20"/>
          <w:color w:val="auto"/>
        </w:rPr>
      </w:pPr>
    </w:p>
    <w:p>
      <w:pPr>
        <w:jc w:val="both"/>
        <w:ind w:firstLine="378"/>
        <w:spacing w:after="0" w:line="273" w:lineRule="auto"/>
        <w:rPr>
          <w:sz w:val="20"/>
          <w:szCs w:val="20"/>
          <w:color w:val="auto"/>
        </w:rPr>
      </w:pPr>
      <w:r>
        <w:rPr>
          <w:rFonts w:ascii="Arial" w:cs="Arial" w:eastAsia="Arial" w:hAnsi="Arial"/>
          <w:sz w:val="17"/>
          <w:szCs w:val="17"/>
          <w:color w:val="auto"/>
        </w:rPr>
        <w:t>12.3.2 The above-mentioned contact address, email address, fax number, mobile number, and WeChat account number are also used as their respective address for service of notary instruments and judicial instruments (including but not limited to bill of complaint/arbitration applications, evidence, subpoenas, notice of responding to action, notice to produce evidence, notice of court session, notice of hearing, judgment/arbitration award, verdict, conciliation statement, notice for performance within a time limit and other instruments in the hearing and execution stages). The instruments shall be deemed to be served effectively if the court or notary office accepting the case delivers them in writing to such address in accordance with this Agreement (the specific criteria for service shall be implemented by reference to the provisions of paragraphs 12.3.1).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jc w:val="both"/>
        <w:ind w:right="20" w:firstLine="378"/>
        <w:spacing w:after="0" w:line="277" w:lineRule="auto"/>
        <w:rPr>
          <w:sz w:val="20"/>
          <w:szCs w:val="20"/>
          <w:color w:val="auto"/>
        </w:rPr>
      </w:pPr>
      <w:r>
        <w:rPr>
          <w:rFonts w:ascii="Arial" w:cs="Arial" w:eastAsia="Arial" w:hAnsi="Arial"/>
          <w:sz w:val="18"/>
          <w:szCs w:val="18"/>
          <w:color w:val="auto"/>
        </w:rPr>
        <w:t>12.4 The parties hereto agree that for each business application under the trade financing, Party B shall affix the seal according to the Letter of Authorization for Reserved Specimen Seal provided by Party B to Party A, and both parties shall recognize the validity of such seal.</w:t>
      </w:r>
    </w:p>
    <w:p>
      <w:pPr>
        <w:spacing w:after="0" w:line="170"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12.5 When Party B submits various applications under the credit granting through Party A’s online banking system, Party B’s digital signature generated in the form of digital certificate is a valid signature for the application. Party A has the right to fill out relevant business documents according to the application information sent online, and the authenticity, accuracy and legitimacy of the information shall be confirmed by Party B.</w:t>
      </w:r>
    </w:p>
    <w:p>
      <w:pPr>
        <w:spacing w:after="0" w:line="166"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12.6 The supplementary written agreements entered into, upon negotiation, by the parties hereto for the matters that are not covered in this Agreement or are subject to change, and the specific contracts under this Agreement shall be regarded as annexes to this Agreement and constitute an integral part thereof.</w:t>
      </w:r>
    </w:p>
    <w:p>
      <w:pPr>
        <w:spacing w:after="0" w:line="124"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12.7 In order to facilitate business processing, the letters or documents related to Party A’s operations involving transactions under this Agreement (including but not limited to acceptance of applications, data review, lending, transaction confirmation, withholding of funds, inquiry, receipt printing, dunning, payment deduction, etc. and various notifications) may be generated or issued at any business outlet of Party A. The operations of and letters or documents issued by Party A’s business outlets shall be deemed to be the acts of Party A and binding upon Party B.</w:t>
      </w:r>
    </w:p>
    <w:p>
      <w:pPr>
        <w:spacing w:after="0" w:line="17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12.8 The annexes to this Agreement shall constitute an integral part of this Agreement and are automatically applicable to the specific business that actually occurs between the parties hereto.</w:t>
      </w:r>
    </w:p>
    <w:p>
      <w:pPr>
        <w:spacing w:after="0" w:line="170" w:lineRule="exact"/>
        <w:rPr>
          <w:sz w:val="20"/>
          <w:szCs w:val="20"/>
          <w:color w:val="auto"/>
        </w:rPr>
      </w:pPr>
    </w:p>
    <w:p>
      <w:pPr>
        <w:ind w:left="380"/>
        <w:spacing w:after="0"/>
        <w:tabs>
          <w:tab w:leader="none" w:pos="1360" w:val="left"/>
        </w:tabs>
        <w:rPr>
          <w:sz w:val="20"/>
          <w:szCs w:val="20"/>
          <w:color w:val="auto"/>
        </w:rPr>
      </w:pPr>
      <w:r>
        <w:rPr>
          <w:rFonts w:ascii="Arial" w:cs="Arial" w:eastAsia="Arial" w:hAnsi="Arial"/>
          <w:sz w:val="18"/>
          <w:szCs w:val="18"/>
          <w:color w:val="auto"/>
        </w:rPr>
        <w:t>12.9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-10160</wp:posOffset>
            </wp:positionV>
            <wp:extent cx="4032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Governing Laws and Settlement of Dispute</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13.1 The conclusion, interpretation, and dispute settlement of this Agreement shall all be governed by the laws of the PRC (excluding Hong Kong, Macao and Taiwan laws), which protect the rights of both parties.</w:t>
      </w:r>
    </w:p>
    <w:p>
      <w:pPr>
        <w:spacing w:after="0" w:line="170" w:lineRule="exact"/>
        <w:rPr>
          <w:sz w:val="20"/>
          <w:szCs w:val="20"/>
          <w:color w:val="auto"/>
        </w:rPr>
      </w:pPr>
    </w:p>
    <w:p>
      <w:pPr>
        <w:jc w:val="both"/>
        <w:ind w:firstLine="378"/>
        <w:spacing w:after="0" w:line="233" w:lineRule="exact"/>
        <w:rPr>
          <w:sz w:val="20"/>
          <w:szCs w:val="20"/>
          <w:color w:val="auto"/>
        </w:rPr>
      </w:pPr>
      <w:r>
        <w:rPr>
          <w:rFonts w:ascii="Arial" w:cs="Arial" w:eastAsia="Arial" w:hAnsi="Arial"/>
          <w:sz w:val="18"/>
          <w:szCs w:val="18"/>
          <w:color w:val="auto"/>
        </w:rPr>
        <w:t xml:space="preserve">13.2 Any dispute arising from the performance of this Agreement shall be settled through friendly negotiation by the parties hereto. If the negotiation fails, any party may (please place a √ in </w:t>
      </w:r>
      <w:r>
        <w:rPr>
          <w:rFonts w:ascii="MS PGothic" w:cs="MS PGothic" w:eastAsia="MS PGothic" w:hAnsi="MS PGothic"/>
          <w:sz w:val="18"/>
          <w:szCs w:val="18"/>
          <w:color w:val="auto"/>
        </w:rPr>
        <w:t>☐</w:t>
      </w:r>
      <w:r>
        <w:rPr>
          <w:rFonts w:ascii="Arial" w:cs="Arial" w:eastAsia="Arial" w:hAnsi="Arial"/>
          <w:sz w:val="18"/>
          <w:szCs w:val="18"/>
          <w:color w:val="auto"/>
        </w:rPr>
        <w:t xml:space="preserve"> for selection</w:t>
      </w:r>
    </w:p>
    <w:p>
      <w:pPr>
        <w:spacing w:after="0" w:line="183" w:lineRule="exact"/>
        <w:rPr>
          <w:sz w:val="20"/>
          <w:szCs w:val="20"/>
          <w:color w:val="auto"/>
        </w:rPr>
      </w:pPr>
    </w:p>
    <w:p>
      <w:pPr>
        <w:ind w:left="680" w:hanging="294"/>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13.2.1 file a suit at the people’s court in the place where this Agreement is signed</w:t>
      </w:r>
    </w:p>
    <w:p>
      <w:pPr>
        <w:spacing w:after="0" w:line="225" w:lineRule="exact"/>
        <w:rPr>
          <w:rFonts w:ascii="Arial" w:cs="Arial" w:eastAsia="Arial" w:hAnsi="Arial"/>
          <w:sz w:val="18"/>
          <w:szCs w:val="18"/>
          <w:color w:val="auto"/>
        </w:rPr>
      </w:pPr>
    </w:p>
    <w:p>
      <w:pPr>
        <w:ind w:left="680" w:hanging="294"/>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13.2.2 file a suit at the people’s court in the place where Party A is located</w:t>
      </w:r>
    </w:p>
    <w:p>
      <w:pPr>
        <w:spacing w:after="0" w:line="225" w:lineRule="exact"/>
        <w:rPr>
          <w:sz w:val="20"/>
          <w:szCs w:val="20"/>
          <w:color w:val="auto"/>
        </w:rPr>
      </w:pPr>
    </w:p>
    <w:p>
      <w:pPr>
        <w:ind w:left="380"/>
        <w:spacing w:after="0"/>
        <w:tabs>
          <w:tab w:leader="none" w:pos="660" w:val="left"/>
          <w:tab w:leader="none" w:pos="2920" w:val="left"/>
          <w:tab w:leader="none" w:pos="9860" w:val="left"/>
        </w:tabs>
        <w:rPr>
          <w:sz w:val="20"/>
          <w:szCs w:val="20"/>
          <w:color w:val="auto"/>
        </w:rPr>
      </w:pPr>
      <w:r>
        <w:rPr>
          <w:rFonts w:ascii="Arial" w:cs="Arial" w:eastAsia="Arial" w:hAnsi="Arial"/>
          <w:sz w:val="18"/>
          <w:szCs w:val="18"/>
          <w:color w:val="auto"/>
        </w:rPr>
        <w:t>●</w:t>
        <w:tab/>
        <w:t>13.2.3 refer the dispute to /</w:t>
      </w:r>
      <w:r>
        <w:rPr>
          <w:sz w:val="20"/>
          <w:szCs w:val="20"/>
          <w:color w:val="auto"/>
        </w:rPr>
        <w:tab/>
      </w:r>
      <w:r>
        <w:rPr>
          <w:rFonts w:ascii="Arial" w:cs="Arial" w:eastAsia="Arial" w:hAnsi="Arial"/>
          <w:sz w:val="18"/>
          <w:szCs w:val="18"/>
          <w:color w:val="auto"/>
        </w:rPr>
        <w:t>(insert the name of specific arbitrator) for arbitration, with the arbitration venue being at/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-10160</wp:posOffset>
            </wp:positionV>
            <wp:extent cx="231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-10160</wp:posOffset>
            </wp:positionV>
            <wp:extent cx="3746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374650" cy="8890"/>
                    </a:xfrm>
                    <a:prstGeom prst="rect">
                      <a:avLst/>
                    </a:prstGeom>
                    <a:noFill/>
                  </pic:spPr>
                </pic:pic>
              </a:graphicData>
            </a:graphic>
          </wp:anchor>
        </w:drawing>
      </w:r>
    </w:p>
    <w:p>
      <w:pPr>
        <w:spacing w:after="0" w:line="205"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13.3 If the parties hereto have this Agreement and related contracts notarized for legal enforcement, then Party A may directly apply to the people’s court with jurisdiction for enforcement to collect the debt that Party B owes under this Agreement and related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Effectiveness of Agreement</w:t>
      </w:r>
    </w:p>
    <w:p>
      <w:pPr>
        <w:spacing w:after="0" w:line="229"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This Agreement shall become effective after being signed (or sealed) by the legal representatives/person in charge or the authorized signatories of both parties and being affixed with the company seal/special seal for contract of both parties, and shall automatically terminate upon expiration of the credit period or full repayment of the debt and other related fees under this Agreement owed by Party B to Party A (whichever comes later).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Supplementary Provisions</w:t>
      </w:r>
    </w:p>
    <w:p>
      <w:pPr>
        <w:spacing w:after="0" w:line="229" w:lineRule="exact"/>
        <w:rPr>
          <w:sz w:val="20"/>
          <w:szCs w:val="20"/>
          <w:color w:val="auto"/>
        </w:rPr>
      </w:pPr>
    </w:p>
    <w:p>
      <w:pPr>
        <w:ind w:left="380"/>
        <w:spacing w:after="0"/>
        <w:tabs>
          <w:tab w:leader="none" w:pos="3200" w:val="left"/>
          <w:tab w:leader="none" w:pos="6100" w:val="left"/>
        </w:tabs>
        <w:rPr>
          <w:sz w:val="20"/>
          <w:szCs w:val="20"/>
          <w:color w:val="auto"/>
        </w:rPr>
      </w:pPr>
      <w:r>
        <w:rPr>
          <w:rFonts w:ascii="Arial" w:cs="Arial" w:eastAsia="Arial" w:hAnsi="Arial"/>
          <w:sz w:val="18"/>
          <w:szCs w:val="18"/>
          <w:color w:val="auto"/>
        </w:rPr>
        <w:t>This Agreement shall be made in</w:t>
      </w:r>
      <w:r>
        <w:rPr>
          <w:sz w:val="20"/>
          <w:szCs w:val="20"/>
          <w:color w:val="auto"/>
        </w:rPr>
        <w:tab/>
      </w:r>
      <w:r>
        <w:rPr>
          <w:rFonts w:ascii="Arial" w:cs="Arial" w:eastAsia="Arial" w:hAnsi="Arial"/>
          <w:sz w:val="18"/>
          <w:szCs w:val="18"/>
          <w:color w:val="auto"/>
        </w:rPr>
        <w:t>copies, with Party A, Party B, and</w:t>
      </w:r>
      <w:r>
        <w:rPr>
          <w:sz w:val="20"/>
          <w:szCs w:val="20"/>
          <w:color w:val="auto"/>
        </w:rPr>
        <w:tab/>
      </w:r>
      <w:r>
        <w:rPr>
          <w:rFonts w:ascii="Arial" w:cs="Arial" w:eastAsia="Arial" w:hAnsi="Arial"/>
          <w:sz w:val="16"/>
          <w:szCs w:val="16"/>
          <w:color w:val="auto"/>
        </w:rPr>
        <w:t>each holding one copy, which have the same legal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-10160</wp:posOffset>
            </wp:positionV>
            <wp:extent cx="2571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-10160</wp:posOffset>
            </wp:positionV>
            <wp:extent cx="2571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Annex I Special Provisions regarding Online Customs Clearance (Customs Duties and Dues Payment Guarantee)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Annex II: Special Provisions regarding Buyer / Import Factoring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III: Special Provisions regarding Order-related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IV: Special Provisions regarding Guaranteed Discount for Commercial Acceptance Bills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V: Special Provisions regarding Derivative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VI: Special Provisions regarding Gold Leasing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VII: Special Provisions regarding Cross-border linkage Trade financing</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Annex I Special Provisions regarding Online Customs Clearance (Customs Duties and Dues Payment Guarantee)</w:t>
      </w:r>
    </w:p>
    <w:p>
      <w:pPr>
        <w:spacing w:after="0" w:line="229" w:lineRule="exact"/>
        <w:rPr>
          <w:sz w:val="20"/>
          <w:szCs w:val="20"/>
          <w:color w:val="auto"/>
        </w:rPr>
      </w:pPr>
    </w:p>
    <w:p>
      <w:pPr>
        <w:jc w:val="both"/>
        <w:ind w:left="340" w:hanging="332"/>
        <w:spacing w:after="0" w:line="293"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Party B applies to Party A for customs duties and dues payment guarantee within the LOC, Party B shall login to electronic port system / www.easipay.net to send Party A the online payment bank guarantee order; Party A provides guarantee to Party B, within the LOC, for its payment of tax payable to the customs in the form of electronic payment guarantee letter through electronic port system / www.easipay.net (guaranteeing that the tax payable by Party B will be paid to the state treasury when the tax payable is due, and the guarantee will be reflected in the system by the information of “Payment is Successful” sent by Party A to electronic port system / www.easipay.net), realizing that the formalities for goods customs clearance are gone through at first, and the relevant import and export duties and dues are paid later within the time limit stipulated by the customs.</w:t>
      </w:r>
    </w:p>
    <w:p>
      <w:pPr>
        <w:spacing w:after="0" w:line="164" w:lineRule="exact"/>
        <w:rPr>
          <w:rFonts w:ascii="Arial" w:cs="Arial" w:eastAsia="Arial" w:hAnsi="Arial"/>
          <w:sz w:val="16"/>
          <w:szCs w:val="16"/>
          <w:color w:val="auto"/>
        </w:rPr>
      </w:pPr>
    </w:p>
    <w:p>
      <w:pPr>
        <w:ind w:left="340"/>
        <w:spacing w:after="0" w:line="277" w:lineRule="auto"/>
        <w:rPr>
          <w:rFonts w:ascii="Arial" w:cs="Arial" w:eastAsia="Arial" w:hAnsi="Arial"/>
          <w:sz w:val="16"/>
          <w:szCs w:val="16"/>
          <w:color w:val="auto"/>
        </w:rPr>
      </w:pPr>
      <w:r>
        <w:rPr>
          <w:rFonts w:ascii="Arial" w:cs="Arial" w:eastAsia="Arial" w:hAnsi="Arial"/>
          <w:sz w:val="18"/>
          <w:szCs w:val="18"/>
          <w:color w:val="auto"/>
        </w:rPr>
        <w:t>Party A’s advance payment (regardless of whether made during the credit period) under the payment guarantee and related interest and expenses shall directly constitute debts owed by Party B to Party A and be included in the scope of the LOC.</w:t>
      </w:r>
    </w:p>
    <w:p>
      <w:pPr>
        <w:spacing w:after="0" w:line="170"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Party B shall deposit a certain amount of funds in Party A as the security deposit according to the requirements of Party A (the account number shall be subject to the account automatically generated or entered when the funds are deposited), and provide counter-guarantee for Party A’s tax payment guarantee.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Party A issues an electronic payment guarantee instrument to the customs in its capacity as the guarantor; Party B is aware and confirms that the electronic payment guarantee has the nature of independent guarantee, and the guarantee liability assumed by A to the customs is an independent demand guarantee.</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Party B shall send a withholding order to Party A through electronic port system / www.easipay.net, and Party A shall issue a payment guarantee to the customs according to the withholding order sent by Party B; Party B shall grant Party A the right to deduct the principal and interest of the guarantee amount from its security deposit accounts concerned and the right to fill out relevant business documents according to the withholding order issued online.</w:t>
      </w:r>
    </w:p>
    <w:p>
      <w:pPr>
        <w:spacing w:after="0" w:line="186"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The specific time, amount, etc. of each payment guarantee provided by Party A within the LOC shall be subject to Party B’s online payment bank guarantee order (payment guarantee withholding order) received by Party A and stored in the online system. Party B must send the payment guarantee withholding order to Party A within the credit period, and Party A will not accept such order sent beyond the credit period.</w:t>
      </w:r>
    </w:p>
    <w:p>
      <w:pPr>
        <w:spacing w:after="0" w:line="165"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Party A shall determine the expiration date of the single payment guarantee according to the “time limit for payment” (i.e. “date when tax payable is due”) specified by the actual deduction order sent to Party A by electronic port system / www.easipay.net.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auto"/>
                <w:w w:val="95"/>
              </w:rPr>
              <w:t>5.  If Party B does not use the LOC for the customs duties and dues payment guarantee for</w:t>
            </w:r>
          </w:p>
        </w:tc>
        <w:tc>
          <w:tcPr>
            <w:tcW w:w="420" w:type="dxa"/>
            <w:vAlign w:val="bottom"/>
            <w:tcBorders>
              <w:bottom w:val="single" w:sz="8" w:color="auto"/>
            </w:tcBorders>
          </w:tcPr>
          <w:p>
            <w:pPr>
              <w:spacing w:after="0"/>
              <w:rPr>
                <w:sz w:val="17"/>
                <w:szCs w:val="17"/>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w w:val="93"/>
              </w:rPr>
              <w:t>consecutive months, Party A has the right to refuse to</w:t>
            </w:r>
          </w:p>
        </w:tc>
      </w:tr>
      <w:tr>
        <w:trPr>
          <w:trHeight w:val="237"/>
        </w:trPr>
        <w:tc>
          <w:tcPr>
            <w:tcW w:w="6920" w:type="dxa"/>
            <w:vAlign w:val="bottom"/>
          </w:tcPr>
          <w:p>
            <w:pPr>
              <w:ind w:left="340"/>
              <w:spacing w:after="0"/>
              <w:rPr>
                <w:sz w:val="20"/>
                <w:szCs w:val="20"/>
                <w:color w:val="auto"/>
              </w:rPr>
            </w:pPr>
            <w:r>
              <w:rPr>
                <w:rFonts w:ascii="Arial" w:cs="Arial" w:eastAsia="Arial" w:hAnsi="Arial"/>
                <w:sz w:val="18"/>
                <w:szCs w:val="18"/>
                <w:color w:val="auto"/>
              </w:rPr>
              <w:t>conduct such business for Party B.</w:t>
            </w:r>
          </w:p>
        </w:tc>
        <w:tc>
          <w:tcPr>
            <w:tcW w:w="420" w:type="dxa"/>
            <w:vAlign w:val="bottom"/>
          </w:tcPr>
          <w:p>
            <w:pPr>
              <w:spacing w:after="0"/>
              <w:rPr>
                <w:sz w:val="20"/>
                <w:szCs w:val="20"/>
                <w:color w:val="auto"/>
              </w:rPr>
            </w:pPr>
          </w:p>
        </w:tc>
        <w:tc>
          <w:tcPr>
            <w:tcW w:w="4080" w:type="dxa"/>
            <w:vAlign w:val="bottom"/>
          </w:tcPr>
          <w:p>
            <w:pPr>
              <w:spacing w:after="0"/>
              <w:rPr>
                <w:sz w:val="20"/>
                <w:szCs w:val="20"/>
                <w:color w:val="auto"/>
              </w:rPr>
            </w:pPr>
          </w:p>
        </w:tc>
      </w:tr>
    </w:tbl>
    <w:p>
      <w:pPr>
        <w:spacing w:after="0" w:line="202" w:lineRule="exact"/>
        <w:rPr>
          <w:sz w:val="20"/>
          <w:szCs w:val="20"/>
          <w:color w:val="auto"/>
        </w:rPr>
      </w:pPr>
    </w:p>
    <w:p>
      <w:pPr>
        <w:jc w:val="both"/>
        <w:ind w:left="340" w:hanging="332"/>
        <w:spacing w:after="0" w:line="293"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Party B authorizes Party A to directly deduct funds from Party B’s account (including security deposit account) to pay tax to customs when the tax payable by Party B is due, without notifying Party B or obtaining Party B’s consent If the account amount is insufficient to pay, Party B guarantees that all the shortfall amount will be transferred into the account designated for tax payment within 3 days before the date when the tax payable is due, making preparation for the payment due. If Party B fails to make up the shortfall in time, Party A shall have the right to seek recourse from Party B after making advance payment to state treasury due to the obligation under the payment guarantee, and shall have the right to levy a penalty against Party B at an annual rate of % of the advance amount according to the actual days counted from the date when the advance payment is made.</w:t>
      </w:r>
    </w:p>
    <w:p>
      <w:pPr>
        <w:spacing w:after="0" w:line="164" w:lineRule="exact"/>
        <w:rPr>
          <w:rFonts w:ascii="Arial" w:cs="Arial" w:eastAsia="Arial" w:hAnsi="Arial"/>
          <w:sz w:val="16"/>
          <w:szCs w:val="16"/>
          <w:color w:val="auto"/>
        </w:rPr>
      </w:pPr>
    </w:p>
    <w:p>
      <w:pPr>
        <w:ind w:left="340" w:hanging="332"/>
        <w:spacing w:after="0"/>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Party A shall charge a guarantee fee quarterly at an annual rate of % of the actual transaction amount under the online payment bank guarantee.</w:t>
      </w:r>
    </w:p>
    <w:p>
      <w:pPr>
        <w:spacing w:after="0" w:line="236"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Party B fails to fulfill its obligations under the Credit Granting Agreement or this Annex, or if any statement, undertakings or guarantee made by it is untrue, Party A shall have the right to take any remedy measures set out in the Credit Granting Agreement, and to require a security deposit from Party B equal to 100% of the total amount of the payment guarantee provided by Party A under which no claim has occurred.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Annex II: Special Provisions regarding Buyer / Import Factoring</w:t>
      </w:r>
    </w:p>
    <w:p>
      <w:pPr>
        <w:spacing w:after="0" w:line="229"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Definition</w:t>
      </w:r>
    </w:p>
    <w:p>
      <w:pPr>
        <w:spacing w:after="0" w:line="225"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1.1 The buyer/import factoring means that Party A, as the buyer/import factor, provides approved payment, accounts receivable dunning and management and other comprehensive factoring services for seller/export factor after the seller/export factor transfers to it the accounts receivable (under a business contract) of which Party B is the debtor.</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Under the buyer/import factoring, if the buyer’s credit risk occurs, Party A shall be liable to seller/export factor for approved payment; if a dispute arises during the performance of the business contract, Party A shall have the right to re-transfer to the seller/export factor the accounts receivable transferred to it.</w:t>
      </w:r>
    </w:p>
    <w:p>
      <w:pPr>
        <w:spacing w:after="0" w:line="181"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1.2 The seller/export factor is the party that signs a factoring agreement with the supplier/service provider (creditor of an account receivable) under the business contract and to which the account receivable held by the creditor thereof is transferred. Party A may act both as a buyer/import factor and as a seller/export factor.</w:t>
      </w:r>
    </w:p>
    <w:p>
      <w:pPr>
        <w:spacing w:after="0" w:line="181" w:lineRule="exact"/>
        <w:rPr>
          <w:sz w:val="20"/>
          <w:szCs w:val="20"/>
          <w:color w:val="auto"/>
        </w:rPr>
      </w:pPr>
    </w:p>
    <w:p>
      <w:pPr>
        <w:jc w:val="both"/>
        <w:ind w:left="340" w:hanging="323"/>
        <w:spacing w:after="0" w:line="302" w:lineRule="auto"/>
        <w:rPr>
          <w:sz w:val="20"/>
          <w:szCs w:val="20"/>
          <w:color w:val="auto"/>
        </w:rPr>
      </w:pPr>
      <w:r>
        <w:rPr>
          <w:rFonts w:ascii="Arial" w:cs="Arial" w:eastAsia="Arial" w:hAnsi="Arial"/>
          <w:sz w:val="16"/>
          <w:szCs w:val="16"/>
          <w:color w:val="auto"/>
        </w:rPr>
        <w:t>1.3 The dispute refers to the defense, counter claim, offset or other similar acts filed by Party B in respect of the accounts receivable transferred to Party A due to any dispute related to the goods, services, invoices or any other commercial contracts related matters between the creditor of the accounts receivable and Party B, and the acts of a third-party to make a claim on or apply for the freezing of the accounts receivable under this Agreement. If the accounts receivable transferred to Party A cannot be recovered in full or in part due to non-buyer’s credit risk, it shall be deemed to be a dispute.</w:t>
      </w:r>
    </w:p>
    <w:p>
      <w:pPr>
        <w:spacing w:after="0" w:line="154"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1.4 Business contract: refers to the transaction contract signed between Party B and the creditors of the accounts receivable for the purpose of commodity trading and/or service trading, with sale on credit as the settlement method.</w:t>
      </w:r>
    </w:p>
    <w:p>
      <w:pPr>
        <w:spacing w:after="0" w:line="170"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1.5 Approved payment / guaranteed payment means that after the occurrence of buyer’s credit risk, Party A shall pay the corresponding amount of the account receivable to the seller/export factor within a certain period after the account receivable is mature.</w:t>
      </w:r>
    </w:p>
    <w:p>
      <w:pPr>
        <w:spacing w:after="0" w:line="170" w:lineRule="exact"/>
        <w:rPr>
          <w:sz w:val="20"/>
          <w:szCs w:val="20"/>
          <w:color w:val="auto"/>
        </w:rPr>
      </w:pPr>
    </w:p>
    <w:p>
      <w:pPr>
        <w:jc w:val="both"/>
        <w:ind w:left="340" w:right="20" w:hanging="332"/>
        <w:spacing w:after="0" w:line="264"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application by Party B, Party A agrees to conduct buyer/import factoring for it within the LOC. the funds and related expenses paid by Party A as the buyer/import factor for performing the obligations of the approved payment shall be deemed as the credit granted by Party A to Party B under the Credit Granting Agreement.</w:t>
      </w:r>
    </w:p>
    <w:p>
      <w:pPr>
        <w:spacing w:after="0" w:line="181"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As long as an account receivable is transferred to Party A during the credit period, Party A shall have the right to seek recourse from Party B in accordance with the provisions of the Credit Granting Agreement and the business contracts, even if it performs the obligations of the approved payment beyond the credit period.</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Commission fees of buyer/import factoring</w:t>
      </w:r>
    </w:p>
    <w:p>
      <w:pPr>
        <w:spacing w:after="0" w:line="225"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Commission fees of factoring: mean the business management fee that should be charged by Party A for the buyer/import factoring services, which shall be charged by Party A from Party B according to a certain percentage of the amount of accounts receivable at the time of transfer, with the specific rate being reasonably determined by Party A in accordance with its business rules.</w:t>
      </w:r>
    </w:p>
    <w:p>
      <w:pPr>
        <w:spacing w:after="0" w:line="181"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Party B shall waive the right to raise an objection based on disputes arising during the performance of the business contract. In view of this, regardless of whether there are other agreements, if Party B fails to make payment in accordance with the provision of the business contract, it shall be deemed as the occurrence of the buyer’s credit risk; Party A will make the approved payment, and Party B will raise no objection.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Annex III: Special Provisions regarding Order-related Loan</w:t>
      </w:r>
    </w:p>
    <w:p>
      <w:pPr>
        <w:spacing w:after="0" w:line="229" w:lineRule="exact"/>
        <w:rPr>
          <w:sz w:val="20"/>
          <w:szCs w:val="20"/>
          <w:color w:val="auto"/>
        </w:rPr>
      </w:pPr>
    </w:p>
    <w:p>
      <w:pPr>
        <w:jc w:val="both"/>
        <w:ind w:left="340" w:hanging="332"/>
        <w:spacing w:after="0" w:line="264"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order-related loan means the loan lent by Party A to Party B based on the business contract (or engineering contract) signed between Party B and its downstream customers, used for the performance of the business contract (or the engineering contract) for the business unit, with the proceeds from the business contract (or engineering contract) being the first source for the repayment of the loan.</w:t>
      </w:r>
    </w:p>
    <w:p>
      <w:pPr>
        <w:spacing w:after="0" w:line="181"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B shall open a special account at Party A for the collection of proceeds under the business contract (or engineering contract). All sales under the business contract (or engineering contract) based on which the order-related loan is applied must be directly paid to the special account; without the approval of Party A, the funds may not be used and the special account may not be changed. Party B shall notify the payer that the account is the only account for the payment of sales proceeds. Party A has the right to deduct the funds from the special account for the repayment of the principal and interest, penalty interest and other related expenses of the order-related loan.</w:t>
      </w:r>
    </w:p>
    <w:p>
      <w:pPr>
        <w:spacing w:after="0" w:line="18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Under any of the following circumstances, Party A may immediately stop the use of remaining LOC balance under the Credit Granting Agreement, and take remedy measures in accordance with the Credit Granting Agreement:</w:t>
      </w:r>
    </w:p>
    <w:p>
      <w:pPr>
        <w:spacing w:after="0" w:line="170"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3.1 The downstream customers of Party B have delayed in payment for three consecutive periods, and Party A has reasonably judged that their financial status has deteriorated, which is not conducive to protecting Party A’s creditor’s rights; and</w:t>
      </w:r>
    </w:p>
    <w:p>
      <w:pPr>
        <w:spacing w:after="0" w:line="170" w:lineRule="exact"/>
        <w:rPr>
          <w:sz w:val="20"/>
          <w:szCs w:val="20"/>
          <w:color w:val="auto"/>
        </w:rPr>
      </w:pPr>
    </w:p>
    <w:p>
      <w:pPr>
        <w:jc w:val="both"/>
        <w:ind w:left="340" w:hanging="323"/>
        <w:spacing w:after="0" w:line="273" w:lineRule="auto"/>
        <w:rPr>
          <w:sz w:val="20"/>
          <w:szCs w:val="20"/>
          <w:color w:val="auto"/>
        </w:rPr>
      </w:pPr>
      <w:r>
        <w:rPr>
          <w:rFonts w:ascii="Arial" w:cs="Arial" w:eastAsia="Arial" w:hAnsi="Arial"/>
          <w:sz w:val="17"/>
          <w:szCs w:val="17"/>
          <w:color w:val="auto"/>
        </w:rPr>
        <w:t>3.2 Party B’s supplier qualification is canceled by its downstream customers, Party B’s supply to the downstream customers is not timely, the product quality is unstable, Party B fails to make progress in construction as scheduled in the engineering contract, which is not recognized by the downstream customers, the industry practice qualification of Party B has been lowered, which results in its failure to meet the requirements of downstream customers, Party A has reasonably judged that Party B is difficult to operate and its financial status deteriorates, the funds collected from downstream customers is less than the monthly total repayment amount of financing contracts under the credit granting for three consecutive months, or the downstream customers fail to pay the installments as agreed in the engineering contract for two consecutive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Annex IV: Special Provisions regarding Guaranteed Discount for Commercial Acceptance Bills</w:t>
      </w:r>
    </w:p>
    <w:p>
      <w:pPr>
        <w:spacing w:after="0" w:line="229" w:lineRule="exact"/>
        <w:rPr>
          <w:sz w:val="20"/>
          <w:szCs w:val="20"/>
          <w:color w:val="auto"/>
        </w:rPr>
      </w:pPr>
    </w:p>
    <w:p>
      <w:pPr>
        <w:jc w:val="both"/>
        <w:ind w:left="340" w:hanging="332"/>
        <w:spacing w:after="0" w:line="259"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guaranteed discount for commercial acceptance bills is a service that Party A undertakes to discount the commercial acceptance bills accepted by Party B or allows the bill holder to apply for discount to any branch of China Merchants Bank (hereinafter referred to as “other discount acceptance banks”). The holder (hereinafter referred to as the “discount applicant”) may apply to Party A or other discount acceptance banks for discounting such commercial acceptance bills. Such discount services shall offset the LOC under this Agreement.</w:t>
      </w:r>
    </w:p>
    <w:p>
      <w:pPr>
        <w:spacing w:after="0" w:line="186" w:lineRule="exact"/>
        <w:rPr>
          <w:rFonts w:ascii="Arial" w:cs="Arial" w:eastAsia="Arial" w:hAnsi="Arial"/>
          <w:sz w:val="18"/>
          <w:szCs w:val="18"/>
          <w:color w:val="auto"/>
        </w:rPr>
      </w:pPr>
    </w:p>
    <w:p>
      <w:pPr>
        <w:jc w:val="both"/>
        <w:ind w:left="340"/>
        <w:spacing w:after="0" w:line="302" w:lineRule="auto"/>
        <w:rPr>
          <w:rFonts w:ascii="Arial" w:cs="Arial" w:eastAsia="Arial" w:hAnsi="Arial"/>
          <w:sz w:val="18"/>
          <w:szCs w:val="18"/>
          <w:color w:val="auto"/>
        </w:rPr>
      </w:pPr>
      <w:r>
        <w:rPr>
          <w:rFonts w:ascii="Arial" w:cs="Arial" w:eastAsia="Arial" w:hAnsi="Arial"/>
          <w:sz w:val="16"/>
          <w:szCs w:val="16"/>
          <w:color w:val="auto"/>
        </w:rPr>
        <w:t>In view that the guaranteed discount for commercial acceptance bills provided by Party A for Party B is the prerequisite for other discount acceptance banks to accept the bill holder’s application for discounting, other discount acceptance banks have the right to transfer the discounted bills to Party A after the discounting, and Party A is obliged to accept the transfer. For the commercial acceptance bills transferred from other discount acceptance banks to Party A, Party B undertakes to pay the bills unconditionally on the maturity date, and the parties hereto have no objection.</w:t>
      </w:r>
    </w:p>
    <w:p>
      <w:pPr>
        <w:spacing w:after="0" w:line="154"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commercial acceptance bills mentioned in this clause include both paper commercial acceptance bills and electronic commercial acceptance bills (hereinafter referred to as “electronic bills”); both commercial acceptance bills with discount interest being paid by discount applicant and commercial acceptance bills with discount interest being paid by buyer.</w:t>
      </w:r>
    </w:p>
    <w:p>
      <w:pPr>
        <w:spacing w:after="0" w:line="181"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discount of commercial acceptance bills with discount interest being paid by buyer means bill discount that the discount interest is paid by Party B when the commercial acceptance bills issued and accepted by it are discounted.</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During the credit period, Party B shall open a commercial acceptance bill security deposit account in Party A (the account number shall be subject to the account automatically generated or entered when the security deposit are deposited), and deposit a certain amount of funds in the security deposit account according to the requirements of Party A before the discount guarantee is issued for each commercial bill, which shall be used as the security deposit for the payment of commercial acceptance bill accepted by Party B that Party A undertakes to discount.</w:t>
      </w:r>
    </w:p>
    <w:p>
      <w:pPr>
        <w:spacing w:after="0" w:line="171"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Party B shall deposit the full amount of the bill payable in the security deposit account opened at Party A before the maturity of each commercial acceptance bill, making preparation for the payment of bills due.</w:t>
      </w:r>
    </w:p>
    <w:p>
      <w:pPr>
        <w:spacing w:after="0" w:line="170"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During the credit period, the discount applicant may apply directly to Party A for discounting the commercial acceptance bill accepted by Party B, or apply to other discount acceptance banks for discounting. Party A or other discount acceptance banks have the right to examine the qualification of discount applicants, and have the right to request Party B to confirm upon review, and determine on its own whether to conduct the discount.</w:t>
      </w:r>
    </w:p>
    <w:p>
      <w:pPr>
        <w:spacing w:after="0" w:line="165" w:lineRule="exact"/>
        <w:rPr>
          <w:rFonts w:ascii="Arial" w:cs="Arial" w:eastAsia="Arial" w:hAnsi="Arial"/>
          <w:sz w:val="17"/>
          <w:szCs w:val="17"/>
          <w:color w:val="auto"/>
        </w:rPr>
      </w:pPr>
    </w:p>
    <w:p>
      <w:pPr>
        <w:jc w:val="both"/>
        <w:ind w:left="340"/>
        <w:spacing w:after="0" w:line="259" w:lineRule="auto"/>
        <w:rPr>
          <w:rFonts w:ascii="Arial" w:cs="Arial" w:eastAsia="Arial" w:hAnsi="Arial"/>
          <w:sz w:val="17"/>
          <w:szCs w:val="17"/>
          <w:color w:val="auto"/>
        </w:rPr>
      </w:pPr>
      <w:r>
        <w:rPr>
          <w:rFonts w:ascii="Arial" w:cs="Arial" w:eastAsia="Arial" w:hAnsi="Arial"/>
          <w:sz w:val="18"/>
          <w:szCs w:val="18"/>
          <w:color w:val="auto"/>
        </w:rPr>
        <w:t>After conducting discount, the other discount acceptance banks shall have the right to transfer the discounted commercial acceptance bills to Party A in accordance with the relevant rules of China Merchants Bank. When Party A require Party B to pay a commercial acceptance bill after discounting the commercial acceptance bill or receiving the commercial acceptance bill discounted by other discount acceptance banks, Party B shall unconditionally, fully and timely pay Party A the amount of bill payable.</w:t>
      </w:r>
    </w:p>
    <w:p>
      <w:pPr>
        <w:spacing w:after="0" w:line="186" w:lineRule="exact"/>
        <w:rPr>
          <w:rFonts w:ascii="Arial" w:cs="Arial" w:eastAsia="Arial" w:hAnsi="Arial"/>
          <w:sz w:val="17"/>
          <w:szCs w:val="17"/>
          <w:color w:val="auto"/>
        </w:rPr>
      </w:pPr>
    </w:p>
    <w:p>
      <w:pPr>
        <w:jc w:val="both"/>
        <w:ind w:left="340" w:right="20" w:hanging="332"/>
        <w:spacing w:after="0" w:line="286"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issuing and discounting of each electronic bill shall be subject to the business information stored in the PBOC electronic bill system, or the business records such as customer statements filled or printed according to it. The business records of Party A shall constitute an integral part of this Agreement and have the same legal effect as this Agreement: Party B acknowledges the accuracy, authenticity and legality of such records.</w:t>
      </w:r>
    </w:p>
    <w:p>
      <w:pPr>
        <w:spacing w:after="0" w:line="165"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any dispute arises from the underlying contract of the commercial acceptance bill that Party A undertakes to discount within the LOC, Party B shall settle the dispute with the relevant parties themselves; before the maturity of each bill, Party B shall still be obliged to fully and timely deposit the security deposit and the bill amount according to the foregoing agreement.</w:t>
      </w:r>
    </w:p>
    <w:p>
      <w:pPr>
        <w:spacing w:after="0" w:line="181" w:lineRule="exact"/>
        <w:rPr>
          <w:rFonts w:ascii="Arial" w:cs="Arial" w:eastAsia="Arial" w:hAnsi="Arial"/>
          <w:sz w:val="18"/>
          <w:szCs w:val="18"/>
          <w:color w:val="auto"/>
        </w:rPr>
      </w:pPr>
    </w:p>
    <w:p>
      <w:pPr>
        <w:jc w:val="both"/>
        <w:ind w:left="340" w:hanging="332"/>
        <w:spacing w:after="0" w:line="219" w:lineRule="exact"/>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Where Party A has discounted the commercial acceptance bill accepted by Party B or has received the commercial acceptance bill accepted by Party B from other discount acceptance banks, Party A shall have the right to deduct funds from any account opened by Party B at Party A for the payment of bill amount if Party B fails to provide full amount of the bill payable before the maturity date of the commercial acceptance bill. For the advance payment made by Party A due to the insufficiency of amount provided by Party B and the insufficient balance of its account, Party A shall have the right to levy a penalty against Party B at a rate of </w:t>
      </w:r>
      <w:r>
        <w:rPr>
          <w:rFonts w:ascii="MS PGothic" w:cs="MS PGothic" w:eastAsia="MS PGothic" w:hAnsi="MS PGothic"/>
          <w:sz w:val="18"/>
          <w:szCs w:val="18"/>
          <w:color w:val="auto"/>
        </w:rPr>
        <w:t>‱</w:t>
      </w:r>
      <w:r>
        <w:rPr>
          <w:rFonts w:ascii="Arial" w:cs="Arial" w:eastAsia="Arial" w:hAnsi="Arial"/>
          <w:sz w:val="18"/>
          <w:szCs w:val="18"/>
          <w:color w:val="auto"/>
        </w:rPr>
        <w:t xml:space="preserve"> of the amount of advance payment in accordance with the relevant provisions of the Measures for Payment and Settlement.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Annex V: Special Provisions regarding Derivative Transactions</w:t>
      </w:r>
    </w:p>
    <w:p>
      <w:pPr>
        <w:spacing w:after="0" w:line="229" w:lineRule="exact"/>
        <w:rPr>
          <w:sz w:val="20"/>
          <w:szCs w:val="20"/>
          <w:color w:val="auto"/>
        </w:rPr>
      </w:pPr>
    </w:p>
    <w:p>
      <w:pPr>
        <w:jc w:val="both"/>
        <w:ind w:left="340" w:hanging="332"/>
        <w:spacing w:after="0" w:line="255"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derivative transaction for which Party A accepts the application of Party B may offset the LOC according to a certain percentage of the nominal principal/transaction amount of the transaction, or when floating loss occurs to the derivative transaction, Party A may offset additional amount of LOC granted to Party B according to the specific agreement between the parties (the additional amount being offset shall be determined by Party A according to the type, duration and risk of the derivative, as well as the risk coefficient of the business corresponding to the offset LOC at the occurrence of each specific trading). The amount of LOC being actually offset shall be subject to the notice of amount of LOC being offset issued by Party A and/or trading confirmation letter/certificate and other trading documents.</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Where there is a derivative transaction with a balance or loss during the credit period, it shall offset the LOC in accordance with the provisions of the preceding clauses, regardless of whether the transaction occurs within the credit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Annex VI: Special Provisions regarding Gold Leasing</w:t>
      </w:r>
    </w:p>
    <w:p>
      <w:pPr>
        <w:spacing w:after="0" w:line="229" w:lineRule="exact"/>
        <w:rPr>
          <w:sz w:val="20"/>
          <w:szCs w:val="20"/>
          <w:color w:val="auto"/>
        </w:rPr>
      </w:pPr>
    </w:p>
    <w:p>
      <w:pPr>
        <w:ind w:left="340" w:hanging="332"/>
        <w:spacing w:after="0" w:line="277"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gold leasing service means that Party A leases the physical gold to Party B, and Party B will return the same amount of gold with the same quality after the expiration of the lease, and pay a lease fee to Party A by installment.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Party A may provide gold leasing service during the credit period and within the LOC according to the application of Party B. The physical gold leased out by Party A shall offset the LOC according to the value agreed in the gold lease agreement signed by both parties, and constitute debts owed by Party B to Party 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Annex VII: Special Provisions regarding Cross-border linkage Trade financing</w:t>
      </w:r>
    </w:p>
    <w:p>
      <w:pPr>
        <w:spacing w:after="0" w:line="229" w:lineRule="exact"/>
        <w:rPr>
          <w:sz w:val="20"/>
          <w:szCs w:val="20"/>
          <w:color w:val="auto"/>
        </w:rPr>
      </w:pPr>
    </w:p>
    <w:p>
      <w:pPr>
        <w:jc w:val="both"/>
        <w:ind w:left="340" w:hanging="332"/>
        <w:spacing w:after="0" w:line="264"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Cross-border linkage trade financing service refers to the cross-border trade financing service jointly provided by Party B and the foreign branches of China Merchants Bank (hereinafter referred to as “linkage platform”) upon application of Party B based on the real cross-border trading between Party B and foreign companies.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specific varieties of cross-border linkage trade financing include, but are not limited to, back-to-back letter of credit, issuance of letter of credit by mandate, offshore financing by mandate, bill avalization, overseas credit granting by letter of guarantee and cross-border trade financing through train. The specific meanings and business rules, etc. of various services are set out by specific business agreements.</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Under the back-to-back letter of credit, the master letter of credit of which Party B applies to Party A for the issuance shall directly offset the LOC under this Agreement, and the bill advance or advance payment made by Party A for fulfilling the obligations of issuing bank under the master letter of credit (regardless of whether made within the credit period) and related interest and expenses shall constitute the financing debts owed by Party B to Party A and be included in the scope of LOC.</w:t>
      </w:r>
    </w:p>
    <w:p>
      <w:pPr>
        <w:spacing w:after="0" w:line="186" w:lineRule="exact"/>
        <w:rPr>
          <w:rFonts w:ascii="Arial" w:cs="Arial" w:eastAsia="Arial" w:hAnsi="Arial"/>
          <w:sz w:val="18"/>
          <w:szCs w:val="18"/>
          <w:color w:val="auto"/>
        </w:rPr>
      </w:pPr>
    </w:p>
    <w:p>
      <w:pPr>
        <w:jc w:val="both"/>
        <w:ind w:left="340"/>
        <w:spacing w:after="0" w:line="297" w:lineRule="auto"/>
        <w:rPr>
          <w:rFonts w:ascii="Arial" w:cs="Arial" w:eastAsia="Arial" w:hAnsi="Arial"/>
          <w:sz w:val="18"/>
          <w:szCs w:val="18"/>
          <w:color w:val="auto"/>
        </w:rPr>
      </w:pPr>
      <w:r>
        <w:rPr>
          <w:rFonts w:ascii="Arial" w:cs="Arial" w:eastAsia="Arial" w:hAnsi="Arial"/>
          <w:sz w:val="16"/>
          <w:szCs w:val="16"/>
          <w:color w:val="auto"/>
        </w:rPr>
        <w:t>Under the issuance of letter of credit by mandate/offshore financing by mandate, the letter of credit issued by and trade financing provided by the linkage platform to an overseas company (upon accepting the application by the overseas company) according to entrust by Party A based on the application of Party B shall offset LOC under this Agreement. If Party A grants the funds of import bill advance under collection or advance payment to Party B for overseas payment under the import collection, the funds of bill advance or advance payment (regardless of whether occurs within the credit period) and related interest and expenses shall directly constitute the financing debts owed by Party B to Party A and be included in the scope of LOC.</w:t>
      </w:r>
    </w:p>
    <w:p>
      <w:pPr>
        <w:spacing w:after="0" w:line="158"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Under the bill avalization, the bill accepted by Party B avalized by Party A according to Party B’s application shall directly offset the LOC under this Agreement. If Party B fails to pay the full amount of the bill on time, Party A has the right to make advances directly for the avalized bill. Such advances (regardless of whether occur during the credit period) and related interest and expenses are included in the scope of LOC.</w:t>
      </w:r>
    </w:p>
    <w:p>
      <w:pPr>
        <w:spacing w:after="0" w:line="165"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Under the overseas credit granting by letter of guarantee, the letter of guarantee/standby letter of credit issued by Party A according to the application of Party B shall directly offset the LOC under this Agreement. After the overseas company transfers the collection right (non-claim right) under the letter of guarantee to the linkage platform, if the linkage platform claims to Party A according to the letter of guarantee/standby letter of credit, the advances made by Party A (regardless of whether made during the credit period), and related interest and expenses shall directly constitute the financing debts owed by Party B to Party A and be included in the scope of LOC.</w:t>
      </w:r>
    </w:p>
    <w:p>
      <w:pPr>
        <w:spacing w:after="0" w:line="188"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Under the cross-border trade financing through train, after Party A approves Party B’s trade financing according to its application, the trade financing provided directly by linkage platform to Party B shall offset the LOC under this Agreement. If Party B fails to timely repay the amount of trade financing to the linkage platform in full, Party A has the right to repay it by way of bill advance or advance payment. The bill advance or advance payment (regardless of whether made during the credit period) and related interest and expenses shall directly constitute the financing debts owed by Party B to Party A and be included in the scope of LOC.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Special Notes:</w:t>
      </w:r>
    </w:p>
    <w:p>
      <w:pPr>
        <w:spacing w:after="0" w:line="229"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All terms &amp; conditions of this Agreement (including annexes) are fully negotiated by the parties hereto. The Bank has brought to the attention of other parties hereto the terms of exemption or restriction of bank liability, unilateral possession of certain rights by bank, addition of liability of other parties hereto or restriction on the rights of other parties hereto, as well as having a comprehensive and accurate understanding of them. The Bank has provided corresponding explanation on the above terms &amp; conditions at the request of other parties hereto. The parties hereto have a unanimous understanding of the terms &amp; conditions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content hereinafter contains no main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0" w:name="page161"/>
    <w:bookmarkEnd w:id="160"/>
    <w:p>
      <w:pPr>
        <w:ind w:right="5700"/>
        <w:spacing w:after="0" w:line="277" w:lineRule="auto"/>
        <w:rPr>
          <w:sz w:val="20"/>
          <w:szCs w:val="20"/>
          <w:color w:val="auto"/>
        </w:rPr>
      </w:pPr>
      <w:r>
        <w:rPr>
          <w:rFonts w:ascii="Arial" w:cs="Arial" w:eastAsia="Arial" w:hAnsi="Arial"/>
          <w:sz w:val="18"/>
          <w:szCs w:val="18"/>
          <w:color w:val="auto"/>
        </w:rPr>
        <w:t>(This page is the signature page for the (Credit Granting Agreement) numbered (5202180601))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-294005</wp:posOffset>
            </wp:positionV>
            <wp:extent cx="2624455" cy="15347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2624455" cy="1534795"/>
                    </a:xfrm>
                    <a:prstGeom prst="rect">
                      <a:avLst/>
                    </a:prstGeom>
                    <a:noFill/>
                  </pic:spPr>
                </pic:pic>
              </a:graphicData>
            </a:graphic>
          </wp:anchor>
        </w:drawing>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Party A:</w:t>
      </w:r>
      <w:r>
        <w:rPr>
          <w:sz w:val="20"/>
          <w:szCs w:val="20"/>
          <w:color w:val="auto"/>
        </w:rPr>
        <w:tab/>
      </w:r>
      <w:r>
        <w:rPr>
          <w:rFonts w:ascii="Arial" w:cs="Arial" w:eastAsia="Arial" w:hAnsi="Arial"/>
          <w:sz w:val="16"/>
          <w:szCs w:val="16"/>
          <w:color w:val="auto"/>
        </w:rPr>
        <w:t>(seal)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Person in charge or authorized signatory: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(signature/seal):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Bank Co., Ltd., Shanghai Century Avenue Branch)</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Party B:</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representative/person in charge or the authorized signatory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(signature/seal):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-106680</wp:posOffset>
            </wp:positionV>
            <wp:extent cx="2006600" cy="13036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2006600" cy="1303655"/>
                    </a:xfrm>
                    <a:prstGeom prst="rect">
                      <a:avLst/>
                    </a:prstGeom>
                    <a:noFill/>
                  </pic:spPr>
                </pic:pic>
              </a:graphicData>
            </a:graphic>
          </wp:anchor>
        </w:drawing>
      </w:r>
    </w:p>
    <w:p>
      <w:pPr>
        <w:spacing w:after="0" w:line="2019" w:lineRule="exact"/>
        <w:rPr>
          <w:sz w:val="20"/>
          <w:szCs w:val="20"/>
          <w:color w:val="auto"/>
        </w:rPr>
      </w:pPr>
    </w:p>
    <w:p>
      <w:pPr>
        <w:sectPr>
          <w:pgSz w:w="11900" w:h="16838" w:orient="portrait"/>
          <w:cols w:equalWidth="0" w:num="2">
            <w:col w:w="5000" w:space="720"/>
            <w:col w:w="5700"/>
          </w:cols>
          <w:pgMar w:left="240" w:top="909" w:right="239" w:bottom="1440" w:gutter="0" w:footer="0" w:header="0"/>
          <w:type w:val="continuous"/>
        </w:sectPr>
      </w:pP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Signed on: June 22, 2018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Signed in: Pudong New Area,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30"/>
          <w:szCs w:val="30"/>
          <w:b w:val="1"/>
          <w:bCs w:val="1"/>
          <w:color w:val="auto"/>
        </w:rPr>
        <w:t>Current Fund Loan Contract</w:t>
      </w:r>
    </w:p>
    <w:p>
      <w:pPr>
        <w:spacing w:after="0" w:line="2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(Applicable to 531)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Bank of Communications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1400175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Fund Loan Contract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Important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7029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5068570" cy="702945"/>
                    </a:xfrm>
                    <a:prstGeom prst="rect">
                      <a:avLst/>
                    </a:prstGeom>
                    <a:noFill/>
                  </pic:spPr>
                </pic:pic>
              </a:graphicData>
            </a:graphic>
          </wp:anchor>
        </w:drawing>
      </w:r>
    </w:p>
    <w:p>
      <w:pPr>
        <w:spacing w:after="0" w:line="205" w:lineRule="exact"/>
        <w:rPr>
          <w:sz w:val="20"/>
          <w:szCs w:val="20"/>
          <w:color w:val="auto"/>
        </w:rPr>
      </w:pPr>
    </w:p>
    <w:p>
      <w:pPr>
        <w:ind w:left="1840" w:right="1840"/>
        <w:spacing w:after="0" w:line="277" w:lineRule="auto"/>
        <w:rPr>
          <w:sz w:val="20"/>
          <w:szCs w:val="20"/>
          <w:color w:val="auto"/>
        </w:rPr>
      </w:pPr>
      <w:r>
        <w:rPr>
          <w:rFonts w:ascii="Arial" w:cs="Arial" w:eastAsia="Arial" w:hAnsi="Arial"/>
          <w:sz w:val="18"/>
          <w:szCs w:val="18"/>
          <w:color w:val="auto"/>
        </w:rPr>
        <w:t>Please read the full text of this contract carefully, especially those articles marked with ▲▲. Please inquire the loaner in case of any question.</w:t>
      </w:r>
    </w:p>
    <w:p>
      <w:pPr>
        <w:spacing w:after="0" w:line="40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Whereas, the borrower applies to the loaner for the line of credit of current fund, both parties hereby enter into this contract through negotiations to clarify the obligations of each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“Revolving line of credit” refers to the line of credit within which the borrower may apply for the loan for several times according to this contract.</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“Balance of loan” refers to the sum of principal of the outstanding loan that the borrower obtains under this contract.</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“Balance of line of credit” refers to the balance of the line of credit deducted with the balance of loan (under the revolving line of credit) or total loan (under the one-time line of credit).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“Period of loan” refers to the period of each loan that both parties determine in the corresponding </w:t>
      </w:r>
      <w:r>
        <w:rPr>
          <w:rFonts w:ascii="Arial" w:cs="Arial" w:eastAsia="Arial" w:hAnsi="Arial"/>
          <w:sz w:val="18"/>
          <w:szCs w:val="18"/>
          <w:i w:val="1"/>
          <w:iCs w:val="1"/>
          <w:color w:val="auto"/>
        </w:rPr>
        <w:t>Application for Use of Line of Credit of Bank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Communications </w:t>
      </w:r>
      <w:r>
        <w:rPr>
          <w:rFonts w:ascii="Arial" w:cs="Arial" w:eastAsia="Arial" w:hAnsi="Arial"/>
          <w:sz w:val="18"/>
          <w:szCs w:val="18"/>
          <w:color w:val="auto"/>
        </w:rPr>
        <w:t>(hereinafter referred to as</w:t>
      </w:r>
      <w:r>
        <w:rPr>
          <w:rFonts w:ascii="Arial" w:cs="Arial" w:eastAsia="Arial" w:hAnsi="Arial"/>
          <w:sz w:val="18"/>
          <w:szCs w:val="18"/>
          <w:i w:val="1"/>
          <w:iCs w:val="1"/>
          <w:color w:val="auto"/>
        </w:rPr>
        <w:t xml:space="preserve"> Application for Use of Line of Credit</w:t>
      </w:r>
      <w:r>
        <w:rPr>
          <w:rFonts w:ascii="Arial" w:cs="Arial" w:eastAsia="Arial" w:hAnsi="Arial"/>
          <w:sz w:val="18"/>
          <w:szCs w:val="18"/>
          <w:color w:val="auto"/>
        </w:rPr>
        <w:t>).</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81"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 xml:space="preserve">Terms including affiliate, affiliate transaction and major investor should contain the same meaning with those contained in the </w:t>
      </w:r>
      <w:r>
        <w:rPr>
          <w:rFonts w:ascii="Arial" w:cs="Arial" w:eastAsia="Arial" w:hAnsi="Arial"/>
          <w:sz w:val="16"/>
          <w:szCs w:val="16"/>
          <w:i w:val="1"/>
          <w:iCs w:val="1"/>
          <w:color w:val="auto"/>
        </w:rPr>
        <w:t>Accounting Standards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Enterprises No.36 – Disclosure of Affiliates </w:t>
      </w:r>
      <w:r>
        <w:rPr>
          <w:rFonts w:ascii="Arial" w:cs="Arial" w:eastAsia="Arial" w:hAnsi="Arial"/>
          <w:sz w:val="16"/>
          <w:szCs w:val="16"/>
          <w:color w:val="auto"/>
        </w:rPr>
        <w:t>(CK [2006] No.3) published by the Ministry of Finance, as well as its subsequent revisions.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Article 2. Use of Line of Credit</w:t>
      </w:r>
    </w:p>
    <w:p>
      <w:pPr>
        <w:spacing w:after="0" w:line="229"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 xml:space="preserve">2.1 Each time when needing to use the line of credit, the borrower should submit the application to the loaner at least 5 business days in advance. The borrower should fill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to obtain the approval by the loaner before using the line of credit.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 Use of the line of credit must meeting following conditions:</w:t>
      </w:r>
    </w:p>
    <w:p>
      <w:pPr>
        <w:spacing w:after="0" w:line="225" w:lineRule="exact"/>
        <w:rPr>
          <w:sz w:val="20"/>
          <w:szCs w:val="20"/>
          <w:color w:val="auto"/>
        </w:rPr>
      </w:pPr>
    </w:p>
    <w:p>
      <w:pPr>
        <w:ind w:left="640" w:hanging="254"/>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Balance of loan (under the revolving line of credit) or total loan (under the one-time line of credit) is within the line of credit;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Amount of applied loan is within the balance of line of credit;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Application date and issuance date are within the period of line of credit;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Period of loan and maturity date of loan comply with this contract;</w:t>
      </w:r>
    </w:p>
    <w:p>
      <w:pPr>
        <w:spacing w:after="0" w:line="225" w:lineRule="exact"/>
        <w:rPr>
          <w:rFonts w:ascii="Arial" w:cs="Arial" w:eastAsia="Arial" w:hAnsi="Arial"/>
          <w:sz w:val="18"/>
          <w:szCs w:val="18"/>
          <w:color w:val="auto"/>
        </w:rPr>
      </w:pPr>
    </w:p>
    <w:p>
      <w:pPr>
        <w:ind w:firstLine="386"/>
        <w:spacing w:after="0" w:line="277" w:lineRule="auto"/>
        <w:tabs>
          <w:tab w:leader="none" w:pos="63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Guarantee contract (if any) under this contract is effective and surviving, and while the guarantee contract is in the form of mortgage contract and/or pledge contract, the secured real right is already set and surviving;</w:t>
      </w:r>
    </w:p>
    <w:p>
      <w:pPr>
        <w:spacing w:after="0" w:line="170" w:lineRule="exact"/>
        <w:rPr>
          <w:rFonts w:ascii="Arial" w:cs="Arial" w:eastAsia="Arial" w:hAnsi="Arial"/>
          <w:sz w:val="18"/>
          <w:szCs w:val="18"/>
          <w:color w:val="auto"/>
        </w:rPr>
      </w:pPr>
    </w:p>
    <w:p>
      <w:pPr>
        <w:ind w:right="20" w:firstLine="386"/>
        <w:spacing w:after="0" w:line="277" w:lineRule="auto"/>
        <w:tabs>
          <w:tab w:leader="none" w:pos="63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 has handled procedures to obtain licenses, approvals and registrations from the government necessary for the application for the loan, and such licenses, approvals or registrations are surviving;</w:t>
      </w:r>
    </w:p>
    <w:p>
      <w:pPr>
        <w:spacing w:after="0" w:line="170" w:lineRule="exact"/>
        <w:rPr>
          <w:rFonts w:ascii="Arial" w:cs="Arial" w:eastAsia="Arial" w:hAnsi="Arial"/>
          <w:sz w:val="18"/>
          <w:szCs w:val="18"/>
          <w:color w:val="auto"/>
        </w:rPr>
      </w:pPr>
    </w:p>
    <w:p>
      <w:pPr>
        <w:ind w:left="640" w:hanging="254"/>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serious adverse change occurs in the operation status or financial status of the borrower after this contract takes effect;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Application by the borrower meets relevant rules and regulations of the loaner;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 does not violate this contract;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Payment mode of the loan meets this contract and if the loaner is entrusted to make the payment, the loaner should agree with the payment;</w:t>
      </w:r>
    </w:p>
    <w:p>
      <w:pPr>
        <w:spacing w:after="0" w:line="236" w:lineRule="exact"/>
        <w:rPr>
          <w:rFonts w:ascii="Arial" w:cs="Arial" w:eastAsia="Arial" w:hAnsi="Arial"/>
          <w:sz w:val="17"/>
          <w:szCs w:val="17"/>
          <w:color w:val="auto"/>
        </w:rPr>
      </w:pPr>
    </w:p>
    <w:p>
      <w:pPr>
        <w:ind w:firstLine="386"/>
        <w:spacing w:after="0" w:line="308" w:lineRule="auto"/>
        <w:tabs>
          <w:tab w:leader="none" w:pos="73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46" w:lineRule="exact"/>
        <w:rPr>
          <w:rFonts w:ascii="Arial" w:cs="Arial" w:eastAsia="Arial" w:hAnsi="Arial"/>
          <w:sz w:val="17"/>
          <w:szCs w:val="17"/>
          <w:color w:val="auto"/>
        </w:rPr>
      </w:pPr>
    </w:p>
    <w:p>
      <w:pPr>
        <w:ind w:left="720" w:hanging="334"/>
        <w:spacing w:after="0"/>
        <w:tabs>
          <w:tab w:leader="none" w:pos="7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borrower has appointed the dedicated fund withdrawal account as required by the loaner and has signed the account management agreement.</w:t>
      </w:r>
    </w:p>
    <w:p>
      <w:pPr>
        <w:spacing w:after="0" w:line="24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▲▲2.3 If the loaner agrees to issue the loan, the final issuance information should be subject to the column of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printed by the bank.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should be regarded as the </w:t>
      </w:r>
      <w:r>
        <w:rPr>
          <w:rFonts w:ascii="Arial" w:cs="Arial" w:eastAsia="Arial" w:hAnsi="Arial"/>
          <w:sz w:val="18"/>
          <w:szCs w:val="18"/>
          <w:i w:val="1"/>
          <w:iCs w:val="1"/>
          <w:color w:val="auto"/>
        </w:rPr>
        <w:t>Loan Certificate</w:t>
      </w:r>
      <w:r>
        <w:rPr>
          <w:rFonts w:ascii="Arial" w:cs="Arial" w:eastAsia="Arial" w:hAnsi="Arial"/>
          <w:sz w:val="18"/>
          <w:szCs w:val="18"/>
          <w:color w:val="auto"/>
        </w:rPr>
        <w:t>.</w:t>
      </w:r>
    </w:p>
    <w:p>
      <w:pPr>
        <w:spacing w:after="0" w:line="170"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 xml:space="preserve">▲▲2.4 If the currency of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4" w:name="page165"/>
    <w:bookmarkEnd w:id="164"/>
    <w:p>
      <w:pPr>
        <w:jc w:val="both"/>
        <w:ind w:firstLine="378"/>
        <w:spacing w:after="0" w:line="264" w:lineRule="auto"/>
        <w:rPr>
          <w:sz w:val="20"/>
          <w:szCs w:val="20"/>
          <w:color w:val="auto"/>
        </w:rPr>
      </w:pPr>
      <w:r>
        <w:rPr>
          <w:rFonts w:ascii="Arial" w:cs="Arial" w:eastAsia="Arial" w:hAnsi="Arial"/>
          <w:sz w:val="18"/>
          <w:szCs w:val="18"/>
          <w:color w:val="auto"/>
        </w:rPr>
        <w:t xml:space="preserve">▲▲2.5 After the borrower becomes the shareholder of the guarantor or the “actual controller” defined by the </w:t>
      </w:r>
      <w:r>
        <w:rPr>
          <w:rFonts w:ascii="Arial" w:cs="Arial" w:eastAsia="Arial" w:hAnsi="Arial"/>
          <w:sz w:val="18"/>
          <w:szCs w:val="18"/>
          <w:i w:val="1"/>
          <w:iCs w:val="1"/>
          <w:color w:val="auto"/>
        </w:rPr>
        <w:t>Company Law</w:t>
      </w:r>
      <w:r>
        <w:rPr>
          <w:rFonts w:ascii="Arial" w:cs="Arial" w:eastAsia="Arial" w:hAnsi="Arial"/>
          <w:sz w:val="18"/>
          <w:szCs w:val="18"/>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Interest Rate and Payment of Interest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 Basic regulations on determining the interest rate</w:t>
      </w:r>
    </w:p>
    <w:p>
      <w:pPr>
        <w:spacing w:after="0" w:line="225"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 xml:space="preserve">3.1.1 The interest rate should be agreed by both parties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through negotiations in each use of the line of credit. Unless any specific interest rate is agreed by both parties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the specific interest rate of each loan should be determined in accordance with the type of benchmark interest rate, applicable date of benchmark interest rate, fluctuation extent/increase (decrease) value of interest rate, interest rate fluctuation rules, interest rate fluctuation cycle, interest rate fluctuation cycle unit and specific beginning date of fluctuation (if necessary) agreed in the corresponding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8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3.1.2 Type and definition of “benchmark interest rate”: (1) “Benchmark interest rate of the People’s Bank” refers to the benchmark interest rate of RMB loan of financial institutions published by the People’s Bank of China; (2) LPR quotation of Bank of Communications refers to the quotation for benchmark interest rate of loan published by Bank of Communications Co., Ltd. on its official website; (3) LPR mean interest rate refers to the benchmark interest rate of loan published by the National Inter-bank Funding Center.</w:t>
      </w:r>
    </w:p>
    <w:p>
      <w:pPr>
        <w:spacing w:after="0" w:line="18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 Interest rate of loan</w:t>
      </w:r>
    </w:p>
    <w:p>
      <w:pPr>
        <w:spacing w:after="0" w:line="225"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The interest rate of each loan at the time of issuance should be determined in accordance with the fluctuation extent/increase (decrease) value on the basis of the benchmark interest rate. If the “applicable date of benchmark interest rate” is set as T Day, then the benchmark interest rate to calculate the specific interest rate of the loan at the time of issuance should be determined by following rules: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1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ind w:left="380"/>
        <w:spacing w:after="0"/>
        <w:rPr>
          <w:sz w:val="20"/>
          <w:szCs w:val="20"/>
          <w:color w:val="auto"/>
        </w:rPr>
      </w:pPr>
      <w:r>
        <w:rPr>
          <w:rFonts w:ascii="Arial" w:cs="Arial" w:eastAsia="Arial" w:hAnsi="Arial"/>
          <w:sz w:val="18"/>
          <w:szCs w:val="18"/>
          <w:color w:val="auto"/>
        </w:rPr>
        <w:t>3.3 Adjustment of interest rate</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3.3.1 Once the interest rate is recorded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as fixed, such interest rate should apply to the loan within the period of loan.</w:t>
      </w:r>
    </w:p>
    <w:p>
      <w:pPr>
        <w:spacing w:after="0" w:line="170"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 xml:space="preserve">▲▲3.3.2 Once the interest rate is recorded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and the adjusted interest rate should apply since the interest rate adjustment date.</w:t>
      </w:r>
    </w:p>
    <w:p>
      <w:pPr>
        <w:spacing w:after="0" w:line="147"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8"/>
          <w:szCs w:val="18"/>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the same below.</w:t>
      </w:r>
    </w:p>
    <w:p>
      <w:pPr>
        <w:spacing w:after="0" w:line="195"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3.3.2.2 Loan interest rate at the adjustment date of loan interest rate should be determined according to the benchmark interest rate at the adjustment date of loan interest while the interest rate fluctuation/increase (decrease) value is kept unchanged (unless negotiated by both parties to be adjusted). If the “adjustment date of loan interest rate” is set as T Day, then the benchmark interest rate of adjusted loan interest rate should be determined by following rules: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1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jc w:val="both"/>
        <w:ind w:firstLine="378"/>
        <w:spacing w:after="0" w:line="279" w:lineRule="auto"/>
        <w:rPr>
          <w:sz w:val="20"/>
          <w:szCs w:val="20"/>
          <w:color w:val="auto"/>
        </w:rPr>
      </w:pPr>
      <w:r>
        <w:rPr>
          <w:rFonts w:ascii="Arial" w:cs="Arial" w:eastAsia="Arial" w:hAnsi="Arial"/>
          <w:sz w:val="17"/>
          <w:szCs w:val="17"/>
          <w:color w:val="auto"/>
        </w:rPr>
        <w:t>▲▲3.3.3 If the “benchmark interest rate of the People’s Bank” is applied as the benchmark interest rate and the benchmark interest rate of the People’s Bank is adjusted to be fluctuating interest rate or cancelled, both parties should adjust the interest rate of the loan through separate negotiations but the adjusted interest rate should be no lower than the prevailing interest rate; if both parties fail to reach a common sense on the adjustment of interest rate within one month since the adjustment date of the People’s Bank, the loaner may announce the earlier maturity of the loan.</w:t>
      </w:r>
    </w:p>
    <w:p>
      <w:pPr>
        <w:spacing w:after="0" w:line="171"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If the “LPR quotation of Bank of Communications” or “LPR mean interest rate” is applied as the benchmark interest rate and the relevant benchmark interest rate is cancelled according to the regulation requirement or suspended by the issuer according to the regulation requirement, both parties should adjust the interest rate of the loan through separate negotiations but the adjusted interest rate should be no lower than the prevailing interest rate; if both parties fail to reach a common sense on the adjustment of interest rate within one month since the relevant benchmark interest rate is cancelled or suspended, the loaner may announce the earlier maturity of the loan.</w:t>
      </w:r>
    </w:p>
    <w:p>
      <w:pPr>
        <w:spacing w:after="0" w:line="18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▲▲3.3.4 Both parties may adjust the fluctuation extent or increase (decrease) value of the corresponding loan interest rate through negotiation at each adjustment date of loan interest rate.</w:t>
      </w:r>
    </w:p>
    <w:p>
      <w:pPr>
        <w:spacing w:after="0" w:line="170"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3.4 If the currency is RMB, default interest of the overdue loan should be fluctuated upwards by 50% on the basis of the interest rate specified in this contract, and that of the embezzled loan should be fluctuated upwards by 100% on the basis of the interest rate specified in this contract. If the benchmark interest rate is adjusted, the loaner may adjust the rate of default interest of each loan and apply the new rate of default interest since the adjustment date of loan interest rate specified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3.5 Calculation of interest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3.5.1 Normal interest = interest rate specified in this contract X issued loan X days of occupation.</w:t>
      </w:r>
    </w:p>
    <w:p>
      <w:pPr>
        <w:spacing w:after="0" w:line="225" w:lineRule="exact"/>
        <w:rPr>
          <w:sz w:val="20"/>
          <w:szCs w:val="20"/>
          <w:color w:val="auto"/>
        </w:rPr>
      </w:pPr>
    </w:p>
    <w:p>
      <w:pPr>
        <w:jc w:val="both"/>
        <w:ind w:right="20" w:firstLine="378"/>
        <w:spacing w:after="0" w:line="308" w:lineRule="auto"/>
        <w:rPr>
          <w:sz w:val="20"/>
          <w:szCs w:val="20"/>
          <w:color w:val="auto"/>
        </w:rPr>
      </w:pPr>
      <w:r>
        <w:rPr>
          <w:rFonts w:ascii="Arial" w:cs="Arial" w:eastAsia="Arial" w:hAnsi="Arial"/>
          <w:sz w:val="17"/>
          <w:szCs w:val="17"/>
          <w:color w:val="auto"/>
        </w:rPr>
        <w:t>Days of occupation begins from the issuance date (included) and ends at the maturity date (excluded), and may be postponed if the maturity date is not a business day while the postponed period should be accounted into the occupation and charged with the interest according to this contract.</w:t>
      </w:r>
    </w:p>
    <w:p>
      <w:pPr>
        <w:spacing w:after="0" w:line="147"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3.5.2 The default interest of overdue loan and embezzled loan should be calculated according to the overdue or embezzled amount and the actual days (since the date of overdue or embezzlement (included) to the repayment date of principal and interest (excluded)).</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3.5.3 If there are too many numbers after the decimal point of the calculated interest/default interest, the loaner may round off the result to two numbers after the decimal point.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▲▲3.6 If the borrower repays the loan in advance or the loaner withdraws the loan in advance according to this contract, the corresponding interest rate shall still be subject to that specified in this contract.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jc w:val="both"/>
        <w:ind w:firstLine="378"/>
        <w:spacing w:after="0" w:line="277" w:lineRule="auto"/>
        <w:rPr>
          <w:sz w:val="20"/>
          <w:szCs w:val="20"/>
          <w:color w:val="auto"/>
        </w:rPr>
      </w:pPr>
      <w:r>
        <w:rPr>
          <w:rFonts w:ascii="Arial" w:cs="Arial" w:eastAsia="Arial" w:hAnsi="Arial"/>
          <w:sz w:val="18"/>
          <w:szCs w:val="18"/>
          <w:color w:val="auto"/>
        </w:rPr>
        <w:t>3.7 If the loan is in any foreign currency, the determination of interest rate, adjustment of interest rate, default interest rate of overdue and embezzlement should be subject to Article 17 of this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Payment of Loan</w:t>
      </w:r>
    </w:p>
    <w:p>
      <w:pPr>
        <w:spacing w:after="0" w:line="229"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8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4.2 When drawing the loan according to this contract, the borrower should clarify the payment mode (entrusted payment by loaner or independent payment by borrower) and only one mode is applicable in each time of drawing.</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If the amount of a single payment is beyond the limit of the independent payment or any condition specified in Article 19.3, the mode of entrusted payment should apply.</w:t>
      </w:r>
    </w:p>
    <w:p>
      <w:pPr>
        <w:spacing w:after="0" w:line="170"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 xml:space="preserve">When choosing the mode of entrusted payment by the loaner, the borrower should submit the loaner with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66" w:lineRule="exact"/>
        <w:rPr>
          <w:sz w:val="20"/>
          <w:szCs w:val="20"/>
          <w:color w:val="auto"/>
        </w:rPr>
      </w:pPr>
    </w:p>
    <w:p>
      <w:pPr>
        <w:ind w:firstLine="386"/>
        <w:spacing w:after="0" w:line="277" w:lineRule="auto"/>
        <w:tabs>
          <w:tab w:leader="none" w:pos="78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70" w:lineRule="exact"/>
        <w:rPr>
          <w:rFonts w:ascii="Arial" w:cs="Arial" w:eastAsia="Arial" w:hAnsi="Arial"/>
          <w:sz w:val="18"/>
          <w:szCs w:val="18"/>
          <w:color w:val="auto"/>
        </w:rPr>
      </w:pPr>
    </w:p>
    <w:p>
      <w:pPr>
        <w:jc w:val="both"/>
        <w:ind w:firstLine="386"/>
        <w:spacing w:after="0" w:line="264" w:lineRule="auto"/>
        <w:tabs>
          <w:tab w:leader="none" w:pos="84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170"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When choosing the mode of independent payment by the borrower, the borrower should submit the loaner with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Article 5. Repayment of Loan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5.1 The borrower should make the repayment according to the date and amount specified in the corresponding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▲▲5.2 Without the written consent from the loaner, the borrower may not repay the loan in advance.</w:t>
      </w:r>
    </w:p>
    <w:p>
      <w:pPr>
        <w:spacing w:after="0" w:line="225" w:lineRule="exact"/>
        <w:rPr>
          <w:sz w:val="20"/>
          <w:szCs w:val="20"/>
          <w:color w:val="auto"/>
        </w:rPr>
      </w:pPr>
    </w:p>
    <w:p>
      <w:pPr>
        <w:jc w:val="both"/>
        <w:ind w:firstLine="378"/>
        <w:spacing w:after="0" w:line="302" w:lineRule="auto"/>
        <w:rPr>
          <w:sz w:val="20"/>
          <w:szCs w:val="20"/>
          <w:color w:val="auto"/>
        </w:rPr>
      </w:pPr>
      <w:r>
        <w:rPr>
          <w:rFonts w:ascii="Arial" w:cs="Arial" w:eastAsia="Arial" w:hAnsi="Arial"/>
          <w:sz w:val="16"/>
          <w:szCs w:val="16"/>
          <w:color w:val="auto"/>
        </w:rPr>
        <w:t xml:space="preserve">▲▲5.3 The repayment schedule of principal and interest agreed by the borrower and the loaner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▲▲5.4 When the amount repaid by the borrower is insufficient to cover all the debt of the borrower:</w:t>
      </w:r>
    </w:p>
    <w:p>
      <w:pPr>
        <w:spacing w:after="0" w:line="225" w:lineRule="exact"/>
        <w:rPr>
          <w:sz w:val="20"/>
          <w:szCs w:val="20"/>
          <w:color w:val="auto"/>
        </w:rPr>
      </w:pPr>
    </w:p>
    <w:p>
      <w:pPr>
        <w:jc w:val="both"/>
        <w:ind w:firstLine="386"/>
        <w:spacing w:after="0" w:line="259"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86" w:lineRule="exact"/>
        <w:rPr>
          <w:rFonts w:ascii="Arial" w:cs="Arial" w:eastAsia="Arial" w:hAnsi="Arial"/>
          <w:sz w:val="18"/>
          <w:szCs w:val="18"/>
          <w:color w:val="auto"/>
        </w:rPr>
      </w:pPr>
    </w:p>
    <w:p>
      <w:pPr>
        <w:jc w:val="both"/>
        <w:ind w:firstLine="386"/>
        <w:spacing w:after="0" w:line="264"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Representation and Guarantee of Borrower</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6.1 The borrower is legally incorporated and surviving, possesses all the necessary capacities, perform obligations under this contract it its own name and assumes civil liabilities.</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6.2 Signing and performing this contract are the true intention of the borrower that they must obtain all the necessary approvals, permissions and authorizations to contain no legal defect.</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9" w:name="page170"/>
    <w:bookmarkEnd w:id="169"/>
    <w:p>
      <w:pPr>
        <w:jc w:val="both"/>
        <w:ind w:firstLine="378"/>
        <w:spacing w:after="0" w:line="264" w:lineRule="auto"/>
        <w:rPr>
          <w:sz w:val="20"/>
          <w:szCs w:val="20"/>
          <w:color w:val="auto"/>
        </w:rPr>
      </w:pPr>
      <w:r>
        <w:rPr>
          <w:rFonts w:ascii="Arial" w:cs="Arial" w:eastAsia="Arial" w:hAnsi="Arial"/>
          <w:sz w:val="18"/>
          <w:szCs w:val="18"/>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181"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▲▲6.5 Neither the borrower nor any of its affiliate belongs to the enterprise or individual sanctioned by the UN, EU or US, or is located in any country or area sanctioned by the UN, EU 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Rights and Obligations of Loaner</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81"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Obligations of Borrower</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8.1 The borrower should repay the principal and interest of loan under this contract according to the time, amount, currency and interest rate specified in this contract and the corresponding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 xml:space="preserve">8.2 The borrower should use the line of credit for the purpose specified in this contract and use the loan for the purpose specified in the corresponding </w:t>
      </w:r>
      <w:r>
        <w:rPr>
          <w:rFonts w:ascii="Arial" w:cs="Arial" w:eastAsia="Arial" w:hAnsi="Arial"/>
          <w:sz w:val="18"/>
          <w:szCs w:val="18"/>
          <w:i w:val="1"/>
          <w:iCs w:val="1"/>
          <w:color w:val="auto"/>
        </w:rPr>
        <w:t xml:space="preserve">Application for Use of Line of Credit </w:t>
      </w:r>
      <w:r>
        <w:rPr>
          <w:rFonts w:ascii="Arial" w:cs="Arial" w:eastAsia="Arial" w:hAnsi="Arial"/>
          <w:sz w:val="18"/>
          <w:szCs w:val="18"/>
          <w:color w:val="auto"/>
        </w:rPr>
        <w:t>but may not embezzle the loan for any other purpose, or the investment in fixed assets, equity or any production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prohibited by the government.</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0" w:name="page171"/>
    <w:bookmarkEnd w:id="170"/>
    <w:p>
      <w:pPr>
        <w:jc w:val="both"/>
        <w:ind w:firstLine="378"/>
        <w:spacing w:after="0" w:line="264" w:lineRule="auto"/>
        <w:rPr>
          <w:sz w:val="20"/>
          <w:szCs w:val="20"/>
          <w:color w:val="auto"/>
        </w:rPr>
      </w:pPr>
      <w:r>
        <w:rPr>
          <w:rFonts w:ascii="Arial" w:cs="Arial" w:eastAsia="Arial" w:hAnsi="Arial"/>
          <w:sz w:val="18"/>
          <w:szCs w:val="18"/>
          <w:color w:val="auto"/>
        </w:rPr>
        <w:t xml:space="preserve">▲▲8.3 The borrower should assume the settlement expense (if any) of the payment of loan fund (including entrusted payment by the loaner and independent payment by the borrower), and the special charge standard is subject to laws, rules, regulations, regulatory provisions and the prevailing </w:t>
      </w:r>
      <w:r>
        <w:rPr>
          <w:rFonts w:ascii="Arial" w:cs="Arial" w:eastAsia="Arial" w:hAnsi="Arial"/>
          <w:sz w:val="18"/>
          <w:szCs w:val="18"/>
          <w:i w:val="1"/>
          <w:iCs w:val="1"/>
          <w:color w:val="auto"/>
        </w:rPr>
        <w:t>Charge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List of Services of Bank of Communications </w:t>
      </w:r>
      <w:r>
        <w:rPr>
          <w:rFonts w:ascii="Arial" w:cs="Arial" w:eastAsia="Arial" w:hAnsi="Arial"/>
          <w:sz w:val="18"/>
          <w:szCs w:val="18"/>
          <w:color w:val="auto"/>
        </w:rPr>
        <w:t>published by the loaner.</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the issuance account is dedicated for the issuance of loan and the collection account is not opened at Bank of Communications in the payment of loan fund (including entrusted payment by the loaner and independent payment by the borrower), the fund may be processed by the payment system or local clearing system of the People’s Bank.</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the issuance account is not dedicated for the issuance of loan and the collection account is not local or opened at Bank of Communications in the payment of loan fund (including entrusted payment by the loaner and independent payment by the borrower), the fund should be processed by the payment system of the People’s Bank.</w:t>
      </w:r>
    </w:p>
    <w:p>
      <w:pPr>
        <w:spacing w:after="0" w:line="181"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187"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70" w:lineRule="exact"/>
        <w:rPr>
          <w:sz w:val="20"/>
          <w:szCs w:val="20"/>
          <w:color w:val="auto"/>
        </w:rPr>
      </w:pPr>
    </w:p>
    <w:p>
      <w:pPr>
        <w:ind w:left="640" w:hanging="254"/>
        <w:spacing w:after="0"/>
        <w:tabs>
          <w:tab w:leader="none" w:pos="6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borrower sells, presents, leases, lends, transfers, mortgages, pledges or disposes in any other manner all or a large part of the assets or important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210" w:lineRule="exact"/>
        <w:rPr>
          <w:rFonts w:ascii="Arial" w:cs="Arial" w:eastAsia="Arial" w:hAnsi="Arial"/>
          <w:sz w:val="16"/>
          <w:szCs w:val="16"/>
          <w:color w:val="auto"/>
        </w:rPr>
      </w:pPr>
    </w:p>
    <w:p>
      <w:pPr>
        <w:jc w:val="both"/>
        <w:ind w:right="20" w:firstLine="386"/>
        <w:spacing w:after="0" w:line="264" w:lineRule="auto"/>
        <w:tabs>
          <w:tab w:leader="none" w:pos="6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81" w:lineRule="exact"/>
        <w:rPr>
          <w:rFonts w:ascii="Arial" w:cs="Arial" w:eastAsia="Arial" w:hAnsi="Arial"/>
          <w:sz w:val="18"/>
          <w:szCs w:val="18"/>
          <w:color w:val="auto"/>
        </w:rPr>
      </w:pPr>
    </w:p>
    <w:p>
      <w:pPr>
        <w:ind w:left="640" w:hanging="254"/>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external investment or increase of debt financing of the borrower exceeds the agreed limit.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▲▲8.6 The borrower should send a written notice to the loaner within 7 days since the occurrence or possible occurrence of any circumstance below:</w:t>
      </w:r>
    </w:p>
    <w:p>
      <w:pPr>
        <w:spacing w:after="0" w:line="248" w:lineRule="exact"/>
        <w:rPr>
          <w:sz w:val="20"/>
          <w:szCs w:val="20"/>
          <w:color w:val="auto"/>
        </w:rPr>
      </w:pPr>
    </w:p>
    <w:p>
      <w:pPr>
        <w:ind w:firstLine="386"/>
        <w:spacing w:after="0" w:line="277" w:lineRule="auto"/>
        <w:tabs>
          <w:tab w:leader="none" w:pos="6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ind w:left="620" w:hanging="254"/>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its affiliate or guarantor plans to apply for bankruptcy or may be or has been applied by the creditor for bankruptcy;</w:t>
      </w:r>
    </w:p>
    <w:p>
      <w:pPr>
        <w:spacing w:after="0" w:line="225" w:lineRule="exact"/>
        <w:rPr>
          <w:rFonts w:ascii="Arial" w:cs="Arial" w:eastAsia="Arial" w:hAnsi="Arial"/>
          <w:sz w:val="18"/>
          <w:szCs w:val="18"/>
          <w:color w:val="auto"/>
        </w:rPr>
      </w:pPr>
    </w:p>
    <w:p>
      <w:pPr>
        <w:jc w:val="both"/>
        <w:ind w:left="-20" w:firstLine="386"/>
        <w:spacing w:after="0" w:line="264" w:lineRule="auto"/>
        <w:tabs>
          <w:tab w:leader="none" w:pos="61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81" w:lineRule="exact"/>
        <w:rPr>
          <w:rFonts w:ascii="Arial" w:cs="Arial" w:eastAsia="Arial" w:hAnsi="Arial"/>
          <w:sz w:val="18"/>
          <w:szCs w:val="18"/>
          <w:color w:val="auto"/>
        </w:rPr>
      </w:pPr>
    </w:p>
    <w:p>
      <w:pPr>
        <w:ind w:left="-20" w:firstLine="386"/>
        <w:spacing w:after="0" w:line="277" w:lineRule="auto"/>
        <w:tabs>
          <w:tab w:leader="none" w:pos="63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or its affiliate provides any guarantee to any third party to affect its economic status, financial status or capability in performing obligations under this contract significantly;</w:t>
      </w:r>
    </w:p>
    <w:p>
      <w:pPr>
        <w:spacing w:after="0" w:line="170" w:lineRule="exact"/>
        <w:rPr>
          <w:rFonts w:ascii="Arial" w:cs="Arial" w:eastAsia="Arial" w:hAnsi="Arial"/>
          <w:sz w:val="18"/>
          <w:szCs w:val="18"/>
          <w:color w:val="auto"/>
        </w:rPr>
      </w:pPr>
    </w:p>
    <w:p>
      <w:pPr>
        <w:ind w:left="620" w:hanging="254"/>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or its affiliate enters into any contract with significant influence on its operation and financial status;</w:t>
      </w:r>
    </w:p>
    <w:p>
      <w:pPr>
        <w:spacing w:after="0" w:line="225" w:lineRule="exact"/>
        <w:rPr>
          <w:rFonts w:ascii="Arial" w:cs="Arial" w:eastAsia="Arial" w:hAnsi="Arial"/>
          <w:sz w:val="18"/>
          <w:szCs w:val="18"/>
          <w:color w:val="auto"/>
        </w:rPr>
      </w:pPr>
    </w:p>
    <w:p>
      <w:pPr>
        <w:ind w:left="-20" w:firstLine="386"/>
        <w:spacing w:after="0" w:line="277" w:lineRule="auto"/>
        <w:tabs>
          <w:tab w:leader="none" w:pos="61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70" w:lineRule="exact"/>
        <w:rPr>
          <w:rFonts w:ascii="Arial" w:cs="Arial" w:eastAsia="Arial" w:hAnsi="Arial"/>
          <w:sz w:val="18"/>
          <w:szCs w:val="18"/>
          <w:color w:val="auto"/>
        </w:rPr>
      </w:pPr>
    </w:p>
    <w:p>
      <w:pPr>
        <w:ind w:left="620" w:hanging="254"/>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its affiliate or guarantor is shut down, closed, dissolved, suspended, cancelled, or the business license is withdrawn;</w:t>
      </w:r>
    </w:p>
    <w:p>
      <w:pPr>
        <w:spacing w:after="0" w:line="225" w:lineRule="exact"/>
        <w:rPr>
          <w:rFonts w:ascii="Arial" w:cs="Arial" w:eastAsia="Arial" w:hAnsi="Arial"/>
          <w:sz w:val="18"/>
          <w:szCs w:val="18"/>
          <w:color w:val="auto"/>
        </w:rPr>
      </w:pPr>
    </w:p>
    <w:p>
      <w:pPr>
        <w:ind w:left="-20" w:right="20" w:firstLine="386"/>
        <w:spacing w:after="0" w:line="308" w:lineRule="auto"/>
        <w:tabs>
          <w:tab w:leader="none" w:pos="63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46" w:lineRule="exact"/>
        <w:rPr>
          <w:rFonts w:ascii="Arial" w:cs="Arial" w:eastAsia="Arial" w:hAnsi="Arial"/>
          <w:sz w:val="17"/>
          <w:szCs w:val="17"/>
          <w:color w:val="auto"/>
        </w:rPr>
      </w:pPr>
    </w:p>
    <w:p>
      <w:pPr>
        <w:ind w:left="-20" w:right="20" w:firstLine="386"/>
        <w:spacing w:after="0" w:line="277" w:lineRule="auto"/>
        <w:tabs>
          <w:tab w:leader="none" w:pos="6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70" w:lineRule="exact"/>
        <w:rPr>
          <w:rFonts w:ascii="Arial" w:cs="Arial" w:eastAsia="Arial" w:hAnsi="Arial"/>
          <w:sz w:val="18"/>
          <w:szCs w:val="18"/>
          <w:color w:val="auto"/>
        </w:rPr>
      </w:pPr>
    </w:p>
    <w:p>
      <w:pPr>
        <w:ind w:left="700" w:hanging="334"/>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is any affiliated transaction and its amount reaches or exceeds 10% of the latest audited net assets;</w:t>
      </w:r>
    </w:p>
    <w:p>
      <w:pPr>
        <w:spacing w:after="0" w:line="225" w:lineRule="exact"/>
        <w:rPr>
          <w:rFonts w:ascii="Arial" w:cs="Arial" w:eastAsia="Arial" w:hAnsi="Arial"/>
          <w:sz w:val="18"/>
          <w:szCs w:val="18"/>
          <w:color w:val="auto"/>
        </w:rPr>
      </w:pPr>
    </w:p>
    <w:p>
      <w:pPr>
        <w:ind w:left="-20" w:firstLine="386"/>
        <w:spacing w:after="0" w:line="277" w:lineRule="auto"/>
        <w:tabs>
          <w:tab w:leader="none" w:pos="7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Before repaying all the debts under this contract, the borrower becomes or may become the shareholder or the “actual controller” defined by the </w:t>
      </w:r>
      <w:r>
        <w:rPr>
          <w:rFonts w:ascii="Arial" w:cs="Arial" w:eastAsia="Arial" w:hAnsi="Arial"/>
          <w:sz w:val="18"/>
          <w:szCs w:val="18"/>
          <w:i w:val="1"/>
          <w:iCs w:val="1"/>
          <w:color w:val="auto"/>
        </w:rPr>
        <w:t xml:space="preserve">Company Law </w:t>
      </w:r>
      <w:r>
        <w:rPr>
          <w:rFonts w:ascii="Arial" w:cs="Arial" w:eastAsia="Arial" w:hAnsi="Arial"/>
          <w:sz w:val="18"/>
          <w:szCs w:val="18"/>
          <w:color w:val="auto"/>
        </w:rPr>
        <w:t>of the guarantor;</w:t>
      </w:r>
    </w:p>
    <w:p>
      <w:pPr>
        <w:spacing w:after="0" w:line="170" w:lineRule="exact"/>
        <w:rPr>
          <w:rFonts w:ascii="Arial" w:cs="Arial" w:eastAsia="Arial" w:hAnsi="Arial"/>
          <w:sz w:val="18"/>
          <w:szCs w:val="18"/>
          <w:color w:val="auto"/>
        </w:rPr>
      </w:pPr>
    </w:p>
    <w:p>
      <w:pPr>
        <w:ind w:left="-20" w:firstLine="386"/>
        <w:spacing w:after="0" w:line="277" w:lineRule="auto"/>
        <w:tabs>
          <w:tab w:leader="none" w:pos="71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or its affiliate causes any liability accident or is made public by the media by violating any law, rule, regulation, national policy or industrial standard;</w:t>
      </w:r>
    </w:p>
    <w:p>
      <w:pPr>
        <w:spacing w:after="0" w:line="170" w:lineRule="exact"/>
        <w:rPr>
          <w:rFonts w:ascii="Arial" w:cs="Arial" w:eastAsia="Arial" w:hAnsi="Arial"/>
          <w:sz w:val="18"/>
          <w:szCs w:val="18"/>
          <w:color w:val="auto"/>
        </w:rPr>
      </w:pPr>
    </w:p>
    <w:p>
      <w:pPr>
        <w:ind w:left="700" w:hanging="334"/>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or its affiliate encounters any safety or environment protection accident;</w:t>
      </w:r>
    </w:p>
    <w:p>
      <w:pPr>
        <w:spacing w:after="0" w:line="225" w:lineRule="exact"/>
        <w:rPr>
          <w:rFonts w:ascii="Arial" w:cs="Arial" w:eastAsia="Arial" w:hAnsi="Arial"/>
          <w:sz w:val="18"/>
          <w:szCs w:val="18"/>
          <w:color w:val="auto"/>
        </w:rPr>
      </w:pPr>
    </w:p>
    <w:p>
      <w:pPr>
        <w:ind w:left="700" w:hanging="334"/>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relationship between the affiliate and the borrower is changed;</w:t>
      </w:r>
    </w:p>
    <w:p>
      <w:pPr>
        <w:spacing w:after="0" w:line="225" w:lineRule="exact"/>
        <w:rPr>
          <w:rFonts w:ascii="Arial" w:cs="Arial" w:eastAsia="Arial" w:hAnsi="Arial"/>
          <w:sz w:val="18"/>
          <w:szCs w:val="18"/>
          <w:color w:val="auto"/>
        </w:rPr>
      </w:pPr>
    </w:p>
    <w:p>
      <w:pPr>
        <w:ind w:left="700" w:hanging="334"/>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or its affiliate encounters any significant equity change;</w:t>
      </w:r>
    </w:p>
    <w:p>
      <w:pPr>
        <w:spacing w:after="0" w:line="225" w:lineRule="exact"/>
        <w:rPr>
          <w:rFonts w:ascii="Arial" w:cs="Arial" w:eastAsia="Arial" w:hAnsi="Arial"/>
          <w:sz w:val="18"/>
          <w:szCs w:val="18"/>
          <w:color w:val="auto"/>
        </w:rPr>
      </w:pPr>
    </w:p>
    <w:p>
      <w:pPr>
        <w:ind w:left="700" w:hanging="334"/>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opinion issued by the external audit of the borrower on its financial statements is not the standard unreserved opinion;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2" w:name="page173"/>
    <w:bookmarkEnd w:id="172"/>
    <w:p>
      <w:pPr>
        <w:ind w:firstLine="386"/>
        <w:spacing w:after="0" w:line="277" w:lineRule="auto"/>
        <w:tabs>
          <w:tab w:leader="none" w:pos="7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borrower is or may be investigated, punished or taken with other similar measures by the competent authority as it violates the law or rule and/or regulatory requirement;</w:t>
      </w:r>
    </w:p>
    <w:p>
      <w:pPr>
        <w:spacing w:after="0" w:line="170" w:lineRule="exact"/>
        <w:rPr>
          <w:rFonts w:ascii="Arial" w:cs="Arial" w:eastAsia="Arial" w:hAnsi="Arial"/>
          <w:sz w:val="18"/>
          <w:szCs w:val="18"/>
          <w:color w:val="auto"/>
        </w:rPr>
      </w:pPr>
    </w:p>
    <w:p>
      <w:pPr>
        <w:ind w:left="40" w:firstLine="372"/>
        <w:spacing w:after="0" w:line="277" w:lineRule="auto"/>
        <w:tabs>
          <w:tab w:leader="none" w:pos="76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borrower or its affiliate is listed to be sanctioned by the UN, EU or US, or the country or area where the borrower or its affiliate resides in is listed to be sanctioned by the UN, EU or US;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 There is any other event with serious adverse influence on the solvency of the borrower or its affiliate.</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▲▲8.7 In case of any change of guarantee under this contract that is adverse to the creditor’s right of the loaner, the borrower should provide other guarantee recognized by the loaner in time.</w:t>
      </w:r>
    </w:p>
    <w:p>
      <w:pPr>
        <w:spacing w:after="0" w:line="170"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66"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166"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8.9 The borrower guarantees to obey laws, rules and relevant policies about the anti-money laundering of the government that it will not conduct any activity involving money laundering or terrorism financing, cooperate with the loaner in identifying the customer, keeping the transaction record, and reporting the large-amount and suspected transaction.</w:t>
      </w:r>
    </w:p>
    <w:p>
      <w:pPr>
        <w:spacing w:after="0" w:line="181"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8.10 The borrower guarantees that the borrower, together with any of its employee or agent will not offer, present, require or receive any form of material interest not included in this contract to or from the loaner or its employee (including but not limited to cash, physical card, tour, etc.) or any other non-material interest; or use the fund or service provided by the loaner to any activity in relation to the corruption or bribery in any manner, whether directly or indirectly; once becoming aware of any circumstance breaching this article, the borrower should provide clues and relevant information to the loaner on an authentic, complete and accurate basis and offer the cooperation required by the loaner.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▲▲Article 9. Adjustment of Line of Credit, Acceleration of Maturity and Repricing of Risk</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9.1 Any event below should be deemed as the “early maturity event” of this contract:</w:t>
      </w:r>
    </w:p>
    <w:p>
      <w:pPr>
        <w:spacing w:after="0" w:line="225" w:lineRule="exact"/>
        <w:rPr>
          <w:sz w:val="20"/>
          <w:szCs w:val="20"/>
          <w:color w:val="auto"/>
        </w:rPr>
      </w:pPr>
    </w:p>
    <w:p>
      <w:pPr>
        <w:ind w:left="640" w:hanging="254"/>
        <w:spacing w:after="0"/>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The borrower does not repay the principal or interest of the loan according to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under this contract;</w:t>
      </w:r>
    </w:p>
    <w:p>
      <w:pPr>
        <w:spacing w:after="0" w:line="236" w:lineRule="exact"/>
        <w:rPr>
          <w:rFonts w:ascii="Arial" w:cs="Arial" w:eastAsia="Arial" w:hAnsi="Arial"/>
          <w:sz w:val="17"/>
          <w:szCs w:val="17"/>
          <w:color w:val="auto"/>
        </w:rPr>
      </w:pPr>
    </w:p>
    <w:p>
      <w:pPr>
        <w:ind w:left="640" w:hanging="254"/>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 makes any false representation or guarantee under this contract;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Any event that should be notified as specified in Article 8.6 occurs and influences or may influence the security of the creditor’s right of the loaner;</w:t>
      </w:r>
    </w:p>
    <w:p>
      <w:pPr>
        <w:spacing w:after="0" w:line="248" w:lineRule="exact"/>
        <w:rPr>
          <w:rFonts w:ascii="Arial" w:cs="Arial" w:eastAsia="Arial" w:hAnsi="Arial"/>
          <w:sz w:val="16"/>
          <w:szCs w:val="16"/>
          <w:color w:val="auto"/>
        </w:rPr>
      </w:pPr>
    </w:p>
    <w:p>
      <w:pPr>
        <w:ind w:left="640" w:hanging="254"/>
        <w:spacing w:after="0"/>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law, rule or regulatory policy is changed to the extent that the loaner will or may violate the law or rule if it issues the loan according to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contract;</w:t>
      </w:r>
    </w:p>
    <w:p>
      <w:pPr>
        <w:spacing w:after="0" w:line="210" w:lineRule="exact"/>
        <w:rPr>
          <w:rFonts w:ascii="Arial" w:cs="Arial" w:eastAsia="Arial" w:hAnsi="Arial"/>
          <w:sz w:val="17"/>
          <w:szCs w:val="17"/>
          <w:color w:val="auto"/>
        </w:rPr>
      </w:pPr>
    </w:p>
    <w:p>
      <w:pPr>
        <w:ind w:firstLine="386"/>
        <w:spacing w:after="0" w:line="277" w:lineRule="auto"/>
        <w:tabs>
          <w:tab w:leader="none" w:pos="6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While performing the contract with the loaner or any third party, the borrower conducts any breach or the debt may be or has been announced to be mature in advance;</w:t>
      </w:r>
    </w:p>
    <w:p>
      <w:pPr>
        <w:spacing w:after="0" w:line="170" w:lineRule="exact"/>
        <w:rPr>
          <w:rFonts w:ascii="Arial" w:cs="Arial" w:eastAsia="Arial" w:hAnsi="Arial"/>
          <w:sz w:val="18"/>
          <w:szCs w:val="18"/>
          <w:color w:val="auto"/>
        </w:rPr>
      </w:pPr>
    </w:p>
    <w:p>
      <w:pPr>
        <w:ind w:left="640" w:hanging="254"/>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 breaches any other article of this contract.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9.2 In case of any “early maturity event”, the loaner may take any one, several or all measures below:</w:t>
      </w:r>
    </w:p>
    <w:p>
      <w:pPr>
        <w:spacing w:after="0" w:line="225" w:lineRule="exact"/>
        <w:rPr>
          <w:sz w:val="20"/>
          <w:szCs w:val="20"/>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lower, suspend or cancel the line of credit under this contract;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stop issuing the loan unused by the borrower;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stop paying the loan unused but already withdrawn by the borrower;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require the borrower to supplement the issuance and payment conditions of loan to the loaner with the regulated period;</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require the borrower to change the payment mode as required by the loaner;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reprice against the risk in executing the loan according to Article 9.3;</w:t>
      </w:r>
    </w:p>
    <w:p>
      <w:pPr>
        <w:spacing w:after="0" w:line="225" w:lineRule="exact"/>
        <w:rPr>
          <w:rFonts w:ascii="Arial" w:cs="Arial" w:eastAsia="Arial" w:hAnsi="Arial"/>
          <w:sz w:val="18"/>
          <w:szCs w:val="18"/>
          <w:color w:val="auto"/>
        </w:rPr>
      </w:pPr>
    </w:p>
    <w:p>
      <w:pPr>
        <w:ind w:firstLine="386"/>
        <w:spacing w:after="0" w:line="277" w:lineRule="auto"/>
        <w:tabs>
          <w:tab w:leader="none" w:pos="63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announce that the principal of loan already issued under this contract becomes mature and require the borrower to repay the principal and interest of all the mature loan immediately.</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9.3.1 The repricing mentioned above consists of two modes, including repricing and directly raising the loan interest rate. The specific mode is agreed by both parties in Article 21.</w:t>
      </w:r>
    </w:p>
    <w:p>
      <w:pPr>
        <w:spacing w:after="0" w:line="170"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4" w:name="page175"/>
    <w:bookmarkEnd w:id="174"/>
    <w:p>
      <w:pPr>
        <w:ind w:left="380"/>
        <w:spacing w:after="0"/>
        <w:rPr>
          <w:sz w:val="20"/>
          <w:szCs w:val="20"/>
          <w:color w:val="auto"/>
        </w:rPr>
      </w:pPr>
      <w:r>
        <w:rPr>
          <w:rFonts w:ascii="Arial" w:cs="Arial" w:eastAsia="Arial" w:hAnsi="Arial"/>
          <w:sz w:val="17"/>
          <w:szCs w:val="17"/>
          <w:color w:val="auto"/>
        </w:rPr>
        <w:t>9.3.3 “Direct raise of loan interest rate” means that the loaner may directly raise the loan interest rate according to this article and Article 21.</w:t>
      </w:r>
    </w:p>
    <w:p>
      <w:pPr>
        <w:spacing w:after="0" w:line="237"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9.3.3.1 Since the loan sends a notice of “repricing date” to the borrower, the loan interest rate should be applied to each loan that the borrower has not repaid by the “repricing date”.</w:t>
      </w:r>
    </w:p>
    <w:p>
      <w:pPr>
        <w:spacing w:after="0" w:line="170"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9.3.3.2 If the loan currency is RMB and the type of benchmark interest rate of each loan is kept unchanged, then the raised loan interest rate should be determined by the fluctuating extent/increase (decrease) value specified in Article 21 on the basis of the benchmark interest rate of “repricing date”.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“repricing date” is set as T Day, then the benchmark interest rate to calculate the raised loan interest rate should be determined by following rules</w:t>
      </w:r>
    </w:p>
    <w:p>
      <w:pPr>
        <w:spacing w:after="0" w:line="248" w:lineRule="exact"/>
        <w:rPr>
          <w:sz w:val="20"/>
          <w:szCs w:val="20"/>
          <w:color w:val="auto"/>
        </w:rPr>
      </w:pPr>
    </w:p>
    <w:p>
      <w:pPr>
        <w:ind w:left="600" w:hanging="214"/>
        <w:spacing w:after="0"/>
        <w:tabs>
          <w:tab w:leader="none" w:pos="600" w:val="left"/>
        </w:tabs>
        <w:numPr>
          <w:ilvl w:val="0"/>
          <w:numId w:val="114"/>
        </w:numPr>
        <w:rPr>
          <w:rFonts w:ascii="MS PGothic" w:cs="MS PGothic" w:eastAsia="MS PGothic" w:hAnsi="MS PGothic"/>
          <w:sz w:val="16"/>
          <w:szCs w:val="16"/>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w:t>
      </w:r>
    </w:p>
    <w:p>
      <w:pPr>
        <w:spacing w:after="0" w:line="4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T Day;</w:t>
      </w:r>
    </w:p>
    <w:p>
      <w:pPr>
        <w:spacing w:after="0" w:line="209" w:lineRule="exact"/>
        <w:rPr>
          <w:sz w:val="20"/>
          <w:szCs w:val="20"/>
          <w:color w:val="auto"/>
        </w:rPr>
      </w:pPr>
    </w:p>
    <w:p>
      <w:pPr>
        <w:jc w:val="both"/>
        <w:ind w:right="20" w:firstLine="386"/>
        <w:spacing w:after="0" w:line="264" w:lineRule="auto"/>
        <w:tabs>
          <w:tab w:leader="none" w:pos="619" w:val="left"/>
        </w:tabs>
        <w:numPr>
          <w:ilvl w:val="0"/>
          <w:numId w:val="115"/>
        </w:numPr>
        <w:rPr>
          <w:rFonts w:ascii="MS PGothic" w:cs="MS PGothic" w:eastAsia="MS PGothic" w:hAnsi="MS PGothic"/>
          <w:sz w:val="18"/>
          <w:szCs w:val="18"/>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1" w:lineRule="exact"/>
        <w:rPr>
          <w:sz w:val="20"/>
          <w:szCs w:val="20"/>
          <w:color w:val="auto"/>
        </w:rPr>
      </w:pPr>
    </w:p>
    <w:p>
      <w:pPr>
        <w:jc w:val="both"/>
        <w:ind w:firstLine="386"/>
        <w:spacing w:after="0" w:line="264" w:lineRule="auto"/>
        <w:tabs>
          <w:tab w:leader="none" w:pos="593" w:val="left"/>
        </w:tabs>
        <w:numPr>
          <w:ilvl w:val="0"/>
          <w:numId w:val="116"/>
        </w:numPr>
        <w:rPr>
          <w:rFonts w:ascii="MS PGothic" w:cs="MS PGothic" w:eastAsia="MS PGothic" w:hAnsi="MS PGothic"/>
          <w:sz w:val="18"/>
          <w:szCs w:val="18"/>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9.3.3.3 If the loan is in any foreign currency, the raised loan interest rate should be determined according to Article 21.</w:t>
      </w:r>
    </w:p>
    <w:p>
      <w:pPr>
        <w:spacing w:after="0" w:line="225"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9.3.4 After the loaner reprices against the risk according to the article mentioned above, the new interest rate should be applied since the “repricing date”. Regulations on the fluctuation is still subject to that mentioned in Article 3 of this contract, and if both parties negotiate to change the relevant regulation, the changed regulation shall be applied. If the loan becomes overdue (including the circumstance that the borrower fails to make the repayment in time or the loan is announced by the loaner to be mature in advance) or embezzled, the overdue and embezzlement default interest rate should be determined on the basis of the new interest rate (including the interest rate adjusted according to regulations on fluctuation of this contract) while the compound interest rate should also be correspondingly adjusted.</w:t>
      </w:r>
    </w:p>
    <w:p>
      <w:pPr>
        <w:spacing w:after="0" w:line="193"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9.3.5 Execution of the “repricing against risk” should not be deemed or construed as that the loaner waives any other right under any law, rule or this contract. The loaner may take other protective measures for the creditor’s right according to laws, rules and this contract, including but not limited to measures specified in Article 9.2 of this contract.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▲▲Article 10. Breach</w:t>
      </w:r>
    </w:p>
    <w:p>
      <w:pPr>
        <w:spacing w:after="0" w:line="229"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166"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Deduction</w:t>
      </w:r>
    </w:p>
    <w:p>
      <w:pPr>
        <w:spacing w:after="0" w:line="229"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24"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11.2 After such deduction, the loaner should inform the borrower of relevant account number, contract number, number of </w:t>
      </w:r>
      <w:r>
        <w:rPr>
          <w:rFonts w:ascii="Arial" w:cs="Arial" w:eastAsia="Arial" w:hAnsi="Arial"/>
          <w:sz w:val="18"/>
          <w:szCs w:val="18"/>
          <w:i w:val="1"/>
          <w:iCs w:val="1"/>
          <w:color w:val="auto"/>
        </w:rPr>
        <w:t>Application for Use of Line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w:t>
      </w:r>
      <w:r>
        <w:rPr>
          <w:rFonts w:ascii="Arial" w:cs="Arial" w:eastAsia="Arial" w:hAnsi="Arial"/>
          <w:sz w:val="18"/>
          <w:szCs w:val="18"/>
          <w:color w:val="auto"/>
        </w:rPr>
        <w:t>, deduction amount and remaining debt.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11.3 If the deducted fund is insufficient to repay all the debt of the borrower, the debt to be repaid by such fund should be determined according to this contract.</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Notice</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181"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66" w:lineRule="exact"/>
        <w:rPr>
          <w:sz w:val="20"/>
          <w:szCs w:val="20"/>
          <w:color w:val="auto"/>
        </w:rPr>
      </w:pPr>
    </w:p>
    <w:p>
      <w:pPr>
        <w:ind w:right="20" w:firstLine="386"/>
        <w:spacing w:after="0" w:line="277" w:lineRule="auto"/>
        <w:tabs>
          <w:tab w:leader="none" w:pos="65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loaner chooses the announcement, the date at which the loaner publishes the announcement on its website, online bank, telephone bank or outlet should be deemed as the delivery date;</w:t>
      </w:r>
    </w:p>
    <w:p>
      <w:pPr>
        <w:spacing w:after="0" w:line="170" w:lineRule="exact"/>
        <w:rPr>
          <w:rFonts w:ascii="Arial" w:cs="Arial" w:eastAsia="Arial" w:hAnsi="Arial"/>
          <w:sz w:val="18"/>
          <w:szCs w:val="18"/>
          <w:color w:val="auto"/>
        </w:rPr>
      </w:pPr>
    </w:p>
    <w:p>
      <w:pPr>
        <w:ind w:left="640" w:hanging="254"/>
        <w:spacing w:after="0"/>
        <w:tabs>
          <w:tab w:leader="none" w:pos="6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the loaner chooses the personal delivery, the date at which the borrower signs to confirm the reception should be deemed as the delivery date;</w:t>
      </w:r>
    </w:p>
    <w:p>
      <w:pPr>
        <w:spacing w:after="0" w:line="248" w:lineRule="exact"/>
        <w:rPr>
          <w:rFonts w:ascii="Arial" w:cs="Arial" w:eastAsia="Arial" w:hAnsi="Arial"/>
          <w:sz w:val="16"/>
          <w:szCs w:val="16"/>
          <w:color w:val="auto"/>
        </w:rPr>
      </w:pPr>
    </w:p>
    <w:p>
      <w:pPr>
        <w:jc w:val="both"/>
        <w:ind w:firstLine="386"/>
        <w:spacing w:after="0" w:line="264" w:lineRule="auto"/>
        <w:tabs>
          <w:tab w:leader="none" w:pos="6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6" w:name="page177"/>
    <w:bookmarkEnd w:id="176"/>
    <w:p>
      <w:pPr>
        <w:ind w:firstLine="386"/>
        <w:spacing w:after="0" w:line="308" w:lineRule="auto"/>
        <w:tabs>
          <w:tab w:leader="none" w:pos="64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the loaner chooses the fax, SMS or other electronic communication means to deliver the notice to the latest fax number of the borrower that the loaner knows, the mobile telephone number or e-mail appointed by the borrower, the sending date should be deemed as the delivery date.</w:t>
      </w:r>
    </w:p>
    <w:p>
      <w:pPr>
        <w:spacing w:after="0" w:line="147"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12.3 The borrower agrees that unless the loaner receives the written notice about changing the mailing address from the borrower, the mailing address provided by the borrower in this contract is the address for the court to send the judicial instrument and other written documents. During the process of dispute solution, if the court sends the judicial instrument or other written documents to the latest mailing address of the borrower that the loaner knows through the postal service (including express delivery, ordinary mail and registered mail), the date at which the borrower signs on the receipt should be regarded as the delivery date; if the borrower does not sign on the receipt, the third day (in the same city)/the fifth day (in different cities) since the sending date should be deemed as the delivery date;</w:t>
      </w:r>
    </w:p>
    <w:p>
      <w:pPr>
        <w:spacing w:after="0" w:line="193"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Except for the written judgment, written verdict or mediation agreement, the court may send any notice to the borrower by any communication means specified in Article 12.2. The court may choose the communication means it thinks fit but is relieved from any liability for the error, omission or delay caused by the postal service, fax, telephone or any other communication system. If the court chooses several manners, the one delivering the notice to the borrower, the fastest should prevail.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Disclosure and Confidentiality</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under following circumstances:</w:t>
      </w:r>
    </w:p>
    <w:p>
      <w:pPr>
        <w:spacing w:after="0" w:line="181" w:lineRule="exact"/>
        <w:rPr>
          <w:sz w:val="20"/>
          <w:szCs w:val="20"/>
          <w:color w:val="auto"/>
        </w:rPr>
      </w:pPr>
    </w:p>
    <w:p>
      <w:pPr>
        <w:ind w:left="640" w:hanging="254"/>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law or rule requires such disclosure;</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judicial department or regulatory authority requires such disclosure;</w:t>
      </w:r>
    </w:p>
    <w:p>
      <w:pPr>
        <w:spacing w:after="0" w:line="225" w:lineRule="exact"/>
        <w:rPr>
          <w:rFonts w:ascii="Arial" w:cs="Arial" w:eastAsia="Arial" w:hAnsi="Arial"/>
          <w:sz w:val="18"/>
          <w:szCs w:val="18"/>
          <w:color w:val="auto"/>
        </w:rPr>
      </w:pPr>
    </w:p>
    <w:p>
      <w:pPr>
        <w:ind w:right="20" w:firstLine="386"/>
        <w:spacing w:after="0" w:line="342" w:lineRule="auto"/>
        <w:tabs>
          <w:tab w:leader="none" w:pos="63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When the borrower does not repay the principal and/or interest of the loan in time, the loaner has to make the disclosure to the external professional advisor for the purpose of realizing the creditor’s right under this contract but such external professional advisor must assume the confidentiality obligation;</w:t>
      </w:r>
    </w:p>
    <w:p>
      <w:pPr>
        <w:spacing w:after="0" w:line="123" w:lineRule="exact"/>
        <w:rPr>
          <w:rFonts w:ascii="Arial" w:cs="Arial" w:eastAsia="Arial" w:hAnsi="Arial"/>
          <w:sz w:val="16"/>
          <w:szCs w:val="16"/>
          <w:color w:val="auto"/>
        </w:rPr>
      </w:pPr>
    </w:p>
    <w:p>
      <w:pPr>
        <w:ind w:left="640" w:hanging="254"/>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borrower agrees or authorizes the loaner to make the disclosure.</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13.2 The borrower confirms that it has signed the </w:t>
      </w:r>
      <w:r>
        <w:rPr>
          <w:rFonts w:ascii="Arial" w:cs="Arial" w:eastAsia="Arial" w:hAnsi="Arial"/>
          <w:sz w:val="18"/>
          <w:szCs w:val="18"/>
          <w:i w:val="1"/>
          <w:iCs w:val="1"/>
          <w:color w:val="auto"/>
        </w:rPr>
        <w:t>Credit Information Inquiry and Provision Authorization</w:t>
      </w:r>
      <w:r>
        <w:rPr>
          <w:rFonts w:ascii="Arial" w:cs="Arial" w:eastAsia="Arial" w:hAnsi="Arial"/>
          <w:sz w:val="18"/>
          <w:szCs w:val="18"/>
          <w:color w:val="auto"/>
        </w:rPr>
        <w:t>. The loaner may inquire, use and keep the credit information of the borrower within the scope regulated by the authorization.</w:t>
      </w:r>
    </w:p>
    <w:p>
      <w:pPr>
        <w:spacing w:after="0" w:line="170"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147" w:lineRule="exact"/>
        <w:rPr>
          <w:sz w:val="20"/>
          <w:szCs w:val="20"/>
          <w:color w:val="auto"/>
        </w:rPr>
      </w:pPr>
    </w:p>
    <w:p>
      <w:pPr>
        <w:jc w:val="both"/>
        <w:ind w:firstLine="378"/>
        <w:spacing w:after="0" w:line="219" w:lineRule="exact"/>
        <w:rPr>
          <w:sz w:val="20"/>
          <w:szCs w:val="20"/>
          <w:color w:val="auto"/>
        </w:rPr>
      </w:pPr>
      <w:r>
        <w:rPr>
          <w:rFonts w:ascii="Arial" w:cs="Arial" w:eastAsia="Arial" w:hAnsi="Arial"/>
          <w:sz w:val="18"/>
          <w:szCs w:val="18"/>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8"/>
          <w:szCs w:val="18"/>
          <w:color w:val="auto"/>
        </w:rPr>
        <w:t>①</w:t>
      </w:r>
      <w:r>
        <w:rPr>
          <w:rFonts w:ascii="Arial" w:cs="Arial" w:eastAsia="Arial" w:hAnsi="Arial"/>
          <w:sz w:val="18"/>
          <w:szCs w:val="18"/>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8"/>
          <w:szCs w:val="18"/>
          <w:color w:val="auto"/>
        </w:rPr>
        <w:t>②</w:t>
      </w:r>
      <w:r>
        <w:rPr>
          <w:rFonts w:ascii="Arial" w:cs="Arial" w:eastAsia="Arial" w:hAnsi="Arial"/>
          <w:sz w:val="18"/>
          <w:szCs w:val="18"/>
          <w:color w:val="auto"/>
        </w:rPr>
        <w:t xml:space="preserve"> The loaner provides or may provide the borrower with the new product or service, or further provides the service.</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Whether Article 13.3 is applicable should be subject to Article 24 of this contract.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Article 14. Applicable Laws and Dispute Solution</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Effectiveness and Constitution of Contract</w:t>
      </w:r>
    </w:p>
    <w:p>
      <w:pPr>
        <w:spacing w:after="0" w:line="229"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15.1 This contract takes effect with the signature of the legal representative (responsible person) or the authorized representative (or seal) and the common seal of the borrower, as well as the signature of the responsible person or the authorized representative (or seal) and the common seal of the loaner.</w:t>
      </w:r>
    </w:p>
    <w:p>
      <w:pPr>
        <w:spacing w:after="0" w:line="124"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15.2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and other relevant documents and materials signed under this contract are indispensable parts of this contract.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is the supplement to this contract. Unless otherwise regulated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rights, obligations and other matters of the borrower and the loaner should still be subject to this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Specific Content of Line of Credit</w:t>
      </w:r>
    </w:p>
    <w:p>
      <w:pPr>
        <w:spacing w:after="0" w:line="197" w:lineRule="exact"/>
        <w:rPr>
          <w:sz w:val="20"/>
          <w:szCs w:val="20"/>
          <w:color w:val="auto"/>
        </w:rPr>
      </w:pPr>
    </w:p>
    <w:p>
      <w:pPr>
        <w:jc w:val="both"/>
        <w:ind w:firstLine="378"/>
        <w:spacing w:after="0" w:line="250" w:lineRule="exact"/>
        <w:rPr>
          <w:sz w:val="20"/>
          <w:szCs w:val="20"/>
          <w:color w:val="auto"/>
        </w:rPr>
      </w:pPr>
      <w:r>
        <w:rPr>
          <w:rFonts w:ascii="Arial" w:cs="Arial" w:eastAsia="Arial" w:hAnsi="Arial"/>
          <w:sz w:val="18"/>
          <w:szCs w:val="18"/>
          <w:color w:val="auto"/>
        </w:rPr>
        <w:t xml:space="preserve">16.1 Currency of line of credit: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Amount in words: </w:t>
      </w:r>
      <w:r>
        <w:rPr>
          <w:rFonts w:ascii="Arial" w:cs="Arial" w:eastAsia="Arial" w:hAnsi="Arial"/>
          <w:sz w:val="18"/>
          <w:szCs w:val="18"/>
          <w:u w:val="single" w:color="auto"/>
          <w:color w:val="auto"/>
        </w:rPr>
        <w:t>five million yuan;</w:t>
      </w:r>
      <w:r>
        <w:rPr>
          <w:rFonts w:ascii="Arial" w:cs="Arial" w:eastAsia="Arial" w:hAnsi="Arial"/>
          <w:sz w:val="18"/>
          <w:szCs w:val="18"/>
          <w:color w:val="auto"/>
        </w:rPr>
        <w:t xml:space="preserve"> Available for √ RMB </w:t>
      </w:r>
      <w:r>
        <w:rPr>
          <w:rFonts w:ascii="MS PGothic" w:cs="MS PGothic" w:eastAsia="MS PGothic" w:hAnsi="MS PGothic"/>
          <w:sz w:val="18"/>
          <w:szCs w:val="18"/>
          <w:color w:val="auto"/>
        </w:rPr>
        <w:t>☐</w:t>
      </w:r>
      <w:r>
        <w:rPr>
          <w:rFonts w:ascii="Arial" w:cs="Arial" w:eastAsia="Arial" w:hAnsi="Arial"/>
          <w:sz w:val="18"/>
          <w:szCs w:val="18"/>
          <w:color w:val="auto"/>
        </w:rPr>
        <w:t xml:space="preserve"> (foreign currency); Belonging to √ Revolving line of credit </w:t>
      </w:r>
      <w:r>
        <w:rPr>
          <w:rFonts w:ascii="MS PGothic" w:cs="MS PGothic" w:eastAsia="MS PGothic" w:hAnsi="MS PGothic"/>
          <w:sz w:val="18"/>
          <w:szCs w:val="18"/>
          <w:color w:val="auto"/>
        </w:rPr>
        <w:t>☐</w:t>
      </w:r>
      <w:r>
        <w:rPr>
          <w:rFonts w:ascii="Arial" w:cs="Arial" w:eastAsia="Arial" w:hAnsi="Arial"/>
          <w:sz w:val="18"/>
          <w:szCs w:val="18"/>
          <w:color w:val="auto"/>
        </w:rPr>
        <w:t xml:space="preserve"> One-time line of credit (used for several time) </w:t>
      </w:r>
      <w:r>
        <w:rPr>
          <w:rFonts w:ascii="MS PGothic" w:cs="MS PGothic" w:eastAsia="MS PGothic" w:hAnsi="MS PGothic"/>
          <w:sz w:val="18"/>
          <w:szCs w:val="18"/>
          <w:color w:val="auto"/>
        </w:rPr>
        <w:t>☐</w:t>
      </w:r>
      <w:r>
        <w:rPr>
          <w:rFonts w:ascii="Arial" w:cs="Arial" w:eastAsia="Arial" w:hAnsi="Arial"/>
          <w:sz w:val="18"/>
          <w:szCs w:val="18"/>
          <w:color w:val="auto"/>
        </w:rPr>
        <w:t xml:space="preserve"> One-time line of credit (used for only once).</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16.2 Purpose of line of credit: </w:t>
      </w:r>
      <w:r>
        <w:rPr>
          <w:rFonts w:ascii="Arial" w:cs="Arial" w:eastAsia="Arial" w:hAnsi="Arial"/>
          <w:sz w:val="18"/>
          <w:szCs w:val="18"/>
          <w:u w:val="single" w:color="auto"/>
          <w:color w:val="auto"/>
        </w:rPr>
        <w:t>operation turnover</w:t>
      </w:r>
      <w:r>
        <w:rPr>
          <w:rFonts w:ascii="Arial" w:cs="Arial" w:eastAsia="Arial" w:hAnsi="Arial"/>
          <w:sz w:val="18"/>
          <w:szCs w:val="18"/>
          <w:color w:val="auto"/>
        </w:rPr>
        <w:t xml:space="preserve"> .</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16.3 Period of line of credit is October 9, 2017 to October 9,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Interest Rate</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If the loan is in any foreign currency, the determination and adjustment of interest rate, and the default interest rate of overdue and embezzled loan are regulated as follows: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________________________________</w:t>
      </w:r>
      <w:r>
        <w:rPr>
          <w:rFonts w:ascii="Arial" w:cs="Arial" w:eastAsia="Arial" w:hAnsi="Arial"/>
          <w:sz w:val="18"/>
          <w:szCs w:val="18"/>
          <w:u w:val="single" w:color="auto"/>
          <w:color w:val="auto"/>
        </w:rPr>
        <w:t>/</w:t>
      </w: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Article 18. Account</w:t>
      </w:r>
    </w:p>
    <w:p>
      <w:pPr>
        <w:spacing w:after="0" w:line="229"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 xml:space="preserve">18.1 The borrower appoints the following account to be the issuance account. The account □is √is not the dedicated loan issuance account opened at the loaner. If both parties otherwise regulate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such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should prevail.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Issuance, Payment and Repayment of Loan</w:t>
      </w:r>
    </w:p>
    <w:p>
      <w:pPr>
        <w:spacing w:after="0" w:line="197" w:lineRule="exact"/>
        <w:rPr>
          <w:sz w:val="20"/>
          <w:szCs w:val="20"/>
          <w:color w:val="auto"/>
        </w:rPr>
      </w:pPr>
    </w:p>
    <w:p>
      <w:pPr>
        <w:ind w:right="20" w:firstLine="378"/>
        <w:spacing w:after="0" w:line="239" w:lineRule="exact"/>
        <w:rPr>
          <w:sz w:val="20"/>
          <w:szCs w:val="20"/>
          <w:color w:val="auto"/>
        </w:rPr>
      </w:pPr>
      <w:r>
        <w:rPr>
          <w:rFonts w:ascii="Arial" w:cs="Arial" w:eastAsia="Arial" w:hAnsi="Arial"/>
          <w:sz w:val="18"/>
          <w:szCs w:val="18"/>
          <w:color w:val="auto"/>
        </w:rPr>
        <w:t xml:space="preserve">19.1 The period of each loan withdrawn under this contract should be no longer than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days, and the maturity date of all the loan should be no later than April 9, 2019.</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19.2 The limit of independent payment under this contract should be RMB0.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19.3 The entrusted payment by loaner is compulsory once any condition below is met:</w:t>
      </w:r>
    </w:p>
    <w:p>
      <w:pPr>
        <w:spacing w:after="0" w:line="225"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19.4 In the mode of independent payment by the borrower, the borrower should report the payment of loan fund to the loaner within 15 days since the issuance of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Financial Restriction, External Rating, Production and Operation Qualification/License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20.1 Limit on the external investment by the borrower is RMB10,000,000,000; limit on the increase of debt financing is RMB10,000,000,000.</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20.2 Specific regulations on the financial indexes of the borrower:</w:t>
      </w:r>
    </w:p>
    <w:p>
      <w:pPr>
        <w:spacing w:after="0" w:line="225" w:lineRule="exact"/>
        <w:rPr>
          <w:sz w:val="20"/>
          <w:szCs w:val="20"/>
          <w:color w:val="auto"/>
        </w:rPr>
      </w:pPr>
    </w:p>
    <w:p>
      <w:pPr>
        <w:ind w:left="640" w:hanging="254"/>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________________________________ / _______________________________________________</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2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20.3 Specific regulations on the external rating:</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________________________________ / _______________________________________________</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2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20.4 Specific regulations on the production and operation qualification/license of the borrower: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________________________________ / _______________________________________________</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-2205355</wp:posOffset>
            </wp:positionV>
            <wp:extent cx="889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88900" cy="8890"/>
                    </a:xfrm>
                    <a:prstGeom prst="rect">
                      <a:avLst/>
                    </a:prstGeom>
                    <a:noFill/>
                  </pic:spPr>
                </pic:pic>
              </a:graphicData>
            </a:graphic>
          </wp:anchor>
        </w:drawing>
        <w:drawing>
          <wp:anchor simplePos="0" relativeHeight="251657728" behindDoc="1" locked="0" layoutInCell="0" allowOverlap="1">
            <wp:simplePos x="0" y="0"/>
            <wp:positionH relativeFrom="column">
              <wp:posOffset>2235835</wp:posOffset>
            </wp:positionH>
            <wp:positionV relativeFrom="paragraph">
              <wp:posOffset>-1108075</wp:posOffset>
            </wp:positionV>
            <wp:extent cx="889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88900" cy="8890"/>
                    </a:xfrm>
                    <a:prstGeom prst="rect">
                      <a:avLst/>
                    </a:prstGeom>
                    <a:noFill/>
                  </pic:spPr>
                </pic:pic>
              </a:graphicData>
            </a:graphic>
          </wp:anchor>
        </w:drawing>
        <w:drawing>
          <wp:anchor simplePos="0" relativeHeight="251657728" behindDoc="1" locked="0" layoutInCell="0" allowOverlap="1">
            <wp:simplePos x="0" y="0"/>
            <wp:positionH relativeFrom="column">
              <wp:posOffset>2235835</wp:posOffset>
            </wp:positionH>
            <wp:positionV relativeFrom="paragraph">
              <wp:posOffset>-284480</wp:posOffset>
            </wp:positionV>
            <wp:extent cx="889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889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Repricing of Risk</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21.1 This contract adopts the first repricing mode below: (1) Repricing through negotiations; (2) Direct raising the loan interest rate.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 Once the “direct raising the loan interest rate” is adopted: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9" w:name="page180"/>
    <w:bookmarkEnd w:id="179"/>
    <w:p>
      <w:pPr>
        <w:jc w:val="both"/>
        <w:ind w:firstLine="378"/>
        <w:spacing w:after="0" w:line="228" w:lineRule="exact"/>
        <w:rPr>
          <w:sz w:val="20"/>
          <w:szCs w:val="20"/>
          <w:color w:val="auto"/>
        </w:rPr>
      </w:pPr>
      <w:r>
        <w:rPr>
          <w:rFonts w:ascii="Arial" w:cs="Arial" w:eastAsia="Arial" w:hAnsi="Arial"/>
          <w:sz w:val="18"/>
          <w:szCs w:val="18"/>
          <w:color w:val="auto"/>
        </w:rPr>
        <w:t xml:space="preserve">21.2.1 If the loan currency is RMB, the fluctuation extent/increase (decrease) value of the raised loan: </w:t>
      </w:r>
      <w:r>
        <w:rPr>
          <w:rFonts w:ascii="MS PGothic" w:cs="MS PGothic" w:eastAsia="MS PGothic" w:hAnsi="MS PGothic"/>
          <w:sz w:val="18"/>
          <w:szCs w:val="18"/>
          <w:color w:val="auto"/>
        </w:rPr>
        <w:t>☐</w:t>
      </w:r>
      <w:r>
        <w:rPr>
          <w:rFonts w:ascii="Arial" w:cs="Arial" w:eastAsia="Arial" w:hAnsi="Arial"/>
          <w:sz w:val="18"/>
          <w:szCs w:val="18"/>
          <w:color w:val="auto"/>
        </w:rPr>
        <w:t xml:space="preserve"> Benchmark interest rate (without fluctuation/increase or decrease) </w:t>
      </w:r>
      <w:r>
        <w:rPr>
          <w:rFonts w:ascii="MS PGothic" w:cs="MS PGothic" w:eastAsia="MS PGothic" w:hAnsi="MS PGothic"/>
          <w:sz w:val="18"/>
          <w:szCs w:val="18"/>
          <w:color w:val="auto"/>
        </w:rPr>
        <w:t>☐</w:t>
      </w:r>
      <w:r>
        <w:rPr>
          <w:rFonts w:ascii="Arial" w:cs="Arial" w:eastAsia="Arial" w:hAnsi="Arial"/>
          <w:sz w:val="18"/>
          <w:szCs w:val="18"/>
          <w:color w:val="auto"/>
        </w:rPr>
        <w:t xml:space="preserve"> Fluctuated upwards by _</w:t>
      </w:r>
      <w:r>
        <w:rPr>
          <w:rFonts w:ascii="Arial" w:cs="Arial" w:eastAsia="Arial" w:hAnsi="Arial"/>
          <w:sz w:val="18"/>
          <w:szCs w:val="18"/>
          <w:u w:val="single" w:color="auto"/>
          <w:color w:val="auto"/>
        </w:rPr>
        <w:t>_/</w:t>
      </w:r>
      <w:r>
        <w:rPr>
          <w:rFonts w:ascii="Arial" w:cs="Arial" w:eastAsia="Arial" w:hAnsi="Arial"/>
          <w:sz w:val="18"/>
          <w:szCs w:val="18"/>
          <w:color w:val="auto"/>
        </w:rPr>
        <w:t xml:space="preserve"> % </w:t>
      </w:r>
      <w:r>
        <w:rPr>
          <w:rFonts w:ascii="MS PGothic" w:cs="MS PGothic" w:eastAsia="MS PGothic" w:hAnsi="MS PGothic"/>
          <w:sz w:val="18"/>
          <w:szCs w:val="18"/>
          <w:color w:val="auto"/>
        </w:rPr>
        <w:t>☐</w:t>
      </w:r>
      <w:r>
        <w:rPr>
          <w:rFonts w:ascii="Arial" w:cs="Arial" w:eastAsia="Arial" w:hAnsi="Arial"/>
          <w:sz w:val="18"/>
          <w:szCs w:val="18"/>
          <w:color w:val="auto"/>
        </w:rPr>
        <w:t xml:space="preserve"> Fluctuated downwards by / % </w:t>
      </w:r>
      <w:r>
        <w:rPr>
          <w:rFonts w:ascii="MS PGothic" w:cs="MS PGothic" w:eastAsia="MS PGothic" w:hAnsi="MS PGothic"/>
          <w:sz w:val="18"/>
          <w:szCs w:val="18"/>
          <w:color w:val="auto"/>
        </w:rPr>
        <w:t>☐</w:t>
      </w:r>
      <w:r>
        <w:rPr>
          <w:rFonts w:ascii="Arial" w:cs="Arial" w:eastAsia="Arial" w:hAnsi="Arial"/>
          <w:sz w:val="18"/>
          <w:szCs w:val="18"/>
          <w:color w:val="auto"/>
        </w:rPr>
        <w:t xml:space="preserve"> Increased by </w:t>
      </w:r>
      <w:r>
        <w:rPr>
          <w:rFonts w:ascii="Arial" w:cs="Arial" w:eastAsia="Arial" w:hAnsi="Arial"/>
          <w:sz w:val="18"/>
          <w:szCs w:val="18"/>
          <w:u w:val="single" w:color="auto"/>
          <w:color w:val="auto"/>
        </w:rPr>
        <w:t>/ %</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Decreased by </w:t>
      </w:r>
      <w:r>
        <w:rPr>
          <w:rFonts w:ascii="Arial" w:cs="Arial" w:eastAsia="Arial" w:hAnsi="Arial"/>
          <w:sz w:val="18"/>
          <w:szCs w:val="18"/>
          <w:u w:val="single" w:color="auto"/>
          <w:color w:val="auto"/>
        </w:rPr>
        <w:t>/ %</w:t>
      </w:r>
      <w:r>
        <w:rPr>
          <w:rFonts w:ascii="Arial" w:cs="Arial" w:eastAsia="Arial" w:hAnsi="Arial"/>
          <w:sz w:val="18"/>
          <w:szCs w:val="18"/>
          <w:color w:val="auto"/>
        </w:rPr>
        <w:t xml:space="preserve">. If any specific regulation is reached in a certain loan, the fluctuation extent/increase (decrease) value of the raised interest rate should be subject to the applicable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-299085</wp:posOffset>
            </wp:positionV>
            <wp:extent cx="3575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357505" cy="8890"/>
                    </a:xfrm>
                    <a:prstGeom prst="rect">
                      <a:avLst/>
                    </a:prstGeom>
                    <a:noFill/>
                  </pic:spPr>
                </pic:pic>
              </a:graphicData>
            </a:graphic>
          </wp:anchor>
        </w:drawing>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21.2.2 If the loan currency is a foreign currency, interest rate of the raised loan is: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 /_____________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-10160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Contact Details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Contact details of the borrower to receive the notice specified in Article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 Counterparts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contract is made with four copies. Both parties and the guarantor (if any) holds ____ copy(ies)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24. Miscellaneous</w:t>
      </w:r>
    </w:p>
    <w:p>
      <w:pPr>
        <w:spacing w:after="0" w:line="197"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color w:val="auto"/>
        </w:rPr>
        <w:t xml:space="preserve">24.1 Both parties agree that Article 13.3 √ applies </w:t>
      </w:r>
      <w:r>
        <w:rPr>
          <w:rFonts w:ascii="MS PGothic" w:cs="MS PGothic" w:eastAsia="MS PGothic" w:hAnsi="MS PGothic"/>
          <w:sz w:val="18"/>
          <w:szCs w:val="18"/>
          <w:color w:val="auto"/>
        </w:rPr>
        <w:t>☐</w:t>
      </w:r>
      <w:r>
        <w:rPr>
          <w:rFonts w:ascii="Arial" w:cs="Arial" w:eastAsia="Arial" w:hAnsi="Arial"/>
          <w:sz w:val="18"/>
          <w:szCs w:val="18"/>
          <w:color w:val="auto"/>
        </w:rPr>
        <w:t xml:space="preserve"> does not apply to this contract.</w:t>
      </w:r>
    </w:p>
    <w:p>
      <w:pPr>
        <w:spacing w:after="0" w:line="25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24.2 The loaner will issue the legal VAT invoice according to laws, rules and regulations, while the specific time and mode should be determined by both parties through negotiations.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24.3 The payment mode of loan under this contract should be subject to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signed by the loaner.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152400</wp:posOffset>
            </wp:positionV>
            <wp:extent cx="5068570" cy="5657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5068570" cy="565785"/>
                    </a:xfrm>
                    <a:prstGeom prst="rect">
                      <a:avLst/>
                    </a:prstGeom>
                    <a:noFill/>
                  </pic:spPr>
                </pic:pic>
              </a:graphicData>
            </a:graphic>
          </wp:anchor>
        </w:drawing>
      </w:r>
    </w:p>
    <w:p>
      <w:pPr>
        <w:spacing w:after="0" w:line="327" w:lineRule="exact"/>
        <w:rPr>
          <w:sz w:val="20"/>
          <w:szCs w:val="20"/>
          <w:color w:val="auto"/>
        </w:rPr>
      </w:pPr>
    </w:p>
    <w:p>
      <w:pPr>
        <w:jc w:val="both"/>
        <w:ind w:left="1800" w:right="1780"/>
        <w:spacing w:after="0" w:line="286" w:lineRule="auto"/>
        <w:rPr>
          <w:sz w:val="20"/>
          <w:szCs w:val="20"/>
          <w:color w:val="auto"/>
        </w:rPr>
      </w:pPr>
      <w:r>
        <w:rPr>
          <w:rFonts w:ascii="Arial" w:cs="Arial" w:eastAsia="Arial" w:hAnsi="Arial"/>
          <w:sz w:val="17"/>
          <w:szCs w:val="17"/>
          <w:color w:val="auto"/>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text below in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80" w:name="page181"/>
    <w:bookmarkEnd w:id="180"/>
    <w:p>
      <w:pPr>
        <w:spacing w:after="0"/>
        <w:tabs>
          <w:tab w:leader="none" w:pos="5800" w:val="left"/>
        </w:tabs>
        <w:rPr>
          <w:sz w:val="20"/>
          <w:szCs w:val="20"/>
          <w:color w:val="auto"/>
        </w:rPr>
      </w:pPr>
      <w:r>
        <w:rPr>
          <w:rFonts w:ascii="Arial" w:cs="Arial" w:eastAsia="Arial" w:hAnsi="Arial"/>
          <w:sz w:val="18"/>
          <w:szCs w:val="18"/>
          <w:color w:val="auto"/>
        </w:rPr>
        <w:t>Borrower: (Seal)</w:t>
      </w:r>
      <w:r>
        <w:rPr>
          <w:sz w:val="20"/>
          <w:szCs w:val="20"/>
          <w:color w:val="auto"/>
        </w:rPr>
        <w:tab/>
      </w:r>
      <w:r>
        <w:rPr>
          <w:rFonts w:ascii="Arial" w:cs="Arial" w:eastAsia="Arial" w:hAnsi="Arial"/>
          <w:sz w:val="16"/>
          <w:szCs w:val="16"/>
          <w:color w:val="auto"/>
        </w:rPr>
        <w:t>Loaner: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43330" cy="13379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1243330" cy="133794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14605</wp:posOffset>
            </wp:positionV>
            <wp:extent cx="1749425" cy="10204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1749425" cy="10204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(Seal: CLPS)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(Seal: Line of Credit Business Contract Seal of Shanghai Xinqu Sub-branch of Bank of Communications Co., Ltd.)</w:t>
      </w:r>
    </w:p>
    <w:p>
      <w:pPr>
        <w:spacing w:after="0" w:line="170" w:lineRule="exact"/>
        <w:rPr>
          <w:sz w:val="20"/>
          <w:szCs w:val="20"/>
          <w:color w:val="auto"/>
        </w:rPr>
      </w:pPr>
    </w:p>
    <w:p>
      <w:pPr>
        <w:sectPr>
          <w:pgSz w:w="11900" w:h="16838" w:orient="portrait"/>
          <w:cols w:equalWidth="0" w:num="2">
            <w:col w:w="5100" w:space="720"/>
            <w:col w:w="5600"/>
          </w:cols>
          <w:pgMar w:left="240" w:top="90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Legal representative (responsible person)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34365" cy="6343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Legal representative (responsible person)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166370</wp:posOffset>
            </wp:positionV>
            <wp:extent cx="634365" cy="6343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600"/>
          </w:cols>
          <w:pgMar w:left="240" w:top="90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800" w:type="dxa"/>
            <w:vAlign w:val="bottom"/>
          </w:tcPr>
          <w:p>
            <w:pPr>
              <w:spacing w:after="0"/>
              <w:rPr>
                <w:sz w:val="20"/>
                <w:szCs w:val="20"/>
                <w:color w:val="auto"/>
              </w:rPr>
            </w:pPr>
            <w:r>
              <w:rPr>
                <w:rFonts w:ascii="Arial" w:cs="Arial" w:eastAsia="Arial" w:hAnsi="Arial"/>
                <w:sz w:val="18"/>
                <w:szCs w:val="18"/>
                <w:color w:val="auto"/>
              </w:rPr>
              <w:t>(Signature or seal)</w:t>
            </w:r>
          </w:p>
        </w:tc>
        <w:tc>
          <w:tcPr>
            <w:tcW w:w="7620" w:type="dxa"/>
            <w:vAlign w:val="bottom"/>
          </w:tcPr>
          <w:p>
            <w:pPr>
              <w:ind w:left="2020"/>
              <w:spacing w:after="0"/>
              <w:rPr>
                <w:sz w:val="20"/>
                <w:szCs w:val="20"/>
                <w:color w:val="auto"/>
              </w:rPr>
            </w:pPr>
            <w:r>
              <w:rPr>
                <w:rFonts w:ascii="Arial" w:cs="Arial" w:eastAsia="Arial" w:hAnsi="Arial"/>
                <w:sz w:val="18"/>
                <w:szCs w:val="18"/>
                <w:color w:val="auto"/>
              </w:rPr>
              <w:t>(Signature or seal)</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6, 2017</w:t>
            </w:r>
          </w:p>
        </w:tc>
        <w:tc>
          <w:tcPr>
            <w:tcW w:w="7620" w:type="dxa"/>
            <w:vAlign w:val="bottom"/>
          </w:tcPr>
          <w:p>
            <w:pPr>
              <w:ind w:left="2020"/>
              <w:spacing w:after="0"/>
              <w:rPr>
                <w:sz w:val="20"/>
                <w:szCs w:val="20"/>
                <w:color w:val="auto"/>
              </w:rPr>
            </w:pPr>
            <w:r>
              <w:rPr>
                <w:rFonts w:ascii="Arial" w:cs="Arial" w:eastAsia="Arial" w:hAnsi="Arial"/>
                <w:sz w:val="18"/>
                <w:szCs w:val="18"/>
                <w:color w:val="auto"/>
              </w:rPr>
              <w:t>Date: November 6, 2017</w:t>
            </w:r>
          </w:p>
        </w:tc>
      </w:tr>
      <w:tr>
        <w:trPr>
          <w:trHeight w:val="682"/>
        </w:trPr>
        <w:tc>
          <w:tcPr>
            <w:tcW w:w="38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Raymond Ming Hui Lin, certify that:</w:t>
      </w:r>
    </w:p>
    <w:p>
      <w:pPr>
        <w:spacing w:after="0" w:line="225"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20" w:hanging="328"/>
        <w:spacing w:after="0" w:line="308" w:lineRule="auto"/>
        <w:tabs>
          <w:tab w:leader="none" w:pos="6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Date: September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7561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Tian van Acken, certify that:</w:t>
      </w:r>
    </w:p>
    <w:p>
      <w:pPr>
        <w:spacing w:after="0" w:line="225"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20" w:hanging="328"/>
        <w:spacing w:after="0" w:line="308" w:lineRule="auto"/>
        <w:tabs>
          <w:tab w:leader="none" w:pos="6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Date: September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Tian van 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Tian van Acken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2018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5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September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September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Tian van 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Tian van Acken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67430" cy="668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35674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333-226110) and Form F-1 (No. 333-223956) of CLPS Incorporation (the “Company”) as of our report dated September 25, 2018, relating to our audit of the consolidated financial statements, which appears in this Annual Report on Form 20-F of the Company for the year ended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280035</wp:posOffset>
            </wp:positionV>
            <wp:extent cx="5231130" cy="514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5231130" cy="51435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1."/>
      <w:numFmt w:val="upperLetter"/>
      <w:start w:val="1"/>
    </w:lvl>
  </w:abstractNum>
  <w:abstractNum w:abstractNumId="5">
    <w:nsid w:val="2F305DEF"/>
    <w:multiLevelType w:val="hybridMultilevel"/>
    <w:lvl w:ilvl="0">
      <w:lvlJc w:val="left"/>
      <w:lvlText w:val="(%1)"/>
      <w:numFmt w:val="decimal"/>
      <w:start w:val="1"/>
    </w:lvl>
  </w:abstractNum>
  <w:abstractNum w:abstractNumId="6">
    <w:nsid w:val="25A70BF7"/>
    <w:multiLevelType w:val="hybridMultilevel"/>
    <w:lvl w:ilvl="0">
      <w:lvlJc w:val="left"/>
      <w:lvlText w:val="%1."/>
      <w:numFmt w:val="upperLetter"/>
      <w:start w:val="3"/>
    </w:lvl>
  </w:abstractNum>
  <w:abstractNum w:abstractNumId="7">
    <w:nsid w:val="1DBABF00"/>
    <w:multiLevelType w:val="hybridMultilevel"/>
    <w:lvl w:ilvl="0">
      <w:lvlJc w:val="left"/>
      <w:lvlText w:val="%1."/>
      <w:numFmt w:val="upperLetter"/>
      <w:start w:val="4"/>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1)"/>
      <w:numFmt w:val="decimal"/>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1."/>
      <w:numFmt w:val="upperLetter"/>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1."/>
      <w:numFmt w:val="upperLetter"/>
      <w:start w:val="2"/>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1."/>
      <w:numFmt w:val="decimal"/>
      <w:start w:val="1"/>
    </w:lvl>
  </w:abstractNum>
  <w:abstractNum w:abstractNumId="33">
    <w:nsid w:val="1A32234B"/>
    <w:multiLevelType w:val="hybridMultilevel"/>
    <w:lvl w:ilvl="0">
      <w:lvlJc w:val="left"/>
      <w:lvlText w:val="%1."/>
      <w:numFmt w:val="upperLetter"/>
      <w:start w:val="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amp;"/>
      <w:numFmt w:val="bullet"/>
      <w:start w:val="1"/>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1."/>
      <w:numFmt w:val="upperLetter"/>
      <w:start w:val="3"/>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1."/>
      <w:numFmt w:val="upperLetter"/>
      <w:start w:val="4"/>
    </w:lvl>
  </w:abstractNum>
  <w:abstractNum w:abstractNumId="44">
    <w:nsid w:val="7FB7E0AA"/>
    <w:multiLevelType w:val="hybridMultilevel"/>
    <w:lvl w:ilvl="0">
      <w:lvlJc w:val="left"/>
      <w:lvlText w:val="%1."/>
      <w:numFmt w:val="upperLetter"/>
      <w:start w:val="5"/>
    </w:lvl>
  </w:abstractNum>
  <w:abstractNum w:abstractNumId="45">
    <w:nsid w:val="6EB5BD4"/>
    <w:multiLevelType w:val="hybridMultilevel"/>
    <w:lvl w:ilvl="0">
      <w:lvlJc w:val="left"/>
      <w:lvlText w:val="%1."/>
      <w:numFmt w:val="upperLetter"/>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1."/>
      <w:numFmt w:val="upperLetter"/>
      <w:start w:val="2"/>
    </w:lvl>
  </w:abstractNum>
  <w:abstractNum w:abstractNumId="49">
    <w:nsid w:val="76272110"/>
    <w:multiLevelType w:val="hybridMultilevel"/>
    <w:lvl w:ilvl="0">
      <w:lvlJc w:val="left"/>
      <w:lvlText w:val="(%1)"/>
      <w:numFmt w:val="lowerRoman"/>
      <w:start w:val="1"/>
    </w:lvl>
  </w:abstractNum>
  <w:abstractNum w:abstractNumId="50">
    <w:nsid w:val="4C04A8AF"/>
    <w:multiLevelType w:val="hybridMultilevel"/>
    <w:lvl w:ilvl="0">
      <w:lvlJc w:val="left"/>
      <w:lvlText w:val="%1."/>
      <w:numFmt w:val="upperLetter"/>
      <w:start w:val="3"/>
    </w:lvl>
  </w:abstractNum>
  <w:abstractNum w:abstractNumId="51">
    <w:nsid w:val="1716703B"/>
    <w:multiLevelType w:val="hybridMultilevel"/>
    <w:lvl w:ilvl="0">
      <w:lvlJc w:val="left"/>
      <w:lvlText w:val="%1."/>
      <w:numFmt w:val="upperLetter"/>
      <w:start w:val="1"/>
    </w:lvl>
  </w:abstractNum>
  <w:abstractNum w:abstractNumId="52">
    <w:nsid w:val="14E17E33"/>
    <w:multiLevelType w:val="hybridMultilevel"/>
    <w:lvl w:ilvl="0">
      <w:lvlJc w:val="left"/>
      <w:lvlText w:val="%1."/>
      <w:numFmt w:val="upperLetter"/>
      <w:start w:val="2"/>
    </w:lvl>
  </w:abstractNum>
  <w:abstractNum w:abstractNumId="53">
    <w:nsid w:val="3222E7CD"/>
    <w:multiLevelType w:val="hybridMultilevel"/>
    <w:lvl w:ilvl="0">
      <w:lvlJc w:val="left"/>
      <w:lvlText w:val="%1."/>
      <w:numFmt w:val="upperLetter"/>
      <w:start w:val="1"/>
    </w:lvl>
  </w:abstractNum>
  <w:abstractNum w:abstractNumId="54">
    <w:nsid w:val="74DE0EE3"/>
    <w:multiLevelType w:val="hybridMultilevel"/>
    <w:lvl w:ilvl="0">
      <w:lvlJc w:val="left"/>
      <w:lvlText w:val="%1."/>
      <w:numFmt w:val="upperLetter"/>
      <w:start w:val="2"/>
    </w:lvl>
  </w:abstractNum>
  <w:abstractNum w:abstractNumId="55">
    <w:nsid w:val="68EBC550"/>
    <w:multiLevelType w:val="hybridMultilevel"/>
    <w:lvl w:ilvl="0">
      <w:lvlJc w:val="left"/>
      <w:lvlText w:val="%1."/>
      <w:numFmt w:val="upperLetter"/>
      <w:start w:val="3"/>
    </w:lvl>
  </w:abstractNum>
  <w:abstractNum w:abstractNumId="56">
    <w:nsid w:val="2DF6D648"/>
    <w:multiLevelType w:val="hybridMultilevel"/>
    <w:lvl w:ilvl="0">
      <w:lvlJc w:val="left"/>
      <w:lvlText w:val="%1."/>
      <w:numFmt w:val="upperLetter"/>
      <w:start w:val="4"/>
    </w:lvl>
  </w:abstractNum>
  <w:abstractNum w:abstractNumId="57">
    <w:nsid w:val="46B7D447"/>
    <w:multiLevelType w:val="hybridMultilevel"/>
    <w:lvl w:ilvl="0">
      <w:lvlJc w:val="left"/>
      <w:lvlText w:val="%1."/>
      <w:numFmt w:val="upperLetter"/>
      <w:start w:val="5"/>
    </w:lvl>
  </w:abstractNum>
  <w:abstractNum w:abstractNumId="58">
    <w:nsid w:val="4A2AC315"/>
    <w:multiLevelType w:val="hybridMultilevel"/>
    <w:lvl w:ilvl="0">
      <w:lvlJc w:val="left"/>
      <w:lvlText w:val="%1."/>
      <w:numFmt w:val="upperLetter"/>
      <w:start w:val="6"/>
    </w:lvl>
  </w:abstractNum>
  <w:abstractNum w:abstractNumId="59">
    <w:nsid w:val="39EE015C"/>
    <w:multiLevelType w:val="hybridMultilevel"/>
    <w:lvl w:ilvl="0">
      <w:lvlJc w:val="left"/>
      <w:lvlText w:val="%1."/>
      <w:numFmt w:val="upperLetter"/>
      <w:start w:val="1"/>
    </w:lvl>
  </w:abstractNum>
  <w:abstractNum w:abstractNumId="60">
    <w:nsid w:val="57FC4FBB"/>
    <w:multiLevelType w:val="hybridMultilevel"/>
    <w:lvl w:ilvl="0">
      <w:lvlJc w:val="left"/>
      <w:lvlText w:val="%1."/>
      <w:numFmt w:val="upperLetter"/>
      <w:start w:val="2"/>
    </w:lvl>
  </w:abstractNum>
  <w:abstractNum w:abstractNumId="61">
    <w:nsid w:val="CC1016F"/>
    <w:multiLevelType w:val="hybridMultilevel"/>
    <w:lvl w:ilvl="0">
      <w:lvlJc w:val="left"/>
      <w:lvlText w:val="%1."/>
      <w:numFmt w:val="upperLetter"/>
      <w:start w:val="3"/>
    </w:lvl>
  </w:abstractNum>
  <w:abstractNum w:abstractNumId="62">
    <w:nsid w:val="43F18422"/>
    <w:multiLevelType w:val="hybridMultilevel"/>
    <w:lvl w:ilvl="0">
      <w:lvlJc w:val="left"/>
      <w:lvlText w:val="%1."/>
      <w:numFmt w:val="upperLetter"/>
      <w:start w:val="4"/>
    </w:lvl>
  </w:abstractNum>
  <w:abstractNum w:abstractNumId="63">
    <w:nsid w:val="60EF0119"/>
    <w:multiLevelType w:val="hybridMultilevel"/>
    <w:lvl w:ilvl="0">
      <w:lvlJc w:val="left"/>
      <w:lvlText w:val="%1."/>
      <w:numFmt w:val="upperLetter"/>
      <w:start w:val="5"/>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1."/>
      <w:numFmt w:val="upperLetter"/>
      <w:start w:val="6"/>
    </w:lvl>
  </w:abstractNum>
  <w:abstractNum w:abstractNumId="71">
    <w:nsid w:val="5FB8011C"/>
    <w:multiLevelType w:val="hybridMultilevel"/>
    <w:lvl w:ilvl="0">
      <w:lvlJc w:val="left"/>
      <w:lvlText w:val="%1."/>
      <w:numFmt w:val="upperLetter"/>
      <w:start w:val="7"/>
    </w:lvl>
  </w:abstractNum>
  <w:abstractNum w:abstractNumId="72">
    <w:nsid w:val="6AA78F7F"/>
    <w:multiLevelType w:val="hybridMultilevel"/>
    <w:lvl w:ilvl="0">
      <w:lvlJc w:val="left"/>
      <w:lvlText w:val="%1."/>
      <w:numFmt w:val="upperLetter"/>
      <w:start w:val="8"/>
    </w:lvl>
  </w:abstractNum>
  <w:abstractNum w:abstractNumId="73">
    <w:nsid w:val="7672BD23"/>
    <w:multiLevelType w:val="hybridMultilevel"/>
    <w:lvl w:ilvl="0">
      <w:lvlJc w:val="left"/>
      <w:lvlText w:val="%1."/>
      <w:numFmt w:val="upperLetter"/>
      <w:start w:val="9"/>
    </w:lvl>
  </w:abstractNum>
  <w:abstractNum w:abstractNumId="74">
    <w:nsid w:val="6FC75AF8"/>
    <w:multiLevelType w:val="hybridMultilevel"/>
    <w:lvl w:ilvl="0">
      <w:lvlJc w:val="left"/>
      <w:lvlText w:val="\emdash "/>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1."/>
      <w:numFmt w:val="decimal"/>
      <w:start w:val="1"/>
    </w:lvl>
  </w:abstractNum>
  <w:abstractNum w:abstractNumId="78">
    <w:nsid w:val="73A1821B"/>
    <w:multiLevelType w:val="hybridMultilevel"/>
    <w:lvl w:ilvl="0">
      <w:lvlJc w:val="left"/>
      <w:lvlText w:val="(%1)"/>
      <w:numFmt w:val="lowerRoman"/>
      <w:start w:val="3"/>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1)"/>
      <w:numFmt w:val="lowerLetter"/>
      <w:start w:val="1"/>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1)"/>
      <w:numFmt w:val="lowerRoman"/>
      <w:start w:val="1"/>
    </w:lvl>
  </w:abstractNum>
  <w:abstractNum w:abstractNumId="88">
    <w:nsid w:val="5092CA79"/>
    <w:multiLevelType w:val="hybridMultilevel"/>
    <w:lvl w:ilvl="0">
      <w:lvlJc w:val="left"/>
      <w:lvlText w:val="(%1)"/>
      <w:numFmt w:val="lowerRoman"/>
      <w:start w:val="2"/>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6"/>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1."/>
      <w:numFmt w:val="decimal"/>
      <w:start w:val="7"/>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decimal"/>
      <w:start w:val="6"/>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2"/>
    </w:lvl>
  </w:abstractNum>
  <w:abstractNum w:abstractNumId="99">
    <w:nsid w:val="7C58FD05"/>
    <w:multiLevelType w:val="hybridMultilevel"/>
    <w:lvl w:ilvl="0">
      <w:lvlJc w:val="left"/>
      <w:lvlText w:val="%1."/>
      <w:numFmt w:val="decimal"/>
      <w:start w:val="1"/>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1."/>
      <w:numFmt w:val="decimal"/>
      <w:start w:val="1"/>
    </w:lvl>
  </w:abstractNum>
  <w:abstractNum w:abstractNumId="102">
    <w:nsid w:val="5C10FE21"/>
    <w:multiLevelType w:val="hybridMultilevel"/>
    <w:lvl w:ilvl="0">
      <w:lvlJc w:val="left"/>
      <w:lvlText w:val="%1."/>
      <w:numFmt w:val="decimal"/>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1)"/>
      <w:numFmt w:val="decimal"/>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decimal"/>
      <w:start w:val="1"/>
    </w:lvl>
  </w:abstractNum>
  <w:abstractNum w:abstractNumId="109">
    <w:nsid w:val="6C80EC70"/>
    <w:multiLevelType w:val="hybridMultilevel"/>
    <w:lvl w:ilvl="0">
      <w:lvlJc w:val="left"/>
      <w:lvlText w:val="(%1)"/>
      <w:numFmt w:val="decimal"/>
      <w:start w:val="2"/>
    </w:lvl>
  </w:abstractNum>
  <w:abstractNum w:abstractNumId="110">
    <w:nsid w:val="379E21B5"/>
    <w:multiLevelType w:val="hybridMultilevel"/>
    <w:lvl w:ilvl="0">
      <w:lvlJc w:val="left"/>
      <w:lvlText w:val="(%1)"/>
      <w:numFmt w:val="decimal"/>
      <w:start w:val="17"/>
    </w:lvl>
    <w:lvl w:ilvl="1">
      <w:lvlJc w:val="left"/>
      <w:lvlText w:val="(%2)"/>
      <w:numFmt w:val="decimal"/>
      <w:start w:val="18"/>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①"/>
      <w:numFmt w:val="bullet"/>
      <w:start w:val="1"/>
    </w:lvl>
  </w:abstractNum>
  <w:abstractNum w:abstractNumId="114">
    <w:nsid w:val="6AA7B75C"/>
    <w:multiLevelType w:val="hybridMultilevel"/>
    <w:lvl w:ilvl="0">
      <w:lvlJc w:val="left"/>
      <w:lvlText w:val="②"/>
      <w:numFmt w:val="bullet"/>
      <w:start w:val="1"/>
    </w:lvl>
  </w:abstractNum>
  <w:abstractNum w:abstractNumId="115">
    <w:nsid w:val="1DF029D3"/>
    <w:multiLevelType w:val="hybridMultilevel"/>
    <w:lvl w:ilvl="0">
      <w:lvlJc w:val="left"/>
      <w:lvlText w:val="③"/>
      <w:numFmt w:val="bullet"/>
      <w:start w:val="1"/>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1)"/>
      <w:numFmt w:val="decimal"/>
      <w:start w:val="4"/>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1)"/>
      <w:numFmt w:val="decimal"/>
      <w:start w:val="1"/>
    </w:lvl>
  </w:abstractNum>
  <w:abstractNum w:abstractNumId="121">
    <w:nsid w:val="175DFCF0"/>
    <w:multiLevelType w:val="hybridMultilevel"/>
    <w:lvl w:ilvl="0">
      <w:lvlJc w:val="left"/>
      <w:lvlText w:val="(%1)"/>
      <w:numFmt w:val="decimal"/>
      <w:start w:val="1"/>
    </w:lvl>
  </w:abstractNum>
  <w:abstractNum w:abstractNumId="122">
    <w:nsid w:val="4F97E3E4"/>
    <w:multiLevelType w:val="hybridMultilevel"/>
    <w:lvl w:ilvl="0">
      <w:lvlJc w:val="left"/>
      <w:lvlText w:val="%1."/>
      <w:numFmt w:val="decimal"/>
      <w:start w:val="1"/>
    </w:lvl>
    <w:lvl w:ilvl="1">
      <w:lvlJc w:val="left"/>
      <w:lvlText w:val="%2."/>
      <w:numFmt w:val="lowerLetter"/>
      <w:start w:val="1"/>
    </w:lvl>
  </w:abstractNum>
  <w:abstractNum w:abstractNumId="123">
    <w:nsid w:val="53B0A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jpeg"/><Relationship Id="rId228" Type="http://schemas.openxmlformats.org/officeDocument/2006/relationships/image" Target="media/image202.jpe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jpeg"/><Relationship Id="rId257" Type="http://schemas.openxmlformats.org/officeDocument/2006/relationships/image" Target="media/image231.jpeg"/><Relationship Id="rId258" Type="http://schemas.openxmlformats.org/officeDocument/2006/relationships/image" Target="media/image232.jpeg"/><Relationship Id="rId259" Type="http://schemas.openxmlformats.org/officeDocument/2006/relationships/image" Target="media/image233.jpe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jpeg"/><Relationship Id="rId265" Type="http://schemas.openxmlformats.org/officeDocument/2006/relationships/image" Target="media/image239.jpeg"/><Relationship Id="rId169" Type="http://schemas.openxmlformats.org/officeDocument/2006/relationships/hyperlink" Target="http://www.sec.gov/Archives/edgar/data/1724542/000121390018006558/ff12018a2ex1-1_clpsinc.htm" TargetMode="External"/><Relationship Id="rId170" Type="http://schemas.openxmlformats.org/officeDocument/2006/relationships/hyperlink" Target="http://www.sec.gov/Archives/edgar/data/1724542/000121390018003524/ff12018ex3-1_clpsincorp.htm" TargetMode="External"/><Relationship Id="rId171" Type="http://schemas.openxmlformats.org/officeDocument/2006/relationships/hyperlink" Target="http://www.sec.gov/Archives/edgar/data/1724542/000121390018003524/ff12018ex4-1_clpsincorp.htm" TargetMode="External"/><Relationship Id="rId172" Type="http://schemas.openxmlformats.org/officeDocument/2006/relationships/hyperlink" Target="http://www.sec.gov/Archives/edgar/data/1724542/000121390018003524/ff12018ex10-1_clpsincorp.htm" TargetMode="External"/><Relationship Id="rId173" Type="http://schemas.openxmlformats.org/officeDocument/2006/relationships/hyperlink" Target="http://www.sec.gov/Archives/edgar/data/1724542/000121390018003524/ff12018ex10-2_clpsincorp.htm" TargetMode="External"/><Relationship Id="rId174" Type="http://schemas.openxmlformats.org/officeDocument/2006/relationships/hyperlink" Target="http://www.sec.gov/Archives/edgar/data/1724542/000121390018003524/ff12018ex10-3_clpsincorp.htm" TargetMode="External"/><Relationship Id="rId175" Type="http://schemas.openxmlformats.org/officeDocument/2006/relationships/hyperlink" Target="http://www.sec.gov/Archives/edgar/data/1724542/000121390018003524/ff12018ex10-4_clpsincorp.htm" TargetMode="External"/><Relationship Id="rId176" Type="http://schemas.openxmlformats.org/officeDocument/2006/relationships/hyperlink" Target="http://www.sec.gov/Archives/edgar/data/1724542/000121390018003524/ff12018ex10-5_clpsincorp.htm" TargetMode="External"/><Relationship Id="rId177" Type="http://schemas.openxmlformats.org/officeDocument/2006/relationships/hyperlink" Target="http://www.sec.gov/Archives/edgar/data/1724542/000121390018003524/ff12018ex10-6_clpsincorp.htm" TargetMode="External"/><Relationship Id="rId178" Type="http://schemas.openxmlformats.org/officeDocument/2006/relationships/hyperlink" Target="http://www.sec.gov/Archives/edgar/data/1724542/000121390018003524/ff12018ex10-7_clpsincorp.htm" TargetMode="External"/><Relationship Id="rId179" Type="http://schemas.openxmlformats.org/officeDocument/2006/relationships/hyperlink" Target="http://www.sec.gov/Archives/edgar/data/1724542/000121390018003524/ff12018ex10-8_clpsincorp.htm" TargetMode="External"/><Relationship Id="rId180" Type="http://schemas.openxmlformats.org/officeDocument/2006/relationships/hyperlink" Target="http://www.sec.gov/Archives/edgar/data/1724542/000121390018006558/ff12018a2ex10-9_clpsinc.htm" TargetMode="External"/><Relationship Id="rId181" Type="http://schemas.openxmlformats.org/officeDocument/2006/relationships/hyperlink" Target="http://www.sec.gov/Archives/edgar/data/1724542/000121390018006558/ff12018a2ex10-10_clpsinc.htm" TargetMode="External"/><Relationship Id="rId182" Type="http://schemas.openxmlformats.org/officeDocument/2006/relationships/hyperlink" Target="http://www.sec.gov/Archives/edgar/data/1724542/000121390018006558/ff12018a2ex10-11_clpsinc.htm" TargetMode="External"/><Relationship Id="rId183" Type="http://schemas.openxmlformats.org/officeDocument/2006/relationships/hyperlink" Target="http://www.sec.gov/Archives/edgar/data/1724542/000121390018003524/ff12018ex14-1_clpsincorp.htm" TargetMode="External"/><Relationship Id="rId184" Type="http://schemas.openxmlformats.org/officeDocument/2006/relationships/hyperlink" Target="http://www.sec.gov/Archives/edgar/data/1724542/000121390018003524/ff12018ex21-1_clpsincorp.htm" TargetMode="External"/><Relationship Id="rId185" Type="http://schemas.openxmlformats.org/officeDocument/2006/relationships/hyperlink" Target="http://www.sec.gov/Archives/edgar/data/1724542/000121390018003524/ff12018ex99-1_clpsincorp.htm" TargetMode="External"/><Relationship Id="rId186" Type="http://schemas.openxmlformats.org/officeDocument/2006/relationships/hyperlink" Target="http://www.sec.gov/Archives/edgar/data/1724542/000121390018003524/ff12018ex99-2_clpsincorp.htm" TargetMode="External"/><Relationship Id="rId187"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2019-12-08T17:51:25Z</dcterms:created>
  <dcterms:modified xsi:type="dcterms:W3CDTF">2019-12-08T17:51:25Z</dcterms:modified>
</cp:coreProperties>
</file>