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June 2021</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001-38505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Unit 1102, 11th Floor, Millennium City III, 370 Kwun Tong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Kwun Tong, Kowloon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7, 2021, CLPS Incorporation (the “Company”), a company incorporated in the Cayman Islands, acting under an earlier resolution of its Board of Directors, through its wholly-owned subsidiary, entered into an agreement to acquire the real property located at Unit 1B on the 11th Floor of Millennium City 3 at 370 Kwun Tong Road in Kowloon, Hong Kong SAR, for a consideration of US$3,860,000, which has been and will continue to be used as the Company’s global headquarters.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Report, including the exhibit, shall not be deemed to be “filed” for the purposes of Section 18 of the Securities Exchange Act of 1934, as amended, or otherwise subject to the liabilities of that Section. It shall not be deemed incorporated by reference in any filing under the Securities Act of 1933, as amended, except as shall be expressly set forth by specific reference in such a filing.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5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36"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Name:</w:t>
        <w:tab/>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-130175</wp:posOffset>
            </wp:positionV>
            <wp:extent cx="2417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7" w:lineRule="exact"/>
        <w:rPr>
          <w:sz w:val="20"/>
          <w:szCs w:val="20"/>
          <w:color w:val="auto"/>
        </w:rPr>
      </w:pPr>
    </w:p>
    <w:p>
      <w:pPr>
        <w:ind w:left="67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June 17,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2021-06-17T07:31:43Z</dcterms:created>
  <dcterms:modified xsi:type="dcterms:W3CDTF">2021-06-17T07:31:43Z</dcterms:modified>
</cp:coreProperties>
</file>