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PURSUANT </w:t>
      </w:r>
      <w:r>
        <w:rPr>
          <w:rFonts w:ascii="Arial" w:cs="Arial" w:eastAsia="Arial" w:hAnsi="Arial"/>
          <w:sz w:val="18"/>
          <w:szCs w:val="18"/>
          <w:color w:val="auto"/>
        </w:rPr>
        <w:t>TO</w:t>
      </w:r>
      <w:r>
        <w:rPr>
          <w:rFonts w:ascii="Arial" w:cs="Arial" w:eastAsia="Arial" w:hAnsi="Arial"/>
          <w:sz w:val="18"/>
          <w:szCs w:val="18"/>
          <w:b w:val="1"/>
          <w:bCs w:val="1"/>
          <w:color w:val="auto"/>
        </w:rPr>
        <w:t xml:space="preserve">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March 2021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001-38505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Unit 702, 7th Floor, Millennium City II</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378 Kwun Tong Road, Kwun Tong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Kowloon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19"/>
        <w:spacing w:after="0" w:line="207" w:lineRule="exact"/>
        <w:tabs>
          <w:tab w:leader="none" w:pos="2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tabs>
          <w:tab w:leader="none" w:pos="3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Information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March 5, 2021, CLPS Inc. (the “Company”) issued a press release announcing its financial results for the six months ended December 31, 2020, or the first half of the Company’s fiscal year 2021. A copy of this press release is filed as Exhibit 99.1 to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Ming Hui Lin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 Reports Financial Results for the First Half of Fiscal Year 2021</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Hong Kong, March 5, 2021 /PRNewswire/ -- CLPS Incorporation (the “Company” or “CLPS”) (Nasdaq: CLPS), today announced its unaudited financial results for the six months ended December 31, 2020, or the first half of the Company’s fiscal year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Half of Fiscal 2021 Highlights (all results compared to the six months ended December 31, 2019)</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increased by 37.0% to $58.3 million from $42.6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income increased by 213.5% to $3.9 million from $1.2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increased by 114.9% to $4.9 million from $2.3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attributable to CLPS Incorporation’s shareholders increased by 105.2% to $4.9 million from $2.4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Basic and diluted earnings per share was $0.30 compared to $0.17 basic and diluted earnings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operating activities increased by 66.2% to $9.4 million from $5.7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Non-GAAP net income guidance for the fiscal year 2021 was adjusted upwards to 60%-65% from 32%-37%.</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Raymond Lin, Co-Founder and Chief Executive Officer of CLPS, commented, “We have taken extreme but decisive actions and showed highly resilient operational delivery while prioritizing our people and clients during the pandemic. As a professional IT services provider, we stood abreast with our clients to enable and speed up digital transformation ensuring uninterrupted business operations.”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growth strategy continued to prove its value, enabling us to pivot with agility in this challenging moment. During the period, we have done well in gaining more overseas and domestic clients within our core industry scope. We maintained strong relationship with our existing clients, which resulted to a 98% client retention rate. In addition, we further advanced our mergers and acquisition efforts both domestically and overseas. Our acquisition of the remaining 20% ownership stake in Ridik enabled us to expand our footprint not only in Singapore, but also to its neighboring countries in the Southeast Asia and Asia Pacific regions. In our commitment to sustain a sufficient supply of IT talents, we launched training programs in partnership with educational institutions and non-profit organization in Hong Kong. On top of our annual internship training program, CLPS Academy, the Company’s training arm, has successfully carried out its second wave of Global Fintech Internship Program. It aims to introduce fresh talents with up-to-date knowledge and skills in global fintech industry perspective, thus meeting the talent demand from our top tier and global client base.”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am pleased with the solid level of stability and momentum we achieved during the first half of fiscal 2021.I would like to extend my gratitude to our staff, clients, partners, and shareholders for your continued support particularly during this challenging time. We attribute our success to you for your trust and confidence in the Company.”</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Ms. Rui Yang, Chief Financial Officer of CLPS, commented, “CLPS ended the first half of fiscal year 2021 financial results on a solid note. We delivered total revenue of $58.3 million, a sustained growth of 37.0% year-over-year. Our operating income and net income increased by triple digits year-over-year by 213.5% and 114.9%, respectively, due to the positive effects of the Company’s economies of scale. Our GAAP and non-GAAP basic and diluted earnings per share were $0.30 and $0.39, respectively. As a result of strong demand for IT services from our growing network of clients and enhanced operational efficiency, our non-GAAP net income guidance was adjusted upwards to 60%-65% from 32%-37% for the fiscal 2021. Looking forward, we remain focus and optimistic that our streamlined growth strategy will put us on a firm footing to reach our business goal for the remainder of fiscal 2021.”</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First Half of Fiscal Year 2021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first half of fiscal 2021, revenues increased by $15.7 million, or 37.0%, to $58.3 million from $42.6 million in the prior year period. This increase in revenue was mainly due to an increase in revenue from IT consulting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Service</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from IT consulting services increased by $15.5 million, or 37.2%, to $57.1 million and accounted for 97.8% of total revenue in the first half of fiscal 2021 from $41.6 million, or 97.7% of total revenue, in the same period of the previous year. The increase was primarily due to increased demand from existing and new clients. For the six months ended December 31, 2020 and 2019, 41.0% and 41.3% of IT consulting services revenue were from international banks, respectively.</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from customized IT solution services increased by $0.4 million, or 51.1%, to $1.1 million and accounted for 1.8% of total revenue in the first half of fiscal 2021 from $0.7 million, or 1.6% of total revenue. The increase was primarily due to increased demand from existing clients in the banking and wealth management areas.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from other services decreased by $0.1 million, or 25.3%, to $0.2 million and accounted for 0.3% of total revenue in the first half of fiscal year 2021 from $0.3 million, or 0.6% of total revenue in the same period of the previous year. The decrease was primarily due to decreased demand for other services, including headhunting service.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Operational Areas</w:t>
      </w:r>
    </w:p>
    <w:p>
      <w:pPr>
        <w:spacing w:after="0" w:line="225" w:lineRule="exact"/>
        <w:rPr>
          <w:sz w:val="20"/>
          <w:szCs w:val="20"/>
          <w:color w:val="auto"/>
        </w:rPr>
      </w:pPr>
    </w:p>
    <w:p>
      <w:pPr>
        <w:jc w:val="both"/>
        <w:ind w:left="660" w:right="20" w:hanging="323"/>
        <w:spacing w:after="0" w:line="308" w:lineRule="auto"/>
        <w:rPr>
          <w:sz w:val="20"/>
          <w:szCs w:val="20"/>
          <w:color w:val="auto"/>
        </w:rPr>
      </w:pPr>
      <w:r>
        <w:rPr>
          <w:rFonts w:ascii="Arial" w:cs="Arial" w:eastAsia="Arial" w:hAnsi="Arial"/>
          <w:sz w:val="17"/>
          <w:szCs w:val="17"/>
          <w:color w:val="auto"/>
        </w:rPr>
        <w:t>Revenue from banking area increased by $7.1 million, or 33.1% to $28.7 million in the first half of fiscal 2021, from $21.6 million in the prior year period. Revenue from banking area accounted for 49.3% and 50.7% of total revenues in the first half of fiscal 2021 and 2020, respectively.</w:t>
      </w:r>
    </w:p>
    <w:p>
      <w:pPr>
        <w:spacing w:after="0" w:line="146" w:lineRule="exact"/>
        <w:rPr>
          <w:sz w:val="20"/>
          <w:szCs w:val="20"/>
          <w:color w:val="auto"/>
        </w:rPr>
      </w:pPr>
    </w:p>
    <w:p>
      <w:pPr>
        <w:jc w:val="both"/>
        <w:ind w:left="660" w:hanging="323"/>
        <w:spacing w:after="0" w:line="263" w:lineRule="auto"/>
        <w:rPr>
          <w:sz w:val="20"/>
          <w:szCs w:val="20"/>
          <w:color w:val="auto"/>
        </w:rPr>
      </w:pPr>
      <w:r>
        <w:rPr>
          <w:rFonts w:ascii="Arial" w:cs="Arial" w:eastAsia="Arial" w:hAnsi="Arial"/>
          <w:sz w:val="18"/>
          <w:szCs w:val="18"/>
          <w:color w:val="auto"/>
        </w:rPr>
        <w:t>Revenue from wealth management area increased by $2.0 million, or 21.8% to $11.4 million in the first half of fiscal 2021, from $9.4 million in the prior year period. Revenue from wealth management area accounted for 19.6% and 22.0% of total revenues in the first half of fiscal 2021 and 2020, respectively.</w:t>
      </w:r>
    </w:p>
    <w:p>
      <w:pPr>
        <w:spacing w:after="0" w:line="184" w:lineRule="exact"/>
        <w:rPr>
          <w:sz w:val="20"/>
          <w:szCs w:val="20"/>
          <w:color w:val="auto"/>
        </w:rPr>
      </w:pPr>
    </w:p>
    <w:p>
      <w:pPr>
        <w:jc w:val="both"/>
        <w:ind w:left="660" w:hanging="323"/>
        <w:spacing w:after="0" w:line="342" w:lineRule="auto"/>
        <w:rPr>
          <w:sz w:val="20"/>
          <w:szCs w:val="20"/>
          <w:color w:val="auto"/>
        </w:rPr>
      </w:pPr>
      <w:r>
        <w:rPr>
          <w:rFonts w:ascii="Arial" w:cs="Arial" w:eastAsia="Arial" w:hAnsi="Arial"/>
          <w:sz w:val="16"/>
          <w:szCs w:val="16"/>
          <w:color w:val="auto"/>
        </w:rPr>
        <w:t>Revenue from e-Commerce area increased by $2.3 million, or 42.0% to $7.7 million in the first half of fiscal 2021, from $5.4 million in the prior year period. Revenue from e-Commerce area accounted for 13.2% and 12.7% of total revenues in the first half of fiscal 2021 and 2020, respectively.</w:t>
      </w:r>
    </w:p>
    <w:p>
      <w:pPr>
        <w:spacing w:after="0" w:line="124" w:lineRule="exact"/>
        <w:rPr>
          <w:sz w:val="20"/>
          <w:szCs w:val="20"/>
          <w:color w:val="auto"/>
        </w:rPr>
      </w:pPr>
    </w:p>
    <w:p>
      <w:pPr>
        <w:jc w:val="both"/>
        <w:ind w:left="660" w:hanging="323"/>
        <w:spacing w:after="0" w:line="308" w:lineRule="auto"/>
        <w:rPr>
          <w:sz w:val="20"/>
          <w:szCs w:val="20"/>
          <w:color w:val="auto"/>
        </w:rPr>
      </w:pPr>
      <w:r>
        <w:rPr>
          <w:rFonts w:ascii="Arial" w:cs="Arial" w:eastAsia="Arial" w:hAnsi="Arial"/>
          <w:sz w:val="17"/>
          <w:szCs w:val="17"/>
          <w:color w:val="auto"/>
        </w:rPr>
        <w:t>Revenue from automotive area increased by $1.5 million, or 72.9% to $3.5 million in the first half of fiscal 2021, from $2.0 million in the prior year period. Revenue from automotive area accounted for 6.0% and 4.7% of total revenues in the first half of fiscal 2021 and 2020,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Revenues by Geography</w:t>
      </w:r>
    </w:p>
    <w:p>
      <w:pPr>
        <w:spacing w:after="0" w:line="225" w:lineRule="exact"/>
        <w:rPr>
          <w:sz w:val="20"/>
          <w:szCs w:val="20"/>
          <w:color w:val="auto"/>
        </w:rPr>
      </w:pPr>
    </w:p>
    <w:p>
      <w:pPr>
        <w:jc w:val="both"/>
        <w:ind w:left="660" w:hanging="283"/>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generated outside of Mainland China increased by 53.9% to $6.6 million in the first half of fiscal year 2021 from $4.3 million in the same period of the previous year. Revenue generated outside of Mainland China accounted for 11.4% of total revenue compared to 10.1% in the prior year period. The increase in revenue generated outside of Mainland China reflects the Company’s successful and continuous global expansion strategy.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$3.1 million, or 20.2%, to $18.5 million in the first half of fiscal 2021 from $15.4 million in the prior 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Selling and marketing expenses increased by $0.4 million, or 27.7%, to $1.8 million in the first half of fiscal 2021 from $1.4 million in the prior year period due to the increase of salary expenses as new staff were hired, enabling the implementation of the Company’s global expansion strategy. As a percentage of total revenues, selling and marketing expenses decreased to 3.1% in the first half of fiscal 2021 compared to 3.3% in the prior year period. The decrease was primarily due to the increase in operational efficiency as a result of economies of scale brought about by the Company’s global expansion strategy.</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increased by $1.2 million, or 22.7%, to $6.2 million in the first half of fiscal 2021 from $5.0 million in the prior year period. The increase was primarily due to the increased research and development personnel related expenses which enables the Company’s continued R&amp;D efforts in big data, cloud computing, robotic process automation (RPA) and artificial intelligence (AI). As a percentage of total revenues, research and development expenses decreased to 10.6% in the first half of fiscal 2021 compared to 11.8% in the prior year period. The decrease was primarily due to the increase in operational efficiency as a result of economies of scale.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decreased by $1.3 million, or 16.1%, to $6.6 million in the first half of fiscal 2021 from $7.9 million in the prior year period. As a percentage of total revenues, general and administrative expenses decreased to 11.4% in the first half of fiscal 2021 compared to 18.6% in the prior year period. The decrease was primarily due to the increase in operational efficiency as result of economies of scale and refined management, and decreased in general and administrative personnel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increased by $2.7 million, or 213.5%, to $3.9 million in the first half of fiscal 2021 from $1.2 million in the same period of the previous year. Operating margin was 6.7% in the first half of fiscal 2021 compared to 2.9% in the prior 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other income, net of other expenses decreased to $1.1 million in the first half of fiscal 2021 from $1.3 million in the prior year period.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 for income taxes decreased by $0.3 million to $0.1 million in the first half of fiscal 2021 from $0.4 million in the same period of the previous year, mainly due to the accrued deferred income tax assets from accumulated losses of the Company’s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EPS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increased by $2.6 million, or 114.9%, to $4.9 million in the first half of fiscal 2021 from $2.3 million in the prior year period. After excluding the impact of non-cash share-based compensation expenses, non-GAAP net income1 increased by $3.0 million, or 91.2%, to $6.4 million in the first half of fiscal 2021 from $3.4 million in the same period of the previous year.</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excluding the impact of non-controlling interests, net income attributable to CLPS Incorporation’s shareholders in the first half of fiscal 2021 was $4.9 million, or $0.30 basic and diluted earnings per share compared to net income attributable to CLPS Incorporation’s shareholders of $2.4 million, or $0.17 basic and diluted earnings per share. After excluding the impact of non-cash share-based compensation expenses, non-GAAP net income attributable to CLPS Incorporation’s shareholders2 in the first half of fiscal 2021 was $6.4 million, or $0.39 basic and diluted earnings per share. This is compared to non-GAAP net income attributable to CLPS Incorporation’s shareholders of $3.4 million, or $0.24 basic and diluted earnings per share, in the prior year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Company had cash and cash equivalents of $26.0 million compared to $12.7 million as of June 30, 2020.</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was approximately $9.4 million. Net cash provided by investing activities was approximately $0.1 million. Net cash provided by financing activities was approximately $2.4 million. The effect of exchange rate change on cash was approximately positive $1.4 million. The Company believes that its current cash position and cash flow from operations are sufficient to meet its anticipated cash needs for at least the next 12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fiscal year 2021, the Company expects, absent material acquisitions or non-recurring transactions, total sales growth in the range of approximately 30% to 35% compared to fiscal year 2020 financial results. The non-GAAP net income growth was adjusted in the range of approximately 60% to 65% from 32% to 37% as previously forecasted in the Company’s second half and full year of fiscal 2020 financial report.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forecast reflects the Company’s current and preliminary views, which are subject to change and are subject to risks and uncertainties, including, but not limited to various risks and uncertainties facing the Company’s business and operations as identified in its public filings.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balance sheet amounts with the exception of equity as of December 31, 2020, were translated at 6.5250 RMB to 1.00 USD compared to 6.9618 RMB to 1.00 USD as of December 31, 2019. The equity accounts were stated at their historical rate. The average translation rates applied to the income statements accounts for the periods ended December 31, 2020 and 2019 were 6.7734 RMB to 1.00 USD and 7.0297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will hold a conference call at 8:30 am ET on March 5, 2021 to discuss first half of fiscal 2021 results. Listeners may access the call by dialing: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U.S. Toll-Free:</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+1-866-575-6539</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U.S. Local /International:</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+1-323-994-2028</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Mainland China:</w:t>
            </w:r>
          </w:p>
        </w:tc>
        <w:tc>
          <w:tcPr>
            <w:tcW w:w="1600" w:type="dxa"/>
            <w:vAlign w:val="bottom"/>
          </w:tcPr>
          <w:p>
            <w:pPr>
              <w:ind w:left="340"/>
              <w:spacing w:after="0"/>
              <w:rPr>
                <w:sz w:val="20"/>
                <w:szCs w:val="20"/>
                <w:color w:val="auto"/>
              </w:rPr>
            </w:pPr>
            <w:r>
              <w:rPr>
                <w:rFonts w:ascii="Arial" w:cs="Arial" w:eastAsia="Arial" w:hAnsi="Arial"/>
                <w:sz w:val="18"/>
                <w:szCs w:val="18"/>
                <w:color w:val="auto"/>
              </w:rPr>
              <w:t>400 120 8590</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Hong Kong:</w:t>
            </w:r>
          </w:p>
        </w:tc>
        <w:tc>
          <w:tcPr>
            <w:tcW w:w="1600" w:type="dxa"/>
            <w:vAlign w:val="bottom"/>
          </w:tcPr>
          <w:p>
            <w:pPr>
              <w:ind w:left="340"/>
              <w:spacing w:after="0"/>
              <w:rPr>
                <w:sz w:val="20"/>
                <w:szCs w:val="20"/>
                <w:color w:val="auto"/>
              </w:rPr>
            </w:pPr>
            <w:r>
              <w:rPr>
                <w:rFonts w:ascii="Arial" w:cs="Arial" w:eastAsia="Arial" w:hAnsi="Arial"/>
                <w:sz w:val="18"/>
                <w:szCs w:val="18"/>
                <w:color w:val="auto"/>
              </w:rPr>
              <w:t>800 961 384</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access the live webcast of the conference call, please visit this link. The live and archived webcast will also be available through the Company’s investor relations website at https://ir.clpsglobal.com.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will be available through March 19, 2021 by dialing: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U.S. Toll-Free:</w:t>
            </w: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+1-844-512-2921</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U.S. Local/International:</w:t>
            </w: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+1-412-317-6671</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Passcode:</w:t>
            </w:r>
          </w:p>
        </w:tc>
        <w:tc>
          <w:tcPr>
            <w:tcW w:w="1620" w:type="dxa"/>
            <w:vAlign w:val="bottom"/>
          </w:tcPr>
          <w:p>
            <w:pPr>
              <w:ind w:left="360"/>
              <w:spacing w:after="0"/>
              <w:rPr>
                <w:sz w:val="20"/>
                <w:szCs w:val="20"/>
                <w:color w:val="auto"/>
              </w:rPr>
            </w:pPr>
            <w:r>
              <w:rPr>
                <w:rFonts w:ascii="Arial" w:cs="Arial" w:eastAsia="Arial" w:hAnsi="Arial"/>
                <w:sz w:val="18"/>
                <w:szCs w:val="18"/>
                <w:color w:val="auto"/>
              </w:rPr>
              <w:t>3139679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CLPS Incorporation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Headquartered in Hong Kong, CLPS Incorporation (the “Company”) (Nasdaq: CLPS) is a global leading information technology (“IT”), consulting and solutions service provider focusing on the banking, insurance and financial sectors. The Company serves as an IT solutions provider to a growing network of clients in the global financial industry, including large financial institutions in the US, Europe, Australia, Southeast Asia and Hong Kong, and their PRC-based IT centers. The Company maintains 19 delivery and/or research &amp; development centers to serve different customers in various geographic locations. Mainland China centers are located in Shanghai, Beijing, Dalian, Tianjin, Baoding, Chengdu, Guangzhou, Shenzhen, Hangzhou, Suzhou and Hainan. The remaining eight global centers are located in Hong Kong SAR, USA, UK, Japan, Singapore, Malaysia, Australia, and India. For further information regarding the Company, please visit: https://ir.clpsglobal.com/, or follow CLPS on Facebook, LinkedIn, and Twitter.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of the statements made in this press release are “forward-looking statements” within the meaning and protections of Section 27A of the Securities Act of 1933, as amended, and Section 21E of the Securities Exchange Act of 1934, as amended. Forward-looking statements include statements with respect to the Company’s beliefs, plans, objectives, goals, expectations, anticipations, assumptions, estimates, intentions, and future performance, and involve known and unknown risks, uncertainties and other factors, which may be beyond the Company’s control, and which may cause the actual results, performance, capital, ownership or achievements of the Company to be materially different from future results, performance or achievements expressed or implied by such forward-looking statements. All such statements attributable to us are expressly qualified in their entirety by this cautionary notice, including, without limitation, those risks and uncertainties related to the Company’s financial and operational performance in the first half of fiscal 2021, its expectations of the Company’s future performance, its preliminary outlook and guidance offered in this presentation, as well as the risks and uncertainties described in the Company’s most recently filed SEC reports and filings. Such reports are available upon request from the Company, or from the Securities and Exchange Commission, including through the SEC’s Internet website at http://www.sec.gov. We have no obligation and do not undertake to update, revise or correct any of the forward-looking statements after the date hereof, or after the respective dates on which any such statements otherwise are made.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unaudited condensed consolidated financial information is prepared in conformity with accounting principles generally accepted in the United States of America (“U.S. GAAP”), except that the consolidated statement of changes in shareholders’ equity, consolidated statements of cash flows, and the detailed notes have not been presented. The Company uses non-GAAP operating income, non-GAAP operating margin, non-GAAP net income attributable to CLPS Incorporation’s shareholders, and basic and diluted non-GAAP net income per share, which are non-GAAP financial measures. Non-GAAP operating income is operating income excluding share-based compensation expenses. Non-GAAP operating margin is non-GAAP operating income as a percentage of revenues. Non-GAAP net income attributable to CLPS Incorporation’s shareholders is net income attributable to CLPS Incorporation’s shareholders excluding share-based compensation expenses. Basic and diluted non-GAAP net income per share is non-GAAP net income attributable to common shareholders divided by weighted average number of shares used in the calculation of basic and diluted net income per share. The Company believes that separate analysis and exclusion of the non-cash impact of share-based compensation expenses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 is useful supplemental information for investors and analysts to assess its operating performance without the effect of non-cash share-based compensation expenses, which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1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presentation of these non-GAAP financial measures is not intended to be considered in isolation from, or as a substitute for, the financial information prepared and presented in accordance with U.S. GAAP. The Company encourages investors to carefully consider its results under GAAP, as well as its supplemental non-GAAP information and the reconciliation between these presentations, to more fully understand its business. For more information on these non-GAAP financial measures, please see the table captioned “Reconciliations of Non-GAAP and GAAP Results” near the end of this release.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Rhon Galicha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Phone: +86-182-2192-5378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ir@clpsglobal.com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ind w:left="340" w:right="20" w:hanging="332"/>
        <w:spacing w:after="0" w:line="194" w:lineRule="auto"/>
        <w:tabs>
          <w:tab w:leader="none" w:pos="34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Non-GAAP net income is a non-GAAP financial measure, which is defined as net income excluding share-based compensation expenses. Please refer to the section titled “Reconciliation of GAAP and Non-GAAP Results” for details.</w:t>
      </w:r>
    </w:p>
    <w:p>
      <w:pPr>
        <w:spacing w:after="0" w:line="202" w:lineRule="exact"/>
        <w:rPr>
          <w:sz w:val="20"/>
          <w:szCs w:val="20"/>
          <w:color w:val="auto"/>
        </w:rPr>
      </w:pPr>
    </w:p>
    <w:p>
      <w:pPr>
        <w:jc w:val="both"/>
        <w:ind w:left="340" w:hanging="332"/>
        <w:spacing w:after="0" w:line="209" w:lineRule="auto"/>
        <w:tabs>
          <w:tab w:leader="none" w:pos="34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Non-GAAP net income attributable to CLPS Incorporation’s shareholders is a non-GAAP financial measure, which is defined as net income attributable to the Company excluding share-based compensation expenses. Please refer to the section titled “Reconciliation of GAAP and Non-GAAP Results” for details.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(Amounts in U.S. dollars (“$”), except for number of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As of</w:t>
            </w:r>
          </w:p>
        </w:tc>
        <w:tc>
          <w:tcPr>
            <w:tcW w:w="16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25,981,167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12,652,120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636,934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31,205,299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25,753,856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Prepayments, deposits and other assets,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1,545,239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1,280,967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884,720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169,185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59,616,425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40,508,842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585,079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452,472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1,202,449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1,144,579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2,234,615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2,118,700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900,091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680,131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537,063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244,387</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448,154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203,247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65,523,876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45,352,358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loans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5,005,402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2,161,239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773,511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489,043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1,626,017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1,426,614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868,222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755,178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19,472,224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11,522,268</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Amount due to related parties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67,918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27,813,294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16,354,342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Long-term bank loans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16,925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22,554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163,163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311,923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194,939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28,285,988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16,734,998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$0.0001 par value, 100,000,000 shares authorized; 16,345,053 shares issued and outstanding as of</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December 31,2020; 15,930,330 shares issued and outstanding as of June 30, 2020; 13,913,201 shares issued and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June 30, 2019. *</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30,081,334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28,586,048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2,954,993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2,803,811</w:t>
            </w: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0"/>
                <w:szCs w:val="20"/>
                <w:color w:val="auto"/>
              </w:rPr>
            </w:pPr>
            <w:r>
              <w:rPr>
                <w:rFonts w:ascii="Arial" w:cs="Arial" w:eastAsia="Arial" w:hAnsi="Arial"/>
                <w:sz w:val="18"/>
                <w:szCs w:val="18"/>
                <w:color w:val="auto"/>
              </w:rPr>
              <w:t>Retained earnings (accumulated deficits)</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2,028,791</w:t>
            </w: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2,680,143)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770,144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1,362,665)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35,836,897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27,348,644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Non-controlling Interests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1,400,991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1,268,716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37,237,888</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28,617,360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65,523,876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45,352,358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The shares and per share data are presented on a retroactive basis to reflect the nominal share issuance.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U.S. dollars (“$”), except for number of shares)</w:t>
      </w:r>
    </w:p>
    <w:p>
      <w:pPr>
        <w:spacing w:after="0" w:line="218" w:lineRule="exact"/>
        <w:rPr>
          <w:sz w:val="20"/>
          <w:szCs w:val="20"/>
          <w:color w:val="auto"/>
        </w:rPr>
      </w:pPr>
    </w:p>
    <w:p>
      <w:pPr>
        <w:jc w:val="center"/>
        <w:ind w:left="8560"/>
        <w:spacing w:after="0"/>
        <w:rPr>
          <w:sz w:val="20"/>
          <w:szCs w:val="20"/>
          <w:color w:val="auto"/>
        </w:rPr>
      </w:pPr>
      <w:r>
        <w:rPr>
          <w:rFonts w:ascii="Arial" w:cs="Arial" w:eastAsia="Arial" w:hAnsi="Arial"/>
          <w:sz w:val="15"/>
          <w:szCs w:val="15"/>
          <w:b w:val="1"/>
          <w:bCs w:val="1"/>
          <w:color w:val="auto"/>
        </w:rPr>
        <w:t>For the six months ended</w:t>
      </w:r>
    </w:p>
    <w:p>
      <w:pPr>
        <w:spacing w:after="0" w:line="62"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9060"/>
        <w:spacing w:after="0"/>
        <w:tabs>
          <w:tab w:leader="none" w:pos="103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17145</wp:posOffset>
            </wp:positionV>
            <wp:extent cx="15601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Cost of revenues (note 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Selling and marketing expenses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Research and development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(note 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Subsidies and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expenses</w:t>
      </w:r>
    </w:p>
    <w:p>
      <w:pPr>
        <w:spacing w:after="0" w:line="251" w:lineRule="exact"/>
        <w:rPr>
          <w:sz w:val="20"/>
          <w:szCs w:val="20"/>
          <w:color w:val="auto"/>
        </w:rPr>
      </w:pPr>
    </w:p>
    <w:p>
      <w:pPr>
        <w:ind w:right="3180"/>
        <w:spacing w:after="0" w:line="266" w:lineRule="auto"/>
        <w:rPr>
          <w:sz w:val="20"/>
          <w:szCs w:val="20"/>
          <w:color w:val="auto"/>
        </w:rPr>
      </w:pPr>
      <w:r>
        <w:rPr>
          <w:rFonts w:ascii="Arial" w:cs="Arial" w:eastAsia="Arial" w:hAnsi="Arial"/>
          <w:sz w:val="18"/>
          <w:szCs w:val="18"/>
          <w:color w:val="auto"/>
        </w:rPr>
        <w:t>Income before income tax and share of income in equity investees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before share of income in equity investees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Share of (loss) income in equity investees,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ind w:right="3140"/>
        <w:spacing w:after="0" w:line="358" w:lineRule="auto"/>
        <w:rPr>
          <w:sz w:val="20"/>
          <w:szCs w:val="20"/>
          <w:color w:val="auto"/>
        </w:rPr>
      </w:pPr>
      <w:r>
        <w:rPr>
          <w:rFonts w:ascii="Arial" w:cs="Arial" w:eastAsia="Arial" w:hAnsi="Arial"/>
          <w:sz w:val="16"/>
          <w:szCs w:val="16"/>
          <w:color w:val="auto"/>
        </w:rPr>
        <w:t xml:space="preserve">Less: Net income (loss) attributable to non-controlling interests </w:t>
      </w:r>
      <w:r>
        <w:rPr>
          <w:rFonts w:ascii="Arial" w:cs="Arial" w:eastAsia="Arial" w:hAnsi="Arial"/>
          <w:sz w:val="16"/>
          <w:szCs w:val="16"/>
          <w:b w:val="1"/>
          <w:bCs w:val="1"/>
          <w:color w:val="auto"/>
        </w:rPr>
        <w:t>Net income attributable to CLPS Incorporation’s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320"/>
        <w:spacing w:after="0"/>
        <w:tabs>
          <w:tab w:leader="none" w:pos="1620" w:val="left"/>
        </w:tabs>
        <w:rPr>
          <w:sz w:val="20"/>
          <w:szCs w:val="20"/>
          <w:color w:val="auto"/>
        </w:rPr>
      </w:pPr>
      <w:r>
        <w:rPr>
          <w:rFonts w:ascii="Arial" w:cs="Arial" w:eastAsia="Arial" w:hAnsi="Arial"/>
          <w:sz w:val="17"/>
          <w:szCs w:val="17"/>
          <w:color w:val="auto"/>
        </w:rPr>
        <w:t>58,318,208</w:t>
      </w:r>
      <w:r>
        <w:rPr>
          <w:sz w:val="20"/>
          <w:szCs w:val="20"/>
          <w:color w:val="auto"/>
        </w:rPr>
        <w:tab/>
      </w:r>
      <w:r>
        <w:rPr>
          <w:rFonts w:ascii="Arial" w:cs="Arial" w:eastAsia="Arial" w:hAnsi="Arial"/>
          <w:sz w:val="17"/>
          <w:szCs w:val="17"/>
          <w:color w:val="auto"/>
        </w:rPr>
        <w:t>42,568,264</w:t>
      </w:r>
    </w:p>
    <w:p>
      <w:pPr>
        <w:spacing w:after="0" w:line="35" w:lineRule="exact"/>
        <w:rPr>
          <w:sz w:val="20"/>
          <w:szCs w:val="20"/>
          <w:color w:val="auto"/>
        </w:rPr>
      </w:pPr>
    </w:p>
    <w:p>
      <w:pPr>
        <w:jc w:val="right"/>
        <w:ind w:right="40"/>
        <w:spacing w:after="0"/>
        <w:tabs>
          <w:tab w:leader="none" w:pos="920" w:val="left"/>
        </w:tabs>
        <w:rPr>
          <w:sz w:val="20"/>
          <w:szCs w:val="20"/>
          <w:color w:val="auto"/>
        </w:rPr>
      </w:pPr>
      <w:r>
        <w:rPr>
          <w:rFonts w:ascii="Arial" w:cs="Arial" w:eastAsia="Arial" w:hAnsi="Arial"/>
          <w:sz w:val="18"/>
          <w:szCs w:val="18"/>
          <w:color w:val="auto"/>
        </w:rPr>
        <w:t>(39,840,283)</w:t>
      </w:r>
      <w:r>
        <w:rPr>
          <w:sz w:val="20"/>
          <w:szCs w:val="20"/>
          <w:color w:val="auto"/>
        </w:rPr>
        <w:tab/>
      </w:r>
      <w:r>
        <w:rPr>
          <w:rFonts w:ascii="Arial" w:cs="Arial" w:eastAsia="Arial" w:hAnsi="Arial"/>
          <w:sz w:val="16"/>
          <w:szCs w:val="16"/>
          <w:color w:val="auto"/>
        </w:rPr>
        <w:t>(27,191,640)</w:t>
      </w:r>
    </w:p>
    <w:p>
      <w:pPr>
        <w:spacing w:after="0" w:line="35" w:lineRule="exact"/>
        <w:rPr>
          <w:sz w:val="20"/>
          <w:szCs w:val="20"/>
          <w:color w:val="auto"/>
        </w:rPr>
      </w:pPr>
    </w:p>
    <w:p>
      <w:pPr>
        <w:ind w:left="320"/>
        <w:spacing w:after="0"/>
        <w:tabs>
          <w:tab w:leader="none" w:pos="1620" w:val="left"/>
        </w:tabs>
        <w:rPr>
          <w:sz w:val="20"/>
          <w:szCs w:val="20"/>
          <w:color w:val="auto"/>
        </w:rPr>
      </w:pPr>
      <w:r>
        <w:rPr>
          <w:rFonts w:ascii="Arial" w:cs="Arial" w:eastAsia="Arial" w:hAnsi="Arial"/>
          <w:sz w:val="17"/>
          <w:szCs w:val="17"/>
          <w:color w:val="auto"/>
        </w:rPr>
        <w:t>18,477,925</w:t>
      </w:r>
      <w:r>
        <w:rPr>
          <w:sz w:val="20"/>
          <w:szCs w:val="20"/>
          <w:color w:val="auto"/>
        </w:rPr>
        <w:tab/>
      </w:r>
      <w:r>
        <w:rPr>
          <w:rFonts w:ascii="Arial" w:cs="Arial" w:eastAsia="Arial" w:hAnsi="Arial"/>
          <w:sz w:val="17"/>
          <w:szCs w:val="17"/>
          <w:color w:val="auto"/>
        </w:rPr>
        <w:t>15,376,624</w:t>
      </w:r>
    </w:p>
    <w:p>
      <w:pPr>
        <w:spacing w:after="0" w:line="200" w:lineRule="exact"/>
        <w:rPr>
          <w:sz w:val="20"/>
          <w:szCs w:val="20"/>
          <w:color w:val="auto"/>
        </w:rPr>
      </w:pPr>
    </w:p>
    <w:p>
      <w:pPr>
        <w:spacing w:after="0" w:line="280"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7"/>
          <w:szCs w:val="17"/>
          <w:color w:val="auto"/>
        </w:rPr>
        <w:t>1,793,807</w:t>
      </w:r>
      <w:r>
        <w:rPr>
          <w:sz w:val="20"/>
          <w:szCs w:val="20"/>
          <w:color w:val="auto"/>
        </w:rPr>
        <w:tab/>
      </w:r>
      <w:r>
        <w:rPr>
          <w:rFonts w:ascii="Arial" w:cs="Arial" w:eastAsia="Arial" w:hAnsi="Arial"/>
          <w:sz w:val="17"/>
          <w:szCs w:val="17"/>
          <w:color w:val="auto"/>
        </w:rPr>
        <w:t>1,404,227</w:t>
      </w:r>
    </w:p>
    <w:p>
      <w:pPr>
        <w:spacing w:after="0" w:line="35"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7"/>
          <w:szCs w:val="17"/>
          <w:color w:val="auto"/>
        </w:rPr>
        <w:t>6,161,188</w:t>
      </w:r>
      <w:r>
        <w:rPr>
          <w:sz w:val="20"/>
          <w:szCs w:val="20"/>
          <w:color w:val="auto"/>
        </w:rPr>
        <w:tab/>
      </w:r>
      <w:r>
        <w:rPr>
          <w:rFonts w:ascii="Arial" w:cs="Arial" w:eastAsia="Arial" w:hAnsi="Arial"/>
          <w:sz w:val="17"/>
          <w:szCs w:val="17"/>
          <w:color w:val="auto"/>
        </w:rPr>
        <w:t>5,020,520</w:t>
      </w:r>
    </w:p>
    <w:p>
      <w:pPr>
        <w:spacing w:after="0" w:line="21"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7"/>
          <w:szCs w:val="17"/>
          <w:color w:val="auto"/>
        </w:rPr>
        <w:t>6,629,000</w:t>
      </w:r>
      <w:r>
        <w:rPr>
          <w:sz w:val="20"/>
          <w:szCs w:val="20"/>
          <w:color w:val="auto"/>
        </w:rPr>
        <w:tab/>
      </w:r>
      <w:r>
        <w:rPr>
          <w:rFonts w:ascii="Arial" w:cs="Arial" w:eastAsia="Arial" w:hAnsi="Arial"/>
          <w:sz w:val="17"/>
          <w:szCs w:val="17"/>
          <w:color w:val="auto"/>
        </w:rPr>
        <w:t>7,897,096</w:t>
      </w:r>
    </w:p>
    <w:p>
      <w:pPr>
        <w:spacing w:after="0" w:line="34" w:lineRule="exact"/>
        <w:rPr>
          <w:sz w:val="20"/>
          <w:szCs w:val="20"/>
          <w:color w:val="auto"/>
        </w:rPr>
      </w:pPr>
    </w:p>
    <w:p>
      <w:pPr>
        <w:ind w:left="1800" w:hanging="731"/>
        <w:spacing w:after="0"/>
        <w:tabs>
          <w:tab w:leader="none" w:pos="1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(187,496)</w:t>
      </w:r>
    </w:p>
    <w:p>
      <w:pPr>
        <w:spacing w:after="0" w:line="71"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14,583,995</w:t>
      </w:r>
      <w:r>
        <w:rPr>
          <w:rFonts w:ascii="Arial" w:cs="Arial" w:eastAsia="Arial" w:hAnsi="Arial"/>
          <w:sz w:val="16"/>
          <w:szCs w:val="16"/>
          <w:color w:val="auto"/>
        </w:rPr>
        <w:t>14,134,347</w:t>
      </w:r>
    </w:p>
    <w:p>
      <w:pPr>
        <w:spacing w:after="0" w:line="36"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3,893,930</w:t>
      </w:r>
      <w:r>
        <w:rPr>
          <w:rFonts w:ascii="Arial" w:cs="Arial" w:eastAsia="Arial" w:hAnsi="Arial"/>
          <w:sz w:val="16"/>
          <w:szCs w:val="16"/>
          <w:color w:val="auto"/>
        </w:rPr>
        <w:t>1,242,277</w:t>
      </w:r>
    </w:p>
    <w:p>
      <w:pPr>
        <w:spacing w:after="0" w:line="23"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1,185,916</w:t>
      </w:r>
      <w:r>
        <w:rPr>
          <w:rFonts w:ascii="Arial" w:cs="Arial" w:eastAsia="Arial" w:hAnsi="Arial"/>
          <w:sz w:val="16"/>
          <w:szCs w:val="16"/>
          <w:color w:val="auto"/>
        </w:rPr>
        <w:t>1,371,912</w:t>
      </w:r>
    </w:p>
    <w:p>
      <w:pPr>
        <w:spacing w:after="0" w:line="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(49,224)</w:t>
      </w:r>
      <w:r>
        <w:rPr>
          <w:rFonts w:ascii="Arial" w:cs="Arial" w:eastAsia="Arial" w:hAnsi="Arial"/>
          <w:sz w:val="16"/>
          <w:szCs w:val="16"/>
          <w:color w:val="auto"/>
        </w:rPr>
        <w:t>(30,093)</w:t>
      </w:r>
    </w:p>
    <w:p>
      <w:pPr>
        <w:spacing w:after="0" w:line="251"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7"/>
          <w:szCs w:val="17"/>
          <w:color w:val="auto"/>
        </w:rPr>
        <w:t>5,030,622</w:t>
      </w:r>
      <w:r>
        <w:rPr>
          <w:sz w:val="20"/>
          <w:szCs w:val="20"/>
          <w:color w:val="auto"/>
        </w:rPr>
        <w:tab/>
      </w:r>
      <w:r>
        <w:rPr>
          <w:rFonts w:ascii="Arial" w:cs="Arial" w:eastAsia="Arial" w:hAnsi="Arial"/>
          <w:sz w:val="17"/>
          <w:szCs w:val="17"/>
          <w:color w:val="auto"/>
        </w:rPr>
        <w:t>2,584,096</w:t>
      </w:r>
    </w:p>
    <w:p>
      <w:pPr>
        <w:spacing w:after="0" w:line="35"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color w:val="auto"/>
        </w:rPr>
        <w:t>92,214</w:t>
      </w:r>
      <w:r>
        <w:rPr>
          <w:sz w:val="20"/>
          <w:szCs w:val="20"/>
          <w:color w:val="auto"/>
        </w:rPr>
        <w:tab/>
      </w:r>
      <w:r>
        <w:rPr>
          <w:rFonts w:ascii="Arial" w:cs="Arial" w:eastAsia="Arial" w:hAnsi="Arial"/>
          <w:sz w:val="18"/>
          <w:szCs w:val="18"/>
          <w:color w:val="auto"/>
        </w:rPr>
        <w:t>388,843</w:t>
      </w:r>
    </w:p>
    <w:p>
      <w:pPr>
        <w:spacing w:after="0" w:line="35"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7"/>
          <w:szCs w:val="17"/>
          <w:color w:val="auto"/>
        </w:rPr>
        <w:t>4,938,408</w:t>
      </w:r>
      <w:r>
        <w:rPr>
          <w:sz w:val="20"/>
          <w:szCs w:val="20"/>
          <w:color w:val="auto"/>
        </w:rPr>
        <w:tab/>
      </w:r>
      <w:r>
        <w:rPr>
          <w:rFonts w:ascii="Arial" w:cs="Arial" w:eastAsia="Arial" w:hAnsi="Arial"/>
          <w:sz w:val="17"/>
          <w:szCs w:val="17"/>
          <w:color w:val="auto"/>
        </w:rPr>
        <w:t>2,195,253</w:t>
      </w:r>
    </w:p>
    <w:p>
      <w:pPr>
        <w:spacing w:after="0" w:line="4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(6,127)</w:t>
      </w:r>
      <w:r>
        <w:rPr>
          <w:sz w:val="20"/>
          <w:szCs w:val="20"/>
          <w:color w:val="auto"/>
        </w:rPr>
        <w:tab/>
      </w:r>
      <w:r>
        <w:rPr>
          <w:rFonts w:ascii="Arial" w:cs="Arial" w:eastAsia="Arial" w:hAnsi="Arial"/>
          <w:sz w:val="18"/>
          <w:szCs w:val="18"/>
          <w:color w:val="auto"/>
        </w:rPr>
        <w:t>99,468</w:t>
      </w:r>
    </w:p>
    <w:p>
      <w:pPr>
        <w:spacing w:after="0" w:line="23"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7"/>
          <w:szCs w:val="17"/>
          <w:color w:val="auto"/>
        </w:rPr>
        <w:t>4,932,281</w:t>
      </w:r>
      <w:r>
        <w:rPr>
          <w:sz w:val="20"/>
          <w:szCs w:val="20"/>
          <w:color w:val="auto"/>
        </w:rPr>
        <w:tab/>
      </w:r>
      <w:r>
        <w:rPr>
          <w:rFonts w:ascii="Arial" w:cs="Arial" w:eastAsia="Arial" w:hAnsi="Arial"/>
          <w:sz w:val="17"/>
          <w:szCs w:val="17"/>
          <w:color w:val="auto"/>
        </w:rPr>
        <w:t>2,294,721</w:t>
      </w:r>
    </w:p>
    <w:p>
      <w:pPr>
        <w:spacing w:after="0" w:line="21" w:lineRule="exact"/>
        <w:rPr>
          <w:sz w:val="20"/>
          <w:szCs w:val="20"/>
          <w:color w:val="auto"/>
        </w:rPr>
      </w:pPr>
    </w:p>
    <w:p>
      <w:pPr>
        <w:jc w:val="both"/>
        <w:ind w:left="640"/>
        <w:spacing w:after="0"/>
        <w:tabs>
          <w:tab w:leader="none" w:pos="1880" w:val="left"/>
        </w:tabs>
        <w:rPr>
          <w:sz w:val="20"/>
          <w:szCs w:val="20"/>
          <w:color w:val="auto"/>
        </w:rPr>
      </w:pPr>
      <w:r>
        <w:rPr>
          <w:rFonts w:ascii="Arial" w:cs="Arial" w:eastAsia="Arial" w:hAnsi="Arial"/>
          <w:sz w:val="18"/>
          <w:szCs w:val="18"/>
          <w:color w:val="auto"/>
        </w:rPr>
        <w:t>72,165</w:t>
      </w:r>
      <w:r>
        <w:rPr>
          <w:sz w:val="20"/>
          <w:szCs w:val="20"/>
          <w:color w:val="auto"/>
        </w:rPr>
        <w:tab/>
      </w:r>
      <w:r>
        <w:rPr>
          <w:rFonts w:ascii="Arial" w:cs="Arial" w:eastAsia="Arial" w:hAnsi="Arial"/>
          <w:sz w:val="18"/>
          <w:szCs w:val="18"/>
          <w:color w:val="auto"/>
        </w:rPr>
        <w:t>(74,220)</w:t>
      </w:r>
    </w:p>
    <w:p>
      <w:pPr>
        <w:spacing w:after="0" w:line="62" w:lineRule="exact"/>
        <w:rPr>
          <w:sz w:val="20"/>
          <w:szCs w:val="20"/>
          <w:color w:val="auto"/>
        </w:rPr>
      </w:pPr>
    </w:p>
    <w:p>
      <w:pPr>
        <w:spacing w:after="0"/>
        <w:tabs>
          <w:tab w:leader="none" w:pos="400" w:val="left"/>
          <w:tab w:leader="none" w:pos="1320" w:val="left"/>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4,860,116</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2,368,941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15601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2,226,431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(139,745)</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Less: foreign currency translation gain attributable to non-controlling interests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93,622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Other comprehensive income (loss) attributable to CLPS Incorporation’s shareholders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vMerge w:val="restart"/>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2,132,809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(147,094</w:t>
            </w:r>
          </w:p>
        </w:tc>
        <w:tc>
          <w:tcPr>
            <w:tcW w:w="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CLPS Incorporation shareholders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6,992,925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2,221,847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165,787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(66,351)</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8680" w:type="dxa"/>
            <w:vAlign w:val="bottom"/>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7,158,712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2,155,496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basic</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16,147,508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14,152,616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diluted</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16,174,530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14,204,248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Note:</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(1) Includes share-based compensation expenses as follows: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79,531</w:t>
            </w:r>
          </w:p>
        </w:tc>
        <w:tc>
          <w:tcPr>
            <w:tcW w:w="20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30,316</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1,411,613</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1,031,265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1,495,327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1,066,649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and per share data are presented on a retroactive basis to reflect the nominal share issuance.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NON-GAAP AND GAAP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U.S. dollars (“$”), except for number of shares)</w:t>
      </w:r>
    </w:p>
    <w:p>
      <w:pPr>
        <w:spacing w:after="0" w:line="20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six months ended</w:t>
      </w:r>
    </w:p>
    <w:p>
      <w:pPr>
        <w:spacing w:after="0" w:line="27"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39,840,283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27,191,640</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r>
              <w:rPr>
                <w:rFonts w:ascii="Arial" w:cs="Arial" w:eastAsia="Arial" w:hAnsi="Arial"/>
                <w:sz w:val="18"/>
                <w:szCs w:val="18"/>
                <w:color w:val="auto"/>
              </w:rPr>
              <w:t>Less: share-based compensation expenses</w:t>
            </w:r>
          </w:p>
        </w:tc>
        <w:tc>
          <w:tcPr>
            <w:tcW w:w="18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4,183</w:t>
            </w:r>
          </w:p>
        </w:tc>
        <w:tc>
          <w:tcPr>
            <w:tcW w:w="18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cost of revenues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39,836,100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27,186,572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1,793,807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1,404,227</w:t>
            </w:r>
          </w:p>
        </w:tc>
        <w:tc>
          <w:tcPr>
            <w:tcW w:w="0" w:type="dxa"/>
            <w:vAlign w:val="bottom"/>
          </w:tcPr>
          <w:p>
            <w:pPr>
              <w:spacing w:after="0"/>
              <w:rPr>
                <w:sz w:val="1"/>
                <w:szCs w:val="1"/>
                <w:color w:val="auto"/>
              </w:rPr>
            </w:pPr>
          </w:p>
        </w:tc>
      </w:tr>
      <w:tr>
        <w:trPr>
          <w:trHeight w:val="237"/>
        </w:trPr>
        <w:tc>
          <w:tcPr>
            <w:tcW w:w="8600" w:type="dxa"/>
            <w:vAlign w:val="bottom"/>
          </w:tcPr>
          <w:p>
            <w:pPr>
              <w:spacing w:after="0"/>
              <w:rPr>
                <w:sz w:val="20"/>
                <w:szCs w:val="20"/>
                <w:color w:val="auto"/>
              </w:rPr>
            </w:pPr>
            <w:r>
              <w:rPr>
                <w:rFonts w:ascii="Arial" w:cs="Arial" w:eastAsia="Arial" w:hAnsi="Arial"/>
                <w:sz w:val="18"/>
                <w:szCs w:val="18"/>
                <w:color w:val="auto"/>
              </w:rPr>
              <w:t>Less: share-based compensation expenses</w:t>
            </w:r>
          </w:p>
        </w:tc>
        <w:tc>
          <w:tcPr>
            <w:tcW w:w="18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79,531</w:t>
            </w:r>
          </w:p>
        </w:tc>
        <w:tc>
          <w:tcPr>
            <w:tcW w:w="18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30,316</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00" w:type="dxa"/>
            <w:vAlign w:val="bottom"/>
          </w:tcPr>
          <w:p>
            <w:pPr>
              <w:spacing w:after="0"/>
              <w:rPr>
                <w:sz w:val="20"/>
                <w:szCs w:val="20"/>
                <w:color w:val="auto"/>
              </w:rPr>
            </w:pPr>
            <w:r>
              <w:rPr>
                <w:rFonts w:ascii="Arial" w:cs="Arial" w:eastAsia="Arial" w:hAnsi="Arial"/>
                <w:sz w:val="18"/>
                <w:szCs w:val="18"/>
                <w:b w:val="1"/>
                <w:bCs w:val="1"/>
                <w:color w:val="auto"/>
              </w:rPr>
              <w:t>Non-GAAP selling and marketing expenses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1,714,276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1,373,911</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6,629,000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7,897,096</w:t>
            </w:r>
          </w:p>
        </w:tc>
        <w:tc>
          <w:tcPr>
            <w:tcW w:w="0" w:type="dxa"/>
            <w:vAlign w:val="bottom"/>
          </w:tcPr>
          <w:p>
            <w:pPr>
              <w:spacing w:after="0"/>
              <w:rPr>
                <w:sz w:val="1"/>
                <w:szCs w:val="1"/>
                <w:color w:val="auto"/>
              </w:rPr>
            </w:pPr>
          </w:p>
        </w:tc>
      </w:tr>
      <w:tr>
        <w:trPr>
          <w:trHeight w:val="25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Less: share-based compensation expenses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1,411,613</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1,031,265</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Non-GAAP general and administrative expenses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5,217,387</w:t>
            </w:r>
          </w:p>
        </w:tc>
        <w:tc>
          <w:tcPr>
            <w:tcW w:w="2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6,865,831</w:t>
            </w:r>
          </w:p>
        </w:tc>
        <w:tc>
          <w:tcPr>
            <w:tcW w:w="1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3,893,930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1,242,277</w:t>
            </w:r>
          </w:p>
        </w:tc>
        <w:tc>
          <w:tcPr>
            <w:tcW w:w="0" w:type="dxa"/>
            <w:vAlign w:val="bottom"/>
          </w:tcPr>
          <w:p>
            <w:pPr>
              <w:spacing w:after="0"/>
              <w:rPr>
                <w:sz w:val="1"/>
                <w:szCs w:val="1"/>
                <w:color w:val="auto"/>
              </w:rPr>
            </w:pPr>
          </w:p>
        </w:tc>
      </w:tr>
      <w:tr>
        <w:trPr>
          <w:trHeight w:val="24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1,495,327</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1,066,649</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Non-GAAP operating income</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5,389,257</w:t>
            </w:r>
          </w:p>
        </w:tc>
        <w:tc>
          <w:tcPr>
            <w:tcW w:w="2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2,308,926</w:t>
            </w:r>
          </w:p>
        </w:tc>
        <w:tc>
          <w:tcPr>
            <w:tcW w:w="1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Operating Margin</w:t>
            </w:r>
          </w:p>
        </w:tc>
        <w:tc>
          <w:tcPr>
            <w:tcW w:w="18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Non-GAAP operating margin</w:t>
            </w: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w:t>
            </w:r>
          </w:p>
        </w:tc>
        <w:tc>
          <w:tcPr>
            <w:tcW w:w="28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4,932,281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2,294,721</w:t>
            </w:r>
          </w:p>
        </w:tc>
        <w:tc>
          <w:tcPr>
            <w:tcW w:w="0" w:type="dxa"/>
            <w:vAlign w:val="bottom"/>
          </w:tcPr>
          <w:p>
            <w:pPr>
              <w:spacing w:after="0"/>
              <w:rPr>
                <w:sz w:val="1"/>
                <w:szCs w:val="1"/>
                <w:color w:val="auto"/>
              </w:rPr>
            </w:pPr>
          </w:p>
        </w:tc>
      </w:tr>
      <w:tr>
        <w:trPr>
          <w:trHeight w:val="25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1,495,327</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1,066,649</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Non-GAAP net income</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6,427,608</w:t>
            </w:r>
          </w:p>
        </w:tc>
        <w:tc>
          <w:tcPr>
            <w:tcW w:w="2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3,361,370</w:t>
            </w:r>
          </w:p>
        </w:tc>
        <w:tc>
          <w:tcPr>
            <w:tcW w:w="1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Net income attributable to CLPS Incorporation’s shareholders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4,860,116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2,368,941</w:t>
            </w:r>
          </w:p>
        </w:tc>
        <w:tc>
          <w:tcPr>
            <w:tcW w:w="0" w:type="dxa"/>
            <w:vAlign w:val="bottom"/>
          </w:tcPr>
          <w:p>
            <w:pPr>
              <w:spacing w:after="0"/>
              <w:rPr>
                <w:sz w:val="1"/>
                <w:szCs w:val="1"/>
                <w:color w:val="auto"/>
              </w:rPr>
            </w:pPr>
          </w:p>
        </w:tc>
      </w:tr>
      <w:tr>
        <w:trPr>
          <w:trHeight w:val="25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1,495,327</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1,066,649</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Non-GAAP net income attributable to CLPS Incorporation’s shareholders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6,355,443</w:t>
            </w:r>
          </w:p>
        </w:tc>
        <w:tc>
          <w:tcPr>
            <w:tcW w:w="2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3,435,590</w:t>
            </w:r>
          </w:p>
        </w:tc>
        <w:tc>
          <w:tcPr>
            <w:tcW w:w="1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number of share outstanding used in computing GAAP and non-GAAP basic earnings</w:t>
            </w:r>
          </w:p>
        </w:tc>
        <w:tc>
          <w:tcPr>
            <w:tcW w:w="18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16,147,508</w:t>
            </w:r>
          </w:p>
        </w:tc>
        <w:tc>
          <w:tcPr>
            <w:tcW w:w="18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14,152,616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GAAP Basic earnings per common share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Add: share-based compensation expenses</w:t>
            </w:r>
          </w:p>
        </w:tc>
        <w:tc>
          <w:tcPr>
            <w:tcW w:w="180" w:type="dxa"/>
            <w:vAlign w:val="bottom"/>
          </w:tcPr>
          <w:p>
            <w:pPr>
              <w:spacing w:after="0"/>
              <w:rPr>
                <w:sz w:val="19"/>
                <w:szCs w:val="19"/>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86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Non-GAAP basic earnings per common share</w:t>
            </w: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used in computing GAAP diluted earnings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16,174,530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14,204,248</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r>
              <w:rPr>
                <w:rFonts w:ascii="Arial" w:cs="Arial" w:eastAsia="Arial" w:hAnsi="Arial"/>
                <w:sz w:val="18"/>
                <w:szCs w:val="18"/>
                <w:color w:val="auto"/>
              </w:rPr>
              <w:t>Add: effect of dilutive securities</w:t>
            </w:r>
          </w:p>
        </w:tc>
        <w:tc>
          <w:tcPr>
            <w:tcW w:w="18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used in computing non-GAAP diluted earnings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16,174,530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14,204,248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GAAP diluted earnings per common share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Add: share-based compensation expenses</w:t>
            </w:r>
          </w:p>
        </w:tc>
        <w:tc>
          <w:tcPr>
            <w:tcW w:w="180" w:type="dxa"/>
            <w:vAlign w:val="bottom"/>
          </w:tcPr>
          <w:p>
            <w:pPr>
              <w:spacing w:after="0"/>
              <w:rPr>
                <w:sz w:val="19"/>
                <w:szCs w:val="19"/>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86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Non-GAAP diluted earnings per common share</w:t>
            </w: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2021-03-05T07:52:46Z</dcterms:created>
  <dcterms:modified xsi:type="dcterms:W3CDTF">2021-03-05T07:52:46Z</dcterms:modified>
</cp:coreProperties>
</file>