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6" w:lineRule="exact"/>
        <w:rPr>
          <w:sz w:val="24"/>
          <w:szCs w:val="24"/>
          <w:color w:val="auto"/>
        </w:rPr>
      </w:pPr>
    </w:p>
    <w:p>
      <w:pPr>
        <w:ind w:left="1140" w:hanging="208"/>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10"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9" w:lineRule="exact"/>
        <w:rPr>
          <w:rFonts w:ascii="MS PGothic" w:cs="MS PGothic" w:eastAsia="MS PGothic" w:hAnsi="MS PGothic"/>
          <w:sz w:val="18"/>
          <w:szCs w:val="18"/>
          <w:color w:val="auto"/>
        </w:rPr>
      </w:pPr>
    </w:p>
    <w:p>
      <w:pPr>
        <w:ind w:left="1580" w:hanging="196"/>
        <w:spacing w:after="0"/>
        <w:tabs>
          <w:tab w:leader="none" w:pos="15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2020</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0" w:lineRule="exact"/>
        <w:rPr>
          <w:sz w:val="24"/>
          <w:szCs w:val="24"/>
          <w:color w:val="auto"/>
        </w:rPr>
      </w:pPr>
    </w:p>
    <w:p>
      <w:pPr>
        <w:ind w:left="1440" w:hanging="214"/>
        <w:spacing w:after="0"/>
        <w:tabs>
          <w:tab w:leader="none" w:pos="1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9" w:lineRule="exact"/>
        <w:rPr>
          <w:rFonts w:ascii="MS PGothic" w:cs="MS PGothic" w:eastAsia="MS PGothic" w:hAnsi="MS PGothic"/>
          <w:sz w:val="18"/>
          <w:szCs w:val="18"/>
          <w:color w:val="auto"/>
        </w:rPr>
      </w:pPr>
    </w:p>
    <w:p>
      <w:pPr>
        <w:jc w:val="center"/>
        <w:ind w:left="3400" w:right="1020" w:hanging="2376"/>
        <w:spacing w:after="0" w:line="495" w:lineRule="auto"/>
        <w:tabs>
          <w:tab w:leader="none" w:pos="12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15(d) OF THE SECURITIES EXCHANGE ACT OF 1934 for the transition period from ____________to ____________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001-38505</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Cayman Islands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Unit 702, 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w:t>
      </w:r>
    </w:p>
    <w:p>
      <w:pPr>
        <w:jc w:val="center"/>
        <w:spacing w:after="0"/>
        <w:rPr>
          <w:sz w:val="20"/>
          <w:szCs w:val="20"/>
          <w:color w:val="auto"/>
        </w:rPr>
      </w:pPr>
      <w:r>
        <w:rPr>
          <w:rFonts w:ascii="Arial" w:cs="Arial" w:eastAsia="Arial" w:hAnsi="Arial"/>
          <w:sz w:val="18"/>
          <w:szCs w:val="18"/>
          <w:b w:val="1"/>
          <w:bCs w:val="1"/>
          <w:color w:val="auto"/>
        </w:rPr>
        <w:t>378 Kwun Tong Road, Kwun Tong, Kowloon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jc w:val="center"/>
        <w:spacing w:after="0" w:line="201" w:lineRule="auto"/>
        <w:rPr>
          <w:sz w:val="20"/>
          <w:szCs w:val="20"/>
          <w:color w:val="auto"/>
        </w:rPr>
      </w:pPr>
      <w:r>
        <w:rPr>
          <w:rFonts w:ascii="Arial" w:cs="Arial" w:eastAsia="Arial" w:hAnsi="Arial"/>
          <w:sz w:val="18"/>
          <w:szCs w:val="18"/>
          <w:b w:val="1"/>
          <w:bCs w:val="1"/>
          <w:color w:val="auto"/>
        </w:rPr>
        <w:t>c/o Unit 702, 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378 Kwun Tong Road, Kwun Tong, Kowloon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Tel: (852) 37073600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13"/>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Common Shares, par value $0.0001</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CLPS</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 October 15, 2020, the issuer had 16,093,248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7"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42"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4"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3"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7"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42" w:lineRule="exact"/>
        <w:rPr>
          <w:sz w:val="20"/>
          <w:szCs w:val="20"/>
          <w:color w:val="auto"/>
        </w:rPr>
      </w:pPr>
    </w:p>
    <w:p>
      <w:pPr>
        <w:spacing w:after="0" w:line="207" w:lineRule="exact"/>
        <w:tabs>
          <w:tab w:leader="none" w:pos="4380" w:val="left"/>
          <w:tab w:leader="none" w:pos="7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2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99" w:right="339" w:bottom="1440" w:gutter="0" w:footer="0" w:header="0"/>
        </w:sectPr>
      </w:pPr>
    </w:p>
    <w:p>
      <w:pPr>
        <w:spacing w:after="0" w:line="18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US GAAP</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640" w:hanging="559"/>
        <w:spacing w:after="0" w:line="23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 xml:space="preserve">International Financial Reporting Standards as issued by the International Accounting </w:t>
      </w:r>
      <w:r>
        <w:rPr>
          <w:rFonts w:ascii="MS PGothic" w:cs="MS PGothic" w:eastAsia="MS PGothic" w:hAnsi="MS PGothic"/>
          <w:sz w:val="18"/>
          <w:szCs w:val="18"/>
          <w:color w:val="auto"/>
        </w:rPr>
        <w:t>☐</w:t>
      </w:r>
      <w:r>
        <w:rPr>
          <w:rFonts w:ascii="Arial" w:cs="Arial" w:eastAsia="Arial" w:hAnsi="Arial"/>
          <w:sz w:val="18"/>
          <w:szCs w:val="18"/>
          <w:color w:val="auto"/>
        </w:rPr>
        <w:t xml:space="preserve"> Other Standards Board</w:t>
      </w:r>
    </w:p>
    <w:p>
      <w:pPr>
        <w:spacing w:after="0" w:line="200" w:lineRule="exact"/>
        <w:rPr>
          <w:sz w:val="20"/>
          <w:szCs w:val="20"/>
          <w:color w:val="auto"/>
        </w:rPr>
      </w:pPr>
    </w:p>
    <w:p>
      <w:pPr>
        <w:sectPr>
          <w:pgSz w:w="11900" w:h="16838" w:orient="portrait"/>
          <w:cols w:equalWidth="0" w:num="2">
            <w:col w:w="2100" w:space="720"/>
            <w:col w:w="8420"/>
          </w:cols>
          <w:pgMar w:left="320" w:top="899"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0" w:lineRule="exact"/>
        <w:rPr>
          <w:sz w:val="20"/>
          <w:szCs w:val="20"/>
          <w:color w:val="auto"/>
        </w:rPr>
      </w:pPr>
    </w:p>
    <w:p>
      <w:pPr>
        <w:ind w:left="96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87"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186690</wp:posOffset>
            </wp:positionV>
            <wp:extent cx="713422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635635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936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980" w:type="dxa"/>
            <w:vAlign w:val="bottom"/>
            <w:vMerge w:val="restart"/>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PART I</w:t>
              </w:r>
            </w:hyperlink>
          </w:p>
        </w:tc>
        <w:tc>
          <w:tcPr>
            <w:tcW w:w="9360" w:type="dxa"/>
            <w:vAlign w:val="bottom"/>
          </w:tcPr>
          <w:p>
            <w:pPr>
              <w:spacing w:after="0"/>
              <w:rPr>
                <w:sz w:val="24"/>
                <w:szCs w:val="2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9"/>
        </w:trPr>
        <w:tc>
          <w:tcPr>
            <w:tcW w:w="980" w:type="dxa"/>
            <w:vAlign w:val="bottom"/>
            <w:vMerge w:val="continue"/>
          </w:tcPr>
          <w:p>
            <w:pPr>
              <w:spacing w:after="0"/>
              <w:rPr>
                <w:sz w:val="17"/>
                <w:szCs w:val="17"/>
                <w:color w:val="auto"/>
              </w:rPr>
            </w:pPr>
          </w:p>
        </w:tc>
        <w:tc>
          <w:tcPr>
            <w:tcW w:w="9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IDENTITY OF DIRECTORS, SENIOR MANAGEMENT AND ADVISERS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2.</w:t>
              </w:r>
            </w:hyperlink>
          </w:p>
        </w:tc>
        <w:tc>
          <w:tcPr>
            <w:tcW w:w="9360" w:type="dxa"/>
            <w:vAlign w:val="bottom"/>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OFFER STATISTICS AND EXPECTED TIMETABLE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3.</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KEY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9360" w:type="dxa"/>
            <w:vAlign w:val="bottom"/>
          </w:tcPr>
          <w:p>
            <w:pPr>
              <w:ind w:left="1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INFORMATION ON THE COMPANY</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4A.</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UNRESOLVED STAFF COMMENTS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5.</w:t>
              </w:r>
            </w:hyperlink>
          </w:p>
        </w:tc>
        <w:tc>
          <w:tcPr>
            <w:tcW w:w="9360" w:type="dxa"/>
            <w:vAlign w:val="bottom"/>
          </w:tcPr>
          <w:p>
            <w:pPr>
              <w:ind w:left="1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OPERATING AND FINANCIAL REVIEW AND PROSPECT</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6.</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DIRECTORS, SENIOR MANAGEMENT AND EMPLOYEES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7.</w:t>
              </w:r>
            </w:hyperlink>
          </w:p>
        </w:tc>
        <w:tc>
          <w:tcPr>
            <w:tcW w:w="9360" w:type="dxa"/>
            <w:vAlign w:val="bottom"/>
          </w:tcPr>
          <w:p>
            <w:pPr>
              <w:ind w:left="1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MAJOR SHAREHOLDERS AND RELATED PARTY TRANSACTIONS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8.</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FINANCIAL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9.</w:t>
              </w:r>
            </w:hyperlink>
          </w:p>
        </w:tc>
        <w:tc>
          <w:tcPr>
            <w:tcW w:w="9360" w:type="dxa"/>
            <w:vAlign w:val="bottom"/>
          </w:tcPr>
          <w:p>
            <w:pPr>
              <w:ind w:left="16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THE OFFER AND LISTING</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10.</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ADDITIONAL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11.</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QUANTITATIVE AND QUALITATIVE DISCLOSURE ABOUT MARKET RISK</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12.</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DESCRIPTION OF SECURITIES OTHER THAN EQUITY SECURITIES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05">
              <w:r>
                <w:rPr>
                  <w:rFonts w:ascii="Arial" w:cs="Arial" w:eastAsia="Arial" w:hAnsi="Arial"/>
                  <w:sz w:val="18"/>
                  <w:szCs w:val="18"/>
                  <w:b w:val="1"/>
                  <w:bCs w:val="1"/>
                  <w:u w:val="single" w:color="auto"/>
                  <w:color w:val="0000EE"/>
                </w:rPr>
                <w:t>PART II</w:t>
              </w:r>
            </w:hyperlink>
          </w:p>
        </w:tc>
        <w:tc>
          <w:tcPr>
            <w:tcW w:w="9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ITEM 13.</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DEFAULTS, DIVIDEND ARREARAGES AND DELINQUENCIES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ITEM 14.</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MATERIAL MODIFICATIONS TO THE RIGHTS OF SECURITY HOLDERS AND USE OF PROCEEDS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ITEM 15.</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CONTROLS AND PROCEDURES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16.</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RESERVED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16A.</w:t>
              </w:r>
            </w:hyperlink>
          </w:p>
        </w:tc>
        <w:tc>
          <w:tcPr>
            <w:tcW w:w="9360" w:type="dxa"/>
            <w:vAlign w:val="bottom"/>
            <w:shd w:val="clear" w:color="auto" w:fill="CCEEFF"/>
          </w:tcPr>
          <w:p>
            <w:pPr>
              <w:ind w:left="160"/>
              <w:spacing w:after="0"/>
              <w:rPr>
                <w:rFonts w:ascii="Arial" w:cs="Arial" w:eastAsia="Arial" w:hAnsi="Arial"/>
                <w:sz w:val="18"/>
                <w:szCs w:val="18"/>
                <w:color w:val="0000EE"/>
              </w:rPr>
            </w:pPr>
            <w:hyperlink w:anchor="page107">
              <w:r>
                <w:rPr>
                  <w:rFonts w:ascii="Arial" w:cs="Arial" w:eastAsia="Arial" w:hAnsi="Arial"/>
                  <w:sz w:val="18"/>
                  <w:szCs w:val="18"/>
                  <w:u w:val="single" w:color="auto"/>
                  <w:color w:val="0000EE"/>
                </w:rPr>
                <w:t>AUDIT COMMITTEE FINANCIAL EXPERT</w:t>
              </w:r>
              <w:r>
                <w:rPr>
                  <w:rFonts w:ascii="Arial" w:cs="Arial" w:eastAsia="Arial" w:hAnsi="Arial"/>
                  <w:sz w:val="18"/>
                  <w:szCs w:val="18"/>
                  <w:color w:val="0000EE"/>
                </w:rPr>
                <w:t>.</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color w:val="0000EE"/>
              </w:rPr>
            </w:pPr>
            <w:hyperlink w:anchor="page107">
              <w:r>
                <w:rPr>
                  <w:rFonts w:ascii="Arial" w:cs="Arial" w:eastAsia="Arial" w:hAnsi="Arial"/>
                  <w:sz w:val="18"/>
                  <w:szCs w:val="18"/>
                  <w:u w:val="single" w:color="auto"/>
                  <w:color w:val="0000EE"/>
                </w:rPr>
                <w:t>ITEM 16B</w:t>
              </w:r>
              <w:r>
                <w:rPr>
                  <w:rFonts w:ascii="Arial" w:cs="Arial" w:eastAsia="Arial" w:hAnsi="Arial"/>
                  <w:sz w:val="18"/>
                  <w:szCs w:val="18"/>
                  <w:color w:val="0000EE"/>
                </w:rPr>
                <w:t>.</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CODE OF ETHICS.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color w:val="0000EE"/>
              </w:rPr>
            </w:pPr>
            <w:hyperlink w:anchor="page107">
              <w:r>
                <w:rPr>
                  <w:rFonts w:ascii="Arial" w:cs="Arial" w:eastAsia="Arial" w:hAnsi="Arial"/>
                  <w:sz w:val="18"/>
                  <w:szCs w:val="18"/>
                  <w:u w:val="single" w:color="auto"/>
                  <w:color w:val="0000EE"/>
                </w:rPr>
                <w:t>ITEM 16C</w:t>
              </w:r>
              <w:r>
                <w:rPr>
                  <w:rFonts w:ascii="Arial" w:cs="Arial" w:eastAsia="Arial" w:hAnsi="Arial"/>
                  <w:sz w:val="18"/>
                  <w:szCs w:val="18"/>
                  <w:color w:val="0000EE"/>
                </w:rPr>
                <w:t>.</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PRINCIPAL ACCOUNTANT FEES AND SERVICES.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16D.</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EXEMPTIONS FROM THE LISTING STANDARDS FOR AUDIT COMMITTEES.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16E.</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PURCHASES OF EQUITY SECURITIES BY THE ISSUER AND AFFILIATED PURCHASERS.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16F.</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CHANGES IN REGISTRANT’S CERTIFYING ACCOUNTANT.</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16G.</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CORPORATE GOVERNANCE</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09">
              <w:r>
                <w:rPr>
                  <w:rFonts w:ascii="Arial" w:cs="Arial" w:eastAsia="Arial" w:hAnsi="Arial"/>
                  <w:sz w:val="18"/>
                  <w:szCs w:val="18"/>
                  <w:b w:val="1"/>
                  <w:bCs w:val="1"/>
                  <w:u w:val="single" w:color="auto"/>
                  <w:color w:val="0000EE"/>
                </w:rPr>
                <w:t>PART III</w:t>
              </w:r>
            </w:hyperlink>
          </w:p>
        </w:tc>
        <w:tc>
          <w:tcPr>
            <w:tcW w:w="9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17.</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FINANCIAL STATEMENTS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3"/>
        </w:trPr>
        <w:tc>
          <w:tcPr>
            <w:tcW w:w="980" w:type="dxa"/>
            <w:vAlign w:val="bottom"/>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18.</w:t>
              </w:r>
            </w:hyperlink>
          </w:p>
        </w:tc>
        <w:tc>
          <w:tcPr>
            <w:tcW w:w="9360" w:type="dxa"/>
            <w:vAlign w:val="bottom"/>
          </w:tcPr>
          <w:p>
            <w:pPr>
              <w:ind w:left="16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FINANCIAL STATEMENTS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3"/>
        </w:trPr>
        <w:tc>
          <w:tcPr>
            <w:tcW w:w="98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ITEM 19.</w:t>
              </w:r>
            </w:hyperlink>
          </w:p>
        </w:tc>
        <w:tc>
          <w:tcPr>
            <w:tcW w:w="9360" w:type="dxa"/>
            <w:vAlign w:val="bottom"/>
            <w:shd w:val="clear" w:color="auto" w:fill="CCEEFF"/>
          </w:tcPr>
          <w:p>
            <w:pPr>
              <w:ind w:left="16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EXHIBITS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CERTAIN INFORMATION</w:t>
      </w:r>
    </w:p>
    <w:p>
      <w:pPr>
        <w:spacing w:after="0" w:line="22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spacing w:after="0" w:line="13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where the context otherwise requires and for purposes of this Annual Report only:</w:t>
      </w:r>
    </w:p>
    <w:p>
      <w:pPr>
        <w:spacing w:after="0" w:line="220" w:lineRule="exact"/>
        <w:rPr>
          <w:sz w:val="20"/>
          <w:szCs w:val="20"/>
          <w:color w:val="auto"/>
        </w:rPr>
      </w:pPr>
    </w:p>
    <w:p>
      <w:pPr>
        <w:ind w:left="960" w:hanging="313"/>
        <w:spacing w:after="0" w:line="27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“CLPS-Ridik AU” refers to CLPS-Ridik Technology (Australia) Pty. Ltd., an Australian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Hong Kong” refers to CLPS Technology (HK)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US” refers to CLPS Technology (US) Ltd., a Delaware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California” refers to CLPS Technology (California) Inc., a California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left="960" w:hanging="313"/>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Lihong” refers to CLPS Lihong Financial Information Services Co., Ltd., formerly Lihong Financial Information Services Co., Ltd. before the investment, a PRC company.</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“Infogain” refers to Infogain Solutions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“EMIT” refers to Economic Modeling Information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Hangzhou” refers to CLPS Hangzhou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Guangdong Zhichuang” refers to CLPS Guangdong Zhichuang Software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Shenzhen Robotics” refers to CLPS Shenzhen Robotics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Pte.” refers to Ridik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Consulting” refers to Ridik Consulting Private Limited, an Indian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Sdn.” refers to Ridik Sdn. Bhd., a Malaysian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Software Pte.” refers to Ridik Software Solutions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Software” refers to Ridik Software Solutions Ltd., a UK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“Suzhou Ridik” refers to Suzhou Ridik Information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Japan” refers to CLPS Technology Japan, a Japanese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“Qinson” refers to Qinson Credit Card Services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excluding, for the purposes of this Annual Report only, Macau, Taiwan and Hong Kong;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5"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7.0651 to USD1.00, the noon buying rate on June 30, 2020,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93"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spacing w:after="0" w:line="16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8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This Annual Report should be read in conjunction with our audited financial statements and the accompanying notes thereto, which are included in Item 18 of this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1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9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OFFER STATISTICS AND EXPECTED TIMETABLE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9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00" w:lineRule="exact"/>
        <w:rPr>
          <w:sz w:val="20"/>
          <w:szCs w:val="20"/>
          <w:color w:val="auto"/>
        </w:rPr>
      </w:pPr>
    </w:p>
    <w:p>
      <w:pPr>
        <w:ind w:left="1280" w:hanging="633"/>
        <w:spacing w:after="0"/>
        <w:tabs>
          <w:tab w:leader="none" w:pos="1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04"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The following selected consolidated financial data as of and for the years ended June 30, 2020, 2019 and 2018 have been derived from the audited consolidated financial statements of the Company included in this Annual Report. This information is only a summary and should be read together with the consolidated financial statements, the related notes, the section entitled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other financial information included in this Annual Report. The Company’s results of operations in any period may not necessarily be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indicative of the results that may be expected for any future period. See “Risk Factors” included elsewhere in this Annual Report.</w:t>
      </w:r>
    </w:p>
    <w:p>
      <w:pPr>
        <w:spacing w:after="0" w:line="38"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The following table presents our summary consolidated statements of comprehensive (loss) income for the fiscal years ended June 30, 2020, 2019 and 2018, respectively.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Comprehensive (Loss) Income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7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89,415,798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64,932,937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48,938,593</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(58,296,097)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(41,178,356)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(31,277,255)</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31,119,701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7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3,059,877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2,179,029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2,225,702</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10,436,975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7,978,883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7,837,873</w:t>
            </w:r>
          </w:p>
        </w:tc>
        <w:tc>
          <w:tcPr>
            <w:tcW w:w="0" w:type="dxa"/>
            <w:vAlign w:val="bottom"/>
          </w:tcPr>
          <w:p>
            <w:pPr>
              <w:spacing w:after="0"/>
              <w:rPr>
                <w:sz w:val="1"/>
                <w:szCs w:val="1"/>
                <w:color w:val="auto"/>
              </w:rPr>
            </w:pPr>
          </w:p>
        </w:tc>
      </w:tr>
      <w:tr>
        <w:trPr>
          <w:trHeight w:val="234"/>
        </w:trPr>
        <w:tc>
          <w:tcPr>
            <w:tcW w:w="7320" w:type="dxa"/>
            <w:vAlign w:val="bottom"/>
          </w:tcPr>
          <w:p>
            <w:pPr>
              <w:ind w:left="3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16,343,936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17,384,393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5,871,622</w:t>
            </w:r>
          </w:p>
        </w:tc>
        <w:tc>
          <w:tcPr>
            <w:tcW w:w="0" w:type="dxa"/>
            <w:vAlign w:val="bottom"/>
          </w:tcPr>
          <w:p>
            <w:pPr>
              <w:spacing w:after="0"/>
              <w:rPr>
                <w:sz w:val="1"/>
                <w:szCs w:val="1"/>
                <w:color w:val="auto"/>
              </w:rPr>
            </w:pPr>
          </w:p>
        </w:tc>
      </w:tr>
      <w:tr>
        <w:trPr>
          <w:trHeight w:val="23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29,840,788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27,542,305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line="201" w:lineRule="exact"/>
              <w:rPr>
                <w:sz w:val="20"/>
                <w:szCs w:val="20"/>
                <w:color w:val="auto"/>
              </w:rPr>
            </w:pPr>
            <w:r>
              <w:rPr>
                <w:rFonts w:ascii="Arial" w:cs="Arial" w:eastAsia="Arial" w:hAnsi="Arial"/>
                <w:sz w:val="18"/>
                <w:szCs w:val="18"/>
                <w:color w:val="auto"/>
              </w:rPr>
              <w:t>Income (loss) from operation</w:t>
            </w: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1,278,913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(3,787,724)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1,726,141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779,508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960,784</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(84,155)</w:t>
            </w:r>
          </w:p>
        </w:tc>
        <w:tc>
          <w:tcPr>
            <w:tcW w:w="0" w:type="dxa"/>
            <w:vAlign w:val="bottom"/>
          </w:tcPr>
          <w:p>
            <w:pPr>
              <w:spacing w:after="0"/>
              <w:rPr>
                <w:sz w:val="1"/>
                <w:szCs w:val="1"/>
                <w:color w:val="auto"/>
              </w:rPr>
            </w:pPr>
          </w:p>
        </w:tc>
      </w:tr>
      <w:tr>
        <w:trPr>
          <w:trHeight w:val="93"/>
        </w:trPr>
        <w:tc>
          <w:tcPr>
            <w:tcW w:w="73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Income (loss) before income tax and share of loss in equity investees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3,707,459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(3,100,645)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2,602,770</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(benefits) for income taxes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835,444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186,615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(112,128)</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Income (loss) before share of income (loss) in equity investees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2,872,015</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(3,287,260</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2,714,898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income (loss) in equity investees, net of tax</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207,363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line="201"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3,079,378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(3,432,589)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2,714,898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280,435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Net income (loss)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320" w:type="dxa"/>
            <w:vAlign w:val="bottom"/>
            <w:vMerge w:val="continue"/>
          </w:tcPr>
          <w:p>
            <w:pPr>
              <w:spacing w:after="0"/>
              <w:rPr>
                <w:sz w:val="23"/>
                <w:szCs w:val="23"/>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2,938,239</w:t>
            </w:r>
          </w:p>
        </w:tc>
        <w:tc>
          <w:tcPr>
            <w:tcW w:w="1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(3,269,776</w:t>
            </w:r>
          </w:p>
        </w:tc>
        <w:tc>
          <w:tcPr>
            <w:tcW w:w="120" w:type="dxa"/>
            <w:vAlign w:val="bottom"/>
            <w:vMerge w:val="continue"/>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2,434,463</w:t>
            </w:r>
          </w:p>
        </w:tc>
        <w:tc>
          <w:tcPr>
            <w:tcW w:w="0" w:type="dxa"/>
            <w:vAlign w:val="bottom"/>
          </w:tcPr>
          <w:p>
            <w:pPr>
              <w:spacing w:after="0"/>
              <w:rPr>
                <w:sz w:val="1"/>
                <w:szCs w:val="1"/>
                <w:color w:val="auto"/>
              </w:rPr>
            </w:pPr>
          </w:p>
        </w:tc>
      </w:tr>
      <w:tr>
        <w:trPr>
          <w:trHeight w:val="93"/>
        </w:trPr>
        <w:tc>
          <w:tcPr>
            <w:tcW w:w="73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(loss) gain</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(571,943)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(429,348)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55,793</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 gain attributable to CLPS Incorporation’s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(549,015)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45,593</w:t>
            </w:r>
          </w:p>
        </w:tc>
        <w:tc>
          <w:tcPr>
            <w:tcW w:w="0" w:type="dxa"/>
            <w:vAlign w:val="bottom"/>
          </w:tcPr>
          <w:p>
            <w:pPr>
              <w:spacing w:after="0"/>
              <w:rPr>
                <w:sz w:val="1"/>
                <w:szCs w:val="1"/>
                <w:color w:val="auto"/>
              </w:rPr>
            </w:pPr>
          </w:p>
        </w:tc>
      </w:tr>
      <w:tr>
        <w:trPr>
          <w:trHeight w:val="93"/>
        </w:trPr>
        <w:tc>
          <w:tcPr>
            <w:tcW w:w="7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CLPS Incorporation shareholders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2,389,224</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(3,681,749)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2,480,056</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290,635</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2,507,435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(3,861,937)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2,770,691</w:t>
            </w:r>
          </w:p>
        </w:tc>
        <w:tc>
          <w:tcPr>
            <w:tcW w:w="0" w:type="dxa"/>
            <w:vAlign w:val="bottom"/>
          </w:tcPr>
          <w:p>
            <w:pPr>
              <w:spacing w:after="0"/>
              <w:rPr>
                <w:sz w:val="1"/>
                <w:szCs w:val="1"/>
                <w:color w:val="auto"/>
              </w:rPr>
            </w:pPr>
          </w:p>
        </w:tc>
      </w:tr>
      <w:tr>
        <w:trPr>
          <w:trHeight w:val="93"/>
        </w:trPr>
        <w:tc>
          <w:tcPr>
            <w:tcW w:w="7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14,689,224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13,843,764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11,517,123</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14,692,299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13,843,764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11,636,367</w:t>
            </w:r>
          </w:p>
        </w:tc>
        <w:tc>
          <w:tcPr>
            <w:tcW w:w="0" w:type="dxa"/>
            <w:vAlign w:val="bottom"/>
          </w:tcPr>
          <w:p>
            <w:pPr>
              <w:spacing w:after="0"/>
              <w:rPr>
                <w:sz w:val="1"/>
                <w:szCs w:val="1"/>
                <w:color w:val="auto"/>
              </w:rPr>
            </w:pPr>
          </w:p>
        </w:tc>
      </w:tr>
      <w:tr>
        <w:trPr>
          <w:trHeight w:val="93"/>
        </w:trPr>
        <w:tc>
          <w:tcPr>
            <w:tcW w:w="7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Non-GAAP income before income tax</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7,711,539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3,915,444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2,602,770</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3,583,500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2,714,898</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Non-GAAP net income attributable to CLPS Incorporation’s shareholders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6,942,319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3,746,313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2,434,463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basic earnings per common share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14,689,224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13,843,764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11,517,123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diluted earnings per common share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14,692,299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13,969,436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11,636,367</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810" w:gutter="0" w:footer="0" w:header="0"/>
        </w:sectPr>
      </w:pPr>
    </w:p>
    <w:bookmarkStart w:id="7" w:name="page8"/>
    <w:bookmarkEnd w:id="7"/>
    <w:p>
      <w:pPr>
        <w:ind w:left="640"/>
        <w:spacing w:after="0"/>
        <w:rPr>
          <w:sz w:val="20"/>
          <w:szCs w:val="20"/>
          <w:color w:val="auto"/>
        </w:rPr>
      </w:pPr>
      <w:r>
        <w:rPr>
          <w:rFonts w:ascii="Arial" w:cs="Arial" w:eastAsia="Arial" w:hAnsi="Arial"/>
          <w:sz w:val="18"/>
          <w:szCs w:val="18"/>
          <w:b w:val="1"/>
          <w:bCs w:val="1"/>
          <w:color w:val="auto"/>
        </w:rPr>
        <w:t>The following table presents our summary consolidated balance sheet data as of June 30, 2020 and 2019,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June 30,</w:t>
            </w:r>
          </w:p>
        </w:tc>
      </w:tr>
      <w:tr>
        <w:trPr>
          <w:trHeight w:val="220"/>
        </w:trPr>
        <w:tc>
          <w:tcPr>
            <w:tcW w:w="86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12,652,120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6,601,335</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636,934</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1,791,697</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25,753,856</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19,263,584</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Escrow receivable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1,280,967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1,028,154</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Prepaid income tax</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15,780</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630,790</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169,185</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230,540</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40,508,842</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29,746,100</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452,472</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566,591</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1,144,579</w:t>
            </w:r>
          </w:p>
        </w:tc>
        <w:tc>
          <w:tcPr>
            <w:tcW w:w="120" w:type="dxa"/>
            <w:vAlign w:val="bottom"/>
          </w:tcPr>
          <w:p>
            <w:pPr>
              <w:spacing w:after="0"/>
              <w:rPr>
                <w:sz w:val="18"/>
                <w:szCs w:val="18"/>
                <w:color w:val="auto"/>
              </w:rPr>
            </w:pP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427,769</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2,118,700</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447,790</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680,131</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914,006</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244,387</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222,507</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203,247</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338,221</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45,352,358</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32,662,984</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Short-term bank loans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2,161,239</w:t>
            </w:r>
          </w:p>
        </w:tc>
        <w:tc>
          <w:tcPr>
            <w:tcW w:w="120" w:type="dxa"/>
            <w:vAlign w:val="bottom"/>
          </w:tcPr>
          <w:p>
            <w:pPr>
              <w:spacing w:after="0"/>
              <w:rPr>
                <w:sz w:val="18"/>
                <w:szCs w:val="18"/>
                <w:color w:val="auto"/>
              </w:rPr>
            </w:pP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2,184,996</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489,043</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196,832</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Tax payables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1,426,614</w:t>
            </w:r>
          </w:p>
        </w:tc>
        <w:tc>
          <w:tcPr>
            <w:tcW w:w="120" w:type="dxa"/>
            <w:vAlign w:val="bottom"/>
          </w:tcPr>
          <w:p>
            <w:pPr>
              <w:spacing w:after="0"/>
              <w:rPr>
                <w:sz w:val="18"/>
                <w:szCs w:val="18"/>
                <w:color w:val="auto"/>
              </w:rPr>
            </w:pP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915,629</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subsidies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109,250</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revenues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124,192</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11,522,268</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7,735,487</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163,163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194,939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16,734,998</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11,266,386</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27,348,644</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20,788,436</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1,268,716</w:t>
            </w:r>
          </w:p>
        </w:tc>
        <w:tc>
          <w:tcPr>
            <w:tcW w:w="120" w:type="dxa"/>
            <w:vAlign w:val="bottom"/>
          </w:tcPr>
          <w:p>
            <w:pPr>
              <w:spacing w:after="0"/>
              <w:rPr>
                <w:sz w:val="18"/>
                <w:szCs w:val="18"/>
                <w:color w:val="auto"/>
              </w:rPr>
            </w:pP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608,162</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28,617,360</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21,396,598</w:t>
            </w:r>
          </w:p>
        </w:tc>
      </w:tr>
      <w:tr>
        <w:trPr>
          <w:trHeight w:val="226"/>
        </w:trPr>
        <w:tc>
          <w:tcPr>
            <w:tcW w:w="86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45,352,358</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32,662,984</w:t>
            </w:r>
          </w:p>
        </w:tc>
      </w:tr>
    </w:tbl>
    <w:p>
      <w:pPr>
        <w:spacing w:after="0" w:line="186"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September 30, 2020, the buying rate announced by the Federal Reserve Statistical Release was RMB 6.7896 to $1.00.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Spot Exchange Rate</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91"/>
              <w:spacing w:after="0" w:line="195" w:lineRule="exact"/>
              <w:rPr>
                <w:sz w:val="20"/>
                <w:szCs w:val="20"/>
                <w:color w:val="auto"/>
              </w:rPr>
            </w:pPr>
            <w:r>
              <w:rPr>
                <w:rFonts w:ascii="Arial" w:cs="Arial" w:eastAsia="Arial" w:hAnsi="Arial"/>
                <w:sz w:val="18"/>
                <w:szCs w:val="18"/>
                <w:b w:val="1"/>
                <w:bCs w:val="1"/>
                <w:color w:val="auto"/>
              </w:rPr>
              <w:t>Period</w:t>
            </w:r>
          </w:p>
        </w:tc>
        <w:tc>
          <w:tcPr>
            <w:tcW w:w="1420" w:type="dxa"/>
            <w:vAlign w:val="bottom"/>
          </w:tcPr>
          <w:p>
            <w:pPr>
              <w:jc w:val="right"/>
              <w:ind w:right="471"/>
              <w:spacing w:after="0" w:line="195" w:lineRule="exact"/>
              <w:rPr>
                <w:sz w:val="20"/>
                <w:szCs w:val="20"/>
                <w:color w:val="auto"/>
              </w:rPr>
            </w:pPr>
            <w:r>
              <w:rPr>
                <w:rFonts w:ascii="Arial" w:cs="Arial" w:eastAsia="Arial" w:hAnsi="Arial"/>
                <w:sz w:val="18"/>
                <w:szCs w:val="18"/>
                <w:b w:val="1"/>
                <w:bCs w:val="1"/>
                <w:color w:val="auto"/>
              </w:rPr>
              <w:t>Average</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1"/>
              <w:spacing w:after="0"/>
              <w:rPr>
                <w:sz w:val="20"/>
                <w:szCs w:val="20"/>
                <w:color w:val="auto"/>
              </w:rPr>
            </w:pPr>
            <w:r>
              <w:rPr>
                <w:rFonts w:ascii="Arial" w:cs="Arial" w:eastAsia="Arial" w:hAnsi="Arial"/>
                <w:sz w:val="18"/>
                <w:szCs w:val="18"/>
                <w:b w:val="1"/>
                <w:bCs w:val="1"/>
                <w:color w:val="auto"/>
              </w:rPr>
              <w:t>Ended</w:t>
            </w:r>
          </w:p>
        </w:tc>
        <w:tc>
          <w:tcPr>
            <w:tcW w:w="1420" w:type="dxa"/>
            <w:vAlign w:val="bottom"/>
          </w:tcPr>
          <w:p>
            <w:pPr>
              <w:ind w:left="440"/>
              <w:spacing w:after="0"/>
              <w:rPr>
                <w:sz w:val="20"/>
                <w:szCs w:val="20"/>
                <w:color w:val="auto"/>
              </w:rPr>
            </w:pPr>
            <w:r>
              <w:rPr>
                <w:rFonts w:ascii="Arial" w:cs="Arial" w:eastAsia="Arial" w:hAnsi="Arial"/>
                <w:sz w:val="18"/>
                <w:szCs w:val="18"/>
                <w:b w:val="1"/>
                <w:bCs w:val="1"/>
                <w:color w:val="auto"/>
              </w:rPr>
              <w:t>(1)</w:t>
            </w: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Low</w:t>
            </w:r>
          </w:p>
        </w:tc>
        <w:tc>
          <w:tcPr>
            <w:tcW w:w="114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r>
      <w:tr>
        <w:trPr>
          <w:trHeight w:val="22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6.8755</w:t>
            </w:r>
          </w:p>
        </w:tc>
        <w:tc>
          <w:tcPr>
            <w:tcW w:w="14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6.6090</w:t>
            </w:r>
          </w:p>
        </w:tc>
        <w:tc>
          <w:tcPr>
            <w:tcW w:w="13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6.2649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6.9618</w:t>
            </w: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6.9081</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6.6822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7.1786</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January</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6.9161</w:t>
            </w: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6.9184</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6.8589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6.9749</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6.9906</w:t>
            </w:r>
          </w:p>
        </w:tc>
        <w:tc>
          <w:tcPr>
            <w:tcW w:w="1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6.9967</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6.9650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7.0286</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March</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7.0808</w:t>
            </w: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7.0205</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6.9244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7.1099</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7.0622</w:t>
            </w:r>
          </w:p>
        </w:tc>
        <w:tc>
          <w:tcPr>
            <w:tcW w:w="1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7.0708</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7.0341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7.0989</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May</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7.1348</w:t>
            </w: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7.1016</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7.0622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7.1681</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7.0651</w:t>
            </w:r>
          </w:p>
        </w:tc>
        <w:tc>
          <w:tcPr>
            <w:tcW w:w="1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7.0816</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7.0575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7.0575</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July</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6.9744</w:t>
            </w: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7.0041</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6.9744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7.0703</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August</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6.8474</w:t>
            </w:r>
          </w:p>
        </w:tc>
        <w:tc>
          <w:tcPr>
            <w:tcW w:w="1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6.9301</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6.8474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6.9799</w:t>
            </w:r>
          </w:p>
        </w:tc>
      </w:tr>
      <w:tr>
        <w:trPr>
          <w:trHeight w:val="226"/>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September</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6.7896</w:t>
            </w: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6.8106</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6.7529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6.8474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0" w:lineRule="exact"/>
        <w:rPr>
          <w:sz w:val="20"/>
          <w:szCs w:val="20"/>
          <w:color w:val="auto"/>
        </w:rPr>
      </w:pPr>
    </w:p>
    <w:p>
      <w:pPr>
        <w:ind w:left="640" w:hanging="633"/>
        <w:spacing w:after="0" w:line="27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color w:val="auto"/>
        </w:rPr>
        <w:t>Capitalization and Indebtedness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117" w:gutter="0" w:footer="0" w:header="0"/>
        </w:sectPr>
      </w:pPr>
    </w:p>
    <w:bookmarkStart w:id="8" w:name="page9"/>
    <w:bookmarkEnd w:id="8"/>
    <w:p>
      <w:pPr>
        <w:ind w:left="1280" w:hanging="633"/>
        <w:spacing w:after="0"/>
        <w:tabs>
          <w:tab w:leader="none" w:pos="1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ind w:left="1280" w:hanging="633"/>
        <w:spacing w:after="0"/>
        <w:tabs>
          <w:tab w:leader="none" w:pos="1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13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We have significantly grown and expanded our business recently. Our revenues grew from $48.9 million in fiscal 2018 to $64.9 million in fiscal 2019 and to $89.4 million in fiscal 2020. We maintain 18 delivery and/or R&amp;D centers, of which ten are located in Mainland China (Shanghai, Beijing, Dalian, Tianjin, Baoding Chengdu, Guangzhou, Shenzhen, Hangzhou, and Suzhou) and eight are located globally (Hong Kong SAR, USA, UK, Japan, Singapore, Malaysia, Australia, and India, to serve different customers in various geographic locations. The number of our total employees grew from 1,655 in fiscal 2018 to 2,085 in fiscal 2019. As of June 30, 2020 we had 2,746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82" w:lineRule="exact"/>
        <w:rPr>
          <w:sz w:val="20"/>
          <w:szCs w:val="20"/>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IT talent and management personnel;</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adhering to and further improving our high quality and process execution standards and maintaining high levels of client satisfaction.</w:t>
      </w:r>
    </w:p>
    <w:p>
      <w:pPr>
        <w:spacing w:after="0" w:line="231"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88"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52"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16% per annum in 2018 and 2019, respectively; in 2020, this rate was 16.6%.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2020, 2019 and 2018, Citibank and its affiliates accounted for 21.5%, 25.7% and 30.8% of the Company’s total revenues, respectively. For fiscal 2019 and 2018, substantially all the service provided by the Company to Citibank was IT consulting services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2020 and 2019, our accounts receivable balance, net of allowance, amounted to approximately $25.8 million and $19.3 million, respectively. As of the years ended June 30, 2020 and 2019, Citibank accounted for 30.1% and 30.0% of the Company’s total accounts receivable balance.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68"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3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6" w:lineRule="exact"/>
        <w:rPr>
          <w:sz w:val="20"/>
          <w:szCs w:val="20"/>
          <w:color w:val="auto"/>
        </w:rPr>
      </w:pPr>
    </w:p>
    <w:p>
      <w:pPr>
        <w:ind w:left="960" w:hanging="313"/>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19" w:lineRule="exact"/>
        <w:rPr>
          <w:rFonts w:ascii="Arial" w:cs="Arial" w:eastAsia="Arial" w:hAnsi="Arial"/>
          <w:sz w:val="18"/>
          <w:szCs w:val="18"/>
          <w:color w:val="auto"/>
        </w:rPr>
      </w:pPr>
    </w:p>
    <w:p>
      <w:pPr>
        <w:ind w:left="960" w:right="20" w:hanging="313"/>
        <w:spacing w:after="0" w:line="27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5"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93" w:lineRule="exact"/>
        <w:rPr>
          <w:sz w:val="20"/>
          <w:szCs w:val="20"/>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implementing our strategy and modifying it from time to time to respond effectively to competition and changes in client preferences;</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1"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 w:name="page15"/>
    <w:bookmarkEnd w:id="14"/>
    <w:p>
      <w:pPr>
        <w:jc w:val="both"/>
        <w:spacing w:after="0" w:line="415" w:lineRule="auto"/>
        <w:rPr>
          <w:sz w:val="20"/>
          <w:szCs w:val="20"/>
          <w:color w:val="auto"/>
        </w:rPr>
      </w:pPr>
      <w:r>
        <w:rPr>
          <w:rFonts w:ascii="Arial" w:cs="Arial" w:eastAsia="Arial" w:hAnsi="Arial"/>
          <w:sz w:val="14"/>
          <w:szCs w:val="14"/>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84"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3"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5" w:lineRule="exact"/>
        <w:rPr>
          <w:sz w:val="20"/>
          <w:szCs w:val="20"/>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19" w:lineRule="exact"/>
        <w:rPr>
          <w:rFonts w:ascii="Arial" w:cs="Arial" w:eastAsia="Arial" w:hAnsi="Arial"/>
          <w:sz w:val="18"/>
          <w:szCs w:val="18"/>
          <w:color w:val="auto"/>
        </w:rPr>
      </w:pPr>
    </w:p>
    <w:p>
      <w:pPr>
        <w:ind w:left="960" w:hanging="313"/>
        <w:spacing w:after="0" w:line="300"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51" w:lineRule="exact"/>
        <w:rPr>
          <w:rFonts w:ascii="Arial" w:cs="Arial" w:eastAsia="Arial" w:hAnsi="Arial"/>
          <w:sz w:val="17"/>
          <w:szCs w:val="17"/>
          <w:color w:val="auto"/>
        </w:rPr>
      </w:pPr>
    </w:p>
    <w:p>
      <w:pPr>
        <w:ind w:left="960" w:hanging="313"/>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potentially adverse tax consequences, such as scrutiny of transfer pricing arrangements by authorities in the countries in which we operate;</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0"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5"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5"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jc w:val="both"/>
        <w:spacing w:after="0" w:line="300"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52"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87"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52"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8"/>
          <w:szCs w:val="18"/>
          <w:b w:val="1"/>
          <w:bCs w:val="1"/>
          <w:i w:val="1"/>
          <w:iCs w:val="1"/>
          <w:color w:val="auto"/>
        </w:rPr>
        <w:t>We may incur losses resulting from business interruptions resulting from occurrence of natural disasters, health epidemics and other outbreaks or events.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negatively impacted by the COVID-19 outbreak.</w:t>
      </w:r>
    </w:p>
    <w:p>
      <w:pPr>
        <w:spacing w:after="0" w:line="22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In December 2019, the 2019 novel coronavirus (COVID-19) surfaced in Wuhan, China. The World Health Organization declared a global emergency on January 30, 2020 with respect to the outbreak then characterized it as a pandemic on March 11, 2020. The outbreak has spread throughout Europe and the Middle East, and there have been many cases of COVID-19 in Canada and the United States, causing companies and various international jurisdictions to impose restrictions, such as quarantines, closures, cancellations and travel restrictions. While these effects are expected to be temporary, the duration of the business disruptions internationally and related financial impact cannot be reasonably estimated at this time. Similarly, we cannot estimate whether or to what extent this outbreak and potential financial impact may extend to countries outside of those currently impacted. At this point, the extent to which the coronavirus may impact our results is uncertain; however, it is possible that our consolidated results in 2020 may be negatively impacted by this event. The impacts of the outbreak are unknown and rapidly evolving.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Indian rupee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68"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1"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93"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the course of auditing our consolidated financial statements as of June 30, 2019 and for the year ended June 30, 2019, we and our independent registered public accounting firm identified one material weakness in our internal control over financial reporting as well as other control deficiencies. The material weakness identified is the Company’s lack of sufficient financial accounting and reporting personnel with requisite knowledge and experience in the application of the United States generally accepted accounting principles (“U.S. GAAP”) and Securities and Exchange Commission (“SEC”) rules and lack of sufficient controls and procedures that are commensurate with U.S. GAAP and SEC reporting requirements.</w:t>
      </w:r>
    </w:p>
    <w:p>
      <w:pPr>
        <w:spacing w:after="0" w:line="92"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have implemented a number of measures to improve our internal control over financial reporting to address the material weakness that have been identified. For details about remediation, refer to “Item 15. Controls and Procedures.” As of June 30, 2020, based on an assessment performed by our management on the performance of the remediation measures, we determined that the material weakness previously identified in our internal control over financial reporting had been remediated.</w:t>
      </w:r>
    </w:p>
    <w:p>
      <w:pPr>
        <w:spacing w:after="0" w:line="9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spacing w:after="0" w:line="93"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Our management concluded that our internal control over financial reporting is effective as of June 30, 2020. In addition, once we cease to be an “emerging growth company” as such term is defined in the JOBS Act, our independent registered public accounting firm must attest to and report on the effectiveness of our internal control over financial reporting.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75"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spacing w:after="0" w:line="72"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12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8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127"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75"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Pursuant to Company Law of P.R. China (2018 Revision), Foreign Investment Law of the People’s Republic of China (2020) and Implementing Regulations of the Foreign Investment Law of the People’s Republic of China (2020) Wholly Foreign-Owned Enterprise (“WOFE”) Law of the P.R. China (2016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96" w:lineRule="exact"/>
        <w:rPr>
          <w:sz w:val="20"/>
          <w:szCs w:val="20"/>
          <w:color w:val="auto"/>
        </w:rPr>
      </w:pPr>
    </w:p>
    <w:p>
      <w:pPr>
        <w:jc w:val="both"/>
        <w:spacing w:after="0" w:line="415" w:lineRule="auto"/>
        <w:rPr>
          <w:sz w:val="20"/>
          <w:szCs w:val="20"/>
          <w:color w:val="auto"/>
        </w:rPr>
      </w:pPr>
      <w:r>
        <w:rPr>
          <w:rFonts w:ascii="Arial" w:cs="Arial" w:eastAsia="Arial" w:hAnsi="Arial"/>
          <w:sz w:val="14"/>
          <w:szCs w:val="14"/>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84"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86"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According to the Guidelines on Foreign Investment issued by the State Council in 2002 and the Catalogue of Industries for Encouraging Foreign Investment (2019)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52"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uncertainty regarding the PRC tax reporting obligations and consequences for certain indirect transfers of the stock of our operating company.</w:t>
      </w:r>
    </w:p>
    <w:p>
      <w:pPr>
        <w:spacing w:after="0" w:line="266"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January 1, 2008,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p>
      <w:pPr>
        <w:jc w:val="both"/>
        <w:spacing w:after="0" w:line="258"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6"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spacing w:after="0" w:line="168"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67"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spacing w:after="0" w:line="415" w:lineRule="auto"/>
        <w:rPr>
          <w:sz w:val="20"/>
          <w:szCs w:val="20"/>
          <w:color w:val="auto"/>
        </w:rPr>
      </w:pPr>
      <w:r>
        <w:rPr>
          <w:rFonts w:ascii="Arial" w:cs="Arial" w:eastAsia="Arial" w:hAnsi="Arial"/>
          <w:sz w:val="14"/>
          <w:szCs w:val="14"/>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8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88"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77"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spacing w:after="0" w:line="193"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6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 w:name="page28"/>
    <w:bookmarkEnd w:id="27"/>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38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7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spacing w:after="0" w:line="177"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both"/>
        <w:ind w:firstLine="640"/>
        <w:spacing w:after="0" w:line="283" w:lineRule="auto"/>
        <w:rPr>
          <w:sz w:val="20"/>
          <w:szCs w:val="20"/>
          <w:color w:val="auto"/>
        </w:rPr>
      </w:pPr>
      <w:r>
        <w:rPr>
          <w:rFonts w:ascii="Arial" w:cs="Arial" w:eastAsia="Arial" w:hAnsi="Arial"/>
          <w:sz w:val="16"/>
          <w:szCs w:val="16"/>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72"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spacing w:after="0" w:line="16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5"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1"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 w:name="page30"/>
    <w:bookmarkEnd w:id="29"/>
    <w:p>
      <w:pPr>
        <w:jc w:val="both"/>
        <w:spacing w:after="0" w:line="270" w:lineRule="auto"/>
        <w:rPr>
          <w:sz w:val="20"/>
          <w:szCs w:val="20"/>
          <w:color w:val="auto"/>
        </w:rPr>
      </w:pPr>
      <w:r>
        <w:rPr>
          <w:rFonts w:ascii="Arial" w:cs="Arial" w:eastAsia="Arial" w:hAnsi="Arial"/>
          <w:sz w:val="18"/>
          <w:szCs w:val="18"/>
          <w:b w:val="1"/>
          <w:bCs w:val="1"/>
          <w:i w:val="1"/>
          <w:iCs w:val="1"/>
          <w:color w:val="auto"/>
        </w:rPr>
        <w:t>The audit report included in this annual report is prepared by an auditor who is not inspected by the Public Company Accounting Oversight Board, and as such, you are deprived of the benefits of such inspection.</w:t>
      </w:r>
    </w:p>
    <w:p>
      <w:pPr>
        <w:spacing w:after="0" w:line="95"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Our independent registered public accounting firm that issues the audit report included in this annual report, as auditors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102"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0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06"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restricted by China’s own law,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NYSE of issuers included on the SEC’s list for three consecutive years. Enactment of this legislation or other efforts to increase U.S. regulatory access to audit information could cause investor uncertainty for affected issuers, including us, and the market price of our shares could be adversely affected. It is unclear if this proposed legislation would be enacted. Furthermore, there has been recent media reports on deliberations within the U.S. government regarding potentially limiting or restricting China-based companies from accessing U.S. capital markets. If any such deliberations should materialize, the resulting legislation may have material and adverse impact on the stock performance of China-based issuers listed in the United States including us.</w:t>
      </w:r>
    </w:p>
    <w:p>
      <w:pPr>
        <w:spacing w:after="0" w:line="91"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and practices of accounting firms in China with respect to their audit work of U.S. reporting companies. Inspections of other accounting firms that the PCAOB has conducted have identified deficiencies in those firms’ audit procedures and quality control procedures, which may be addressed as part of the inspection process to improve future audit quality. The lack of PCAOB inspections of audit work undertaken in China prevents the PCAOB from regularly evaluating our auditor’s audits and its quality control procedures. As a result, investors of our ordinary shares do not derive the benefits of PCAOB inspections, and may lose confidence in our reported financial information and procedures and the quality of our financial statements.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we could be unable to timely file future financial statements in compliance with the requirements of the Exchange Act.</w:t>
      </w:r>
    </w:p>
    <w:p>
      <w:pPr>
        <w:spacing w:after="0" w:line="10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Ernst &amp; Young Hua Ming LLP, our auditor, is required under U.S. law to undergo regular inspections by the PCAOB. However, without approval from the Chinese government authorities, the PCAOB is currently unable to conduct inspections of the audit work and practices of PCAOB-registered audit firms within the PRC on a basis comparable to other non-U.S. jurisdictions. Since we have substantial operations in the PRC, our auditor and its audit work are currently not fully inspected by the PCAOB.</w:t>
      </w:r>
    </w:p>
    <w:p>
      <w:pPr>
        <w:spacing w:after="0" w:line="10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Inspections of other auditors conducted by the PCAOB outside of China have at times identified deficiencies in those auditors’ audit procedures and quality control procedures, which may be addressed as part of the inspection process to improve future audit quality. The inability of the PCAOB to conduct full inspections of auditors in China makes it more difficult to evaluate the effectiveness of our auditor’s audit procedures or quality control procedures as compared to auditors outside of China that are subject to PCAOB inspections.</w:t>
      </w:r>
    </w:p>
    <w:p>
      <w:pPr>
        <w:spacing w:after="0" w:line="10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SEC previously instituted proceedings against mainland Chinese affiliates of the “big four” accounting firms, including the affiliate of our auditor, for failing to produce audit work papers under Section 106 of the Sarbanes-Oxley Act because of restrictions under PRC law. Each of the “big four” accounting firms in mainland China agreed to a censure and to pay a fine to the SEC to settle the dispute and stay the proceedings for four years, until the proceedings were deemed dismissed with prejudice on February 6, 2019. It remains unclear whether the SEC will commence a new administrative proceeding against the four mainland China-based accounting firms. Any such new proceedings or similar action against our audit firm for failure to provide access to audit work papers could result in the imposition of penalties, such as suspension of our auditor’s ability to practice before the SEC. If our independent registered public accounting firm, or its affiliate, was denied, even temporarily, the ability to practice before the SEC, and it was determined that our financial statements or audit reports were not in compliance with the requirements of the U.S. Exchange Act, we could be at risk of delisting or become subject to other penalties that would adversely affect our ability to remain listed on the Nasdaq.</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jc w:val="both"/>
        <w:ind w:firstLine="640"/>
        <w:spacing w:after="0" w:line="266" w:lineRule="auto"/>
        <w:rPr>
          <w:sz w:val="20"/>
          <w:szCs w:val="20"/>
          <w:color w:val="auto"/>
        </w:rPr>
      </w:pPr>
      <w:r>
        <w:rPr>
          <w:rFonts w:ascii="Arial" w:cs="Arial" w:eastAsia="Arial" w:hAnsi="Arial"/>
          <w:sz w:val="17"/>
          <w:szCs w:val="17"/>
          <w:color w:val="auto"/>
        </w:rPr>
        <w:t>In recent years, U.S. regulators have continued to express their concerns about challenges in their oversight of financial statement audits of U.S.-listed companies with significant operations in China. More recently, as part of increased regulatory focus in the U.S. on access to audit information, on May 20, 2020, the U.S. Senate passed the Holding Foreign Companies Accountable Act, or the HFCA Act, which includes requirements for the SEC to identify issuers whose audit reports are prepared by auditors that the PCAOB is unable to inspect or investigate completely because of a restriction imposed by a non-U.S. authority in the auditor’s local jurisdiction. If the HFCA Act or any similar legislation were enacted into law, our securities may be prohibited from trading on the Nasdaq or other U.S. stock exchanges if our auditor is not inspected by the PCAOB for three consecutive years, and this ultimately could result in our ordinary shares being delisted. Delisting of our ordinary shares would force our U.S.-based shareholders to sell their shares. The market prices of our ordinary shares could be adversely affected as a result of anticipated negative impacts of the HFCA Act upon, as well as negative investor sentiment towards, China-based companies listed in the United States, regardless of whether the HFCA Act is enacted and regardless of our actual operating performance.</w:t>
      </w:r>
    </w:p>
    <w:p>
      <w:pPr>
        <w:spacing w:after="0" w:line="102"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Furthermore, on June 4, 2020, the U.S. President issued a memorandum ordering the President’s Working Group on Financial Markets (“PWG”) to submit a report to the President within 60 days of the memorandum that includes recommendations for actions that can be taken by the executive branch, the SEC, the PCAOB or other federal agencies and departments with respect to Chinese companies listed on U.S. stock exchanges and their audit firms, in an effort to protect investors in the United States. On August 6, 2020, PWG released its Report on Protecting United States Investors from Significant Risks from Chinese Companies (“PWG Report”). The PWG Report includes five recommendations for the Securities and Exchange Commission. In particular, to address companies from jurisdictions, such as China, that do not provide the PCAOB with sufficient access to fulfill its statutory mandate, the PWG recommends enhanced listing standards on U.S.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 papers and practices in these countries may satisfy this requirement by providing a co-audit from an audit firm with comparable resources and experience where the PCAOB determines it has sufficient access to audit work papers and practices to conduct an appropriate inspection of the co-audit firm. The PWG Report permits the new listing standards to provide for a transition period until January 1, 2022 for listed companies. The recommendations are to include actions that could be taken under current laws and rules as well as possible new rulemaking recommendations. Any resulting actions, proceedings or new rules could adversely affect the listing and compliance status of China-based issuers listed in the United States, such as our company, and may have a material and adverse impact on the trading prices of the securities of such issuers, including our ordinary shares, and substantially reduce or effectively terminate the trading of our ordinary shares in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meet continued listing standards on the NASDAQ Global Market.</w:t>
      </w:r>
    </w:p>
    <w:p>
      <w:pPr>
        <w:spacing w:after="0" w:line="14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153"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87" w:lineRule="exact"/>
        <w:rPr>
          <w:sz w:val="20"/>
          <w:szCs w:val="20"/>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94"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9" w:right="339" w:bottom="1063" w:gutter="0" w:footer="0" w:header="0"/>
        </w:sectPr>
      </w:pPr>
    </w:p>
    <w:bookmarkStart w:id="31" w:name="page32"/>
    <w:bookmarkEnd w:id="31"/>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06"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9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153"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2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0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08" w:lineRule="exact"/>
        <w:rPr>
          <w:sz w:val="20"/>
          <w:szCs w:val="20"/>
          <w:color w:val="auto"/>
        </w:rPr>
      </w:pPr>
    </w:p>
    <w:p>
      <w:pPr>
        <w:ind w:left="960" w:hanging="313"/>
        <w:spacing w:after="0" w:line="270"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9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9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32" w:name="page33"/>
    <w:bookmarkEnd w:id="32"/>
    <w:p>
      <w:pPr>
        <w:jc w:val="both"/>
        <w:ind w:firstLine="640"/>
        <w:spacing w:after="0" w:line="289"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4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determination of our status as a foreign private issuer is made annually on the last business day of our most recently completed second fiscal quarter and, accordingly, the next determination will be made with respect to us on or after December 31, 2019.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publicly-traded company.</w:t>
      </w:r>
    </w:p>
    <w:p>
      <w:pPr>
        <w:spacing w:after="0" w:line="14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14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0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9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As an “emerging growth company” under the JOBS Act, we are permitted to, and intend to, rely on exemptions from certain disclosure requirements. We are an emerging growth company until the earliest of:</w:t>
      </w:r>
    </w:p>
    <w:p>
      <w:pPr>
        <w:spacing w:after="0" w:line="95" w:lineRule="exact"/>
        <w:rPr>
          <w:sz w:val="20"/>
          <w:szCs w:val="20"/>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$1.07 billion or more;</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13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14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the IPO.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9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9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151"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06"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Changes in general economic conditions, geopolitical conditions, U.S.-China trade relations and other factors beyond the Company’s control may adversely impact our business and operating results.</w:t>
      </w:r>
    </w:p>
    <w:p>
      <w:pPr>
        <w:spacing w:after="0" w:line="9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87" w:lineRule="exact"/>
        <w:rPr>
          <w:sz w:val="20"/>
          <w:szCs w:val="20"/>
          <w:color w:val="auto"/>
        </w:rPr>
      </w:pPr>
    </w:p>
    <w:p>
      <w:pPr>
        <w:jc w:val="both"/>
        <w:ind w:left="960" w:hanging="313"/>
        <w:spacing w:after="0" w:line="258"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0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94" w:lineRule="exact"/>
        <w:rPr>
          <w:rFonts w:ascii="Arial" w:cs="Arial" w:eastAsia="Arial" w:hAnsi="Arial"/>
          <w:sz w:val="18"/>
          <w:szCs w:val="18"/>
          <w:color w:val="auto"/>
        </w:rPr>
      </w:pPr>
    </w:p>
    <w:p>
      <w:pPr>
        <w:jc w:val="both"/>
        <w:ind w:left="960" w:hanging="313"/>
        <w:spacing w:after="0" w:line="258"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06"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Any of the foregoing or similar factors could result in reduced demand for our services which, in turn, could have material adverse effects on our business and results of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 w:name="page35"/>
    <w:bookmarkEnd w:id="34"/>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0" w:lineRule="exact"/>
        <w:rPr>
          <w:sz w:val="20"/>
          <w:szCs w:val="20"/>
          <w:color w:val="auto"/>
        </w:rPr>
      </w:pPr>
    </w:p>
    <w:p>
      <w:pPr>
        <w:ind w:left="1280" w:hanging="633"/>
        <w:spacing w:after="0"/>
        <w:tabs>
          <w:tab w:leader="none" w:pos="1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Southeast Asia, and Hong Kong and their PRC-based IT centers.</w:t>
      </w:r>
    </w:p>
    <w:p>
      <w:pPr>
        <w:spacing w:after="0" w:line="188"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History and Background</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6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 2005.</w:t>
      </w:r>
    </w:p>
    <w:p>
      <w:pPr>
        <w:spacing w:after="0" w:line="15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RMB500,000 (approximately US$61,835) for 50% shares of CLPS Shanghai. After this share transfer, Yan Pan and Xiaochun Deng respectively held 50% shares of CLPS Shanghai.</w:t>
      </w:r>
    </w:p>
    <w:p>
      <w:pPr>
        <w:spacing w:after="0" w:line="186"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5"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5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 xml:space="preserve">On October 30, 2013, Xiao Feng Yang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Yan Pan to purchase all of Yan Pan’s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Xiao Feng Yang paid RMB2,500,000 (approximately US$399,993) for 50% shares of CLPS Shanghai. After this share transfer, Xiao Feng Yang and Raymond Ming Hui Lin respectively held 50% shares of CLPS Shanghai.</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firstLine="640"/>
        <w:spacing w:after="0" w:line="270" w:lineRule="auto"/>
        <w:rPr>
          <w:sz w:val="20"/>
          <w:szCs w:val="20"/>
          <w:color w:val="auto"/>
        </w:rPr>
      </w:pPr>
      <w:r>
        <w:rPr>
          <w:rFonts w:ascii="Arial" w:cs="Arial" w:eastAsia="Arial" w:hAnsi="Arial"/>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August 27, 2015, Raymond Ming Hui Lin paid RMB42,377 (approximately US$6,615) for the capital contribution that he has made.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75"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0"/>
                <w:szCs w:val="20"/>
                <w:color w:val="auto"/>
              </w:rPr>
            </w:pPr>
          </w:p>
        </w:tc>
        <w:tc>
          <w:tcPr>
            <w:tcW w:w="3820" w:type="dxa"/>
            <w:vAlign w:val="bottom"/>
            <w:gridSpan w:val="2"/>
          </w:tcPr>
          <w:p>
            <w:pPr>
              <w:ind w:left="700"/>
              <w:spacing w:after="0"/>
              <w:rPr>
                <w:sz w:val="20"/>
                <w:szCs w:val="20"/>
                <w:color w:val="auto"/>
              </w:rPr>
            </w:pPr>
            <w:r>
              <w:rPr>
                <w:rFonts w:ascii="Arial" w:cs="Arial" w:eastAsia="Arial" w:hAnsi="Arial"/>
                <w:sz w:val="18"/>
                <w:szCs w:val="18"/>
                <w:b w:val="1"/>
                <w:bCs w:val="1"/>
                <w:color w:val="auto"/>
              </w:rPr>
              <w:t>PLACE OF REGISTRATION</w:t>
            </w: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SHARES</w:t>
            </w:r>
          </w:p>
        </w:tc>
      </w:tr>
      <w:tr>
        <w:trPr>
          <w:trHeight w:val="213"/>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Raymond Ming Hui Lin</w:t>
            </w:r>
          </w:p>
        </w:tc>
        <w:tc>
          <w:tcPr>
            <w:tcW w:w="3940" w:type="dxa"/>
            <w:vAlign w:val="bottom"/>
            <w:gridSpan w:val="3"/>
          </w:tcPr>
          <w:p>
            <w:pPr>
              <w:ind w:left="120"/>
              <w:spacing w:after="0"/>
              <w:rPr>
                <w:sz w:val="20"/>
                <w:szCs w:val="20"/>
                <w:color w:val="auto"/>
              </w:rPr>
            </w:pPr>
            <w:r>
              <w:rPr>
                <w:rFonts w:ascii="Arial" w:cs="Arial" w:eastAsia="Arial" w:hAnsi="Arial"/>
                <w:sz w:val="18"/>
                <w:szCs w:val="18"/>
                <w:color w:val="auto"/>
              </w:rPr>
              <w:t>Hong Kong</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3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80" w:type="dxa"/>
            <w:vAlign w:val="bottom"/>
            <w:shd w:val="clear" w:color="auto" w:fill="CCEEFF"/>
          </w:tcPr>
          <w:p>
            <w:pPr>
              <w:spacing w:after="0"/>
              <w:rPr>
                <w:sz w:val="18"/>
                <w:szCs w:val="18"/>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Shanghai Qinzhi Investment Partnership (LLP)</w:t>
            </w:r>
          </w:p>
        </w:tc>
        <w:tc>
          <w:tcPr>
            <w:tcW w:w="3940" w:type="dxa"/>
            <w:vAlign w:val="bottom"/>
            <w:gridSpan w:val="3"/>
          </w:tcPr>
          <w:p>
            <w:pPr>
              <w:ind w:left="120"/>
              <w:spacing w:after="0"/>
              <w:rPr>
                <w:sz w:val="20"/>
                <w:szCs w:val="20"/>
                <w:color w:val="auto"/>
              </w:rPr>
            </w:pPr>
            <w:r>
              <w:rPr>
                <w:rFonts w:ascii="Arial" w:cs="Arial" w:eastAsia="Arial" w:hAnsi="Arial"/>
                <w:sz w:val="18"/>
                <w:szCs w:val="18"/>
                <w:color w:val="auto"/>
              </w:rPr>
              <w:t>PRC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1,270,000</w:t>
            </w:r>
          </w:p>
        </w:tc>
        <w:tc>
          <w:tcPr>
            <w:tcW w:w="80" w:type="dxa"/>
            <w:vAlign w:val="bottom"/>
          </w:tcPr>
          <w:p>
            <w:pPr>
              <w:spacing w:after="0"/>
              <w:rPr>
                <w:sz w:val="18"/>
                <w:szCs w:val="18"/>
                <w:color w:val="auto"/>
              </w:rPr>
            </w:pPr>
          </w:p>
        </w:tc>
      </w:tr>
      <w:tr>
        <w:trPr>
          <w:trHeight w:val="247"/>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33,870,000</w:t>
            </w:r>
          </w:p>
        </w:tc>
        <w:tc>
          <w:tcPr>
            <w:tcW w:w="8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75"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52"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Agreements</w:t>
      </w:r>
      <w:r>
        <w:rPr>
          <w:rFonts w:ascii="Arial" w:cs="Arial" w:eastAsia="Arial" w:hAnsi="Arial"/>
          <w:sz w:val="18"/>
          <w:szCs w:val="18"/>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 w:name="page37"/>
    <w:bookmarkEnd w:id="36"/>
    <w:p>
      <w:pPr>
        <w:jc w:val="both"/>
        <w:ind w:firstLine="640"/>
        <w:spacing w:after="0" w:line="258" w:lineRule="auto"/>
        <w:rPr>
          <w:sz w:val="20"/>
          <w:szCs w:val="20"/>
          <w:color w:val="auto"/>
        </w:rPr>
      </w:pPr>
      <w:r>
        <w:rPr>
          <w:rFonts w:ascii="Arial" w:cs="Arial" w:eastAsia="Arial" w:hAnsi="Arial"/>
          <w:sz w:val="18"/>
          <w:szCs w:val="18"/>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86"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 xml:space="preserve">On October 31, 2017, CLPS Incorporation entered into a </w:t>
      </w:r>
      <w:r>
        <w:rPr>
          <w:rFonts w:ascii="Arial" w:cs="Arial" w:eastAsia="Arial" w:hAnsi="Arial"/>
          <w:sz w:val="16"/>
          <w:szCs w:val="16"/>
          <w:i w:val="1"/>
          <w:iCs w:val="1"/>
          <w:color w:val="auto"/>
        </w:rPr>
        <w:t>SOLD NOTE</w:t>
      </w:r>
      <w:r>
        <w:rPr>
          <w:rFonts w:ascii="Arial" w:cs="Arial" w:eastAsia="Arial" w:hAnsi="Arial"/>
          <w:sz w:val="16"/>
          <w:szCs w:val="16"/>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3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6"/>
          <w:szCs w:val="16"/>
          <w:i w:val="1"/>
          <w:iCs w:val="1"/>
          <w:color w:val="auto"/>
        </w:rPr>
        <w:t>Circular of the State Administration of Foreign Exchange on Issues concerning Foreign Exchange Administration 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Overseas Investment and Financing and Round-trip Investment by Domestic Residents via Special Purpose Vehicles </w:t>
      </w:r>
      <w:r>
        <w:rPr>
          <w:rFonts w:ascii="Arial" w:cs="Arial" w:eastAsia="Arial" w:hAnsi="Arial"/>
          <w:sz w:val="16"/>
          <w:szCs w:val="16"/>
          <w:color w:val="auto"/>
        </w:rPr>
        <w:t>(SAFE 2014 No. 37). After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registrations, CLPS QC (WOFE) entered into 46 </w:t>
      </w:r>
      <w:r>
        <w:rPr>
          <w:rFonts w:ascii="Arial" w:cs="Arial" w:eastAsia="Arial" w:hAnsi="Arial"/>
          <w:sz w:val="16"/>
          <w:szCs w:val="16"/>
          <w:i w:val="1"/>
          <w:iCs w:val="1"/>
          <w:color w:val="auto"/>
        </w:rPr>
        <w:t>Share Purchase Agreements</w:t>
      </w:r>
      <w:r>
        <w:rPr>
          <w:rFonts w:ascii="Arial" w:cs="Arial" w:eastAsia="Arial" w:hAnsi="Arial"/>
          <w:sz w:val="16"/>
          <w:szCs w:val="16"/>
          <w:color w:val="auto"/>
        </w:rPr>
        <w:t xml:space="preserve"> with all 46 Chinese individual shareholders of which the 46 Chinese individual shareholders in total held 18,731,261 shares of CLPS Shanghai. The aforementioned share transfer was part of a reorganization of the group.</w:t>
      </w:r>
    </w:p>
    <w:p>
      <w:pPr>
        <w:spacing w:after="0" w:line="16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November 2, 2017, the transfer between the 46 Chinese individual shareholders and CLPS QC (WOFE) has completed the record-filing of changes of Foreign-invested Company and got the record receipt.</w:t>
      </w:r>
    </w:p>
    <w:p>
      <w:pPr>
        <w:spacing w:after="0" w:line="175"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On September 15, 2020, Shanghai Qincheng Information Technology Co., Ltd. and Qiner Co., Limited subscribed new shares issued by CLPS Shanghai. After the above-mentioned subscription, the shareholding structure of CLPS Shanghai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560" w:type="dxa"/>
            <w:vAlign w:val="bottom"/>
            <w:gridSpan w:val="2"/>
          </w:tcPr>
          <w:p>
            <w:pPr>
              <w:ind w:left="100"/>
              <w:spacing w:after="0"/>
              <w:rPr>
                <w:sz w:val="20"/>
                <w:szCs w:val="20"/>
                <w:color w:val="auto"/>
              </w:rPr>
            </w:pPr>
            <w:r>
              <w:rPr>
                <w:rFonts w:ascii="Arial" w:cs="Arial" w:eastAsia="Arial" w:hAnsi="Arial"/>
                <w:sz w:val="18"/>
                <w:szCs w:val="18"/>
                <w:b w:val="1"/>
                <w:bCs w:val="1"/>
                <w:color w:val="auto"/>
              </w:rPr>
              <w:t>PLACE OF REGISTRATION</w:t>
            </w: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r>
      <w:tr>
        <w:trPr>
          <w:trHeight w:val="213"/>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3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27,651,699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Qiner Co., Limited</w:t>
            </w:r>
          </w:p>
        </w:tc>
        <w:tc>
          <w:tcPr>
            <w:tcW w:w="1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Hong Kong</w:t>
            </w:r>
          </w:p>
        </w:tc>
        <w:tc>
          <w:tcPr>
            <w:tcW w:w="3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22,348,301</w:t>
            </w:r>
          </w:p>
        </w:tc>
        <w:tc>
          <w:tcPr>
            <w:tcW w:w="100" w:type="dxa"/>
            <w:vAlign w:val="bottom"/>
            <w:tcBorders>
              <w:bottom w:val="single" w:sz="8" w:color="CCEEFF"/>
            </w:tcBorders>
          </w:tcPr>
          <w:p>
            <w:pPr>
              <w:spacing w:after="0"/>
              <w:rPr>
                <w:sz w:val="20"/>
                <w:szCs w:val="20"/>
                <w:color w:val="auto"/>
              </w:rPr>
            </w:pPr>
          </w:p>
        </w:tc>
      </w:tr>
      <w:tr>
        <w:trPr>
          <w:trHeight w:val="24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As of the date of this Annual Report, CLPS Shanghai has three wholly-owned subsidiaries: CLPS RC, CLPS Huanyu, and CLPS Hangzhou Co., Ltd., Besides the three wholly-owned subsidiaries, CLPS Shanghai participated in the following investments:</w:t>
      </w:r>
    </w:p>
    <w:p>
      <w:pPr>
        <w:spacing w:after="0" w:line="171" w:lineRule="exact"/>
        <w:rPr>
          <w:sz w:val="20"/>
          <w:szCs w:val="20"/>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49% of equity interest in CLPS Beijing,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Dalian </w:t>
      </w:r>
      <w:r>
        <w:rPr>
          <w:rFonts w:ascii="Arial" w:cs="Arial" w:eastAsia="Arial" w:hAnsi="Arial"/>
          <w:sz w:val="18"/>
          <w:szCs w:val="18"/>
          <w:color w:val="auto"/>
        </w:rPr>
        <w:t>— CLPS Shanghai holds 49% of equity interest in CLPS Dalian,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Lihong — </w:t>
      </w:r>
      <w:r>
        <w:rPr>
          <w:rFonts w:ascii="Arial" w:cs="Arial" w:eastAsia="Arial" w:hAnsi="Arial"/>
          <w:sz w:val="18"/>
          <w:szCs w:val="18"/>
          <w:color w:val="auto"/>
        </w:rPr>
        <w:t>CLPS Shanghai holds 7% of equity interest in CLPS Lihong, a PRC limited liability company.</w:t>
      </w:r>
    </w:p>
    <w:p>
      <w:pPr>
        <w:spacing w:after="0" w:line="219" w:lineRule="exact"/>
        <w:rPr>
          <w:rFonts w:ascii="Arial" w:cs="Arial" w:eastAsia="Arial" w:hAnsi="Arial"/>
          <w:sz w:val="18"/>
          <w:szCs w:val="18"/>
          <w:b w:val="1"/>
          <w:bCs w:val="1"/>
          <w:color w:val="auto"/>
        </w:rPr>
      </w:pPr>
    </w:p>
    <w:p>
      <w:pPr>
        <w:ind w:left="960" w:hanging="313"/>
        <w:spacing w:after="0" w:line="274" w:lineRule="auto"/>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Guangdong Zhichuang </w:t>
      </w:r>
      <w:r>
        <w:rPr>
          <w:rFonts w:ascii="Arial" w:cs="Arial" w:eastAsia="Arial" w:hAnsi="Arial"/>
          <w:sz w:val="18"/>
          <w:szCs w:val="18"/>
          <w:color w:val="auto"/>
        </w:rPr>
        <w:t>— CLPS Shanghai holds 10% of equity interest in CLPS Guangdong Zhichuang, a PRC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7"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CLPS Shenzhen Robotics — </w:t>
      </w:r>
      <w:r>
        <w:rPr>
          <w:rFonts w:ascii="Arial" w:cs="Arial" w:eastAsia="Arial" w:hAnsi="Arial"/>
          <w:sz w:val="16"/>
          <w:szCs w:val="16"/>
          <w:color w:val="auto"/>
        </w:rPr>
        <w:t>CLPS Shanghai holds 10% of equity interest in CLPS Shenzhen Robotics, a PRC limited liability company.</w:t>
      </w:r>
    </w:p>
    <w:p>
      <w:pPr>
        <w:spacing w:after="0" w:line="247"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160" w:lineRule="exact"/>
        <w:rPr>
          <w:sz w:val="20"/>
          <w:szCs w:val="20"/>
          <w:color w:val="auto"/>
        </w:rPr>
      </w:pPr>
    </w:p>
    <w:p>
      <w:pPr>
        <w:ind w:left="960" w:hanging="313"/>
        <w:spacing w:after="0"/>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CLPS Dalian provides both consulting and solution services. CLPS Dalian services clients in China’s north east region, including Dalian.</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RC provides consulting services. CLPS RC focuses on small and medium domestic financial institutions.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Beijing provides both consulting and solution services. CLPS Beijing services clients in China’s central east region, including Beijing and Tianjin.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 w:name="page38"/>
    <w:bookmarkEnd w:id="37"/>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CLPS-Ridik AU currently only provides consulting services. CLPS-Ridik AU services clients in Australia.</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Infogain currently only provides consulting services. Infogain services clients in South East Asia region, including Singapore.</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CLPS Hong Kong currently only provides consulting services. CLPS Hong Kong services clients in East Asia region, including Hong Kong.</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Shenzhen currently only provides consulting services. CLPS Shenzhen services clients in Shenzhen.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Ridik Pte currently only provides consulting services. Ridik Pte services in South East Asia region, including Singapore.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Ridik Software Pte currently only provides consulting services. Ridik Software Pte services in South East Asia region, including Singapore.</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Ridik Sdn currently only provides consulting services. Ridik Sdn services in South East Asia region, including Malaysia.</w:t>
      </w:r>
    </w:p>
    <w:p>
      <w:pPr>
        <w:spacing w:after="0" w:line="246" w:lineRule="exact"/>
        <w:rPr>
          <w:rFonts w:ascii="Arial" w:cs="Arial" w:eastAsia="Arial" w:hAnsi="Arial"/>
          <w:sz w:val="18"/>
          <w:szCs w:val="18"/>
          <w:color w:val="auto"/>
        </w:rPr>
      </w:pPr>
    </w:p>
    <w:p>
      <w:pPr>
        <w:jc w:val="both"/>
        <w:ind w:left="960" w:hanging="313"/>
        <w:spacing w:after="0" w:line="258"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Shanghai holds 100%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May 2020, we relocated our principal executive office to Unit 702, 7th Floor, Millennium City II, 378 Kwun Tong Road, Kwun Tong, Kowloon, Hong Kong SAR from 2nd Floor, Building 18, Shanghai Pudong Software Park, 498 Guoshoujing Road, Pudong District, Shanghai, PRC. Our telephone number is (852)3707-3600. Our website is as follows www.clpsglobal.com. The information on our website is not part of this Annual Report.</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96455" cy="3728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3728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The Initial Public Offering</w:t>
      </w:r>
    </w:p>
    <w:p>
      <w:pPr>
        <w:spacing w:after="0" w:line="224"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71"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46" w:lineRule="exact"/>
        <w:rPr>
          <w:sz w:val="20"/>
          <w:szCs w:val="20"/>
          <w:color w:val="auto"/>
        </w:rPr>
      </w:pPr>
    </w:p>
    <w:p>
      <w:pPr>
        <w:ind w:left="1280" w:hanging="633"/>
        <w:spacing w:after="0"/>
        <w:tabs>
          <w:tab w:leader="none" w:pos="1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1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Southeast Asia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China’s Banking Industry</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According to the 2019 annual report of China Banking and Insurance Regulatory Commission (CBIRC), China’s banking financial institutions had total assets of RMB 282.5 trillion (USD 40.6 trillion) at the end of 2019, a year-on-year increase of RMB 14.3 trillion (USD 2.1 trillion), or 8.1%. Total liabilities equalled to RMB 258.2 trillion (USD 37.1 trillion), a year-on-year increase of RMB 11.6 trillion (USD 1.7 trillion), or 7.6%. The total assets of banking financial institutions were RMB 27.6 trillion (USD 4.0 trillion) in 2003. Over the past 10 years, total assets of China’s banking financial institutions grew at a compound annual growth rate of nearly 20%.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By May 2020, 217 foreign banks in 54 countries and regions are now presents in China, with headquarters, branches, sub-branches and a complete service network with certain coverage and market depth, with more than 993 outlets.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left="64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According to the 2019 Economic Performance of the Software Industry report of Ministry of Industry and Information Technology (MIIT), China’s software and information technology service industry shows a steady development trend, with rapid growth in income and profits and steady increase in the number of employees. Information technology services accelerate the development of cloud, software application servitization, platform trend is obvious; The software industry in the central region grows rapidly, while the eastern region maintains a concentrated and leading development trend.</w:t>
      </w:r>
    </w:p>
    <w:p>
      <w:pPr>
        <w:spacing w:after="0" w:line="16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China’s software and information technology services industry has developed and grown rapidly in recent years. The MIIT data shows that the industry’s revenue reached RMB 7.2 trillion (USD 1.03 trillion) in 2019, an increase of 15.4% compared to 2018, with the same growth rate. Industry profits grew steadily. In 2019, the industry achieved a total profit of RMB 936 billion (USD 134.4 billion), an increase of 9.9% over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104775</wp:posOffset>
            </wp:positionV>
            <wp:extent cx="5431155" cy="2897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3115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The Ministry of Industry and Information Technology, National Bureau of Statistics of China.</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0" w:lineRule="exact"/>
        <w:rPr>
          <w:sz w:val="20"/>
          <w:szCs w:val="20"/>
          <w:color w:val="auto"/>
        </w:rPr>
      </w:pPr>
    </w:p>
    <w:p>
      <w:pPr>
        <w:jc w:val="both"/>
        <w:ind w:left="960" w:hanging="313"/>
        <w:spacing w:after="0" w:line="274" w:lineRule="auto"/>
        <w:tabs>
          <w:tab w:leader="none" w:pos="96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technology services </w:t>
      </w:r>
      <w:r>
        <w:rPr>
          <w:rFonts w:ascii="Arial" w:cs="Arial" w:eastAsia="Arial" w:hAnsi="Arial"/>
          <w:sz w:val="17"/>
          <w:szCs w:val="17"/>
          <w:color w:val="auto"/>
        </w:rPr>
        <w:t>—Stayed ahead and continued to evolve towards cloud computing. In 2019, the industry’s revenue from</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services reached RMB 4.3 trillion (USD 617 billion), an increase of 18.4% over the previous year. The growth rate was 3% higher than the industry’s average, accounting for 59.3% of the industry’s revenue. Among them, e-commerce platform technical services revenues reached RMB 0.8 trillion (USD 114 billion), an increase of 28.1% over the previous year.</w:t>
      </w:r>
    </w:p>
    <w:p>
      <w:pPr>
        <w:spacing w:after="0" w:line="174" w:lineRule="exact"/>
        <w:rPr>
          <w:rFonts w:ascii="Arial" w:cs="Arial" w:eastAsia="Arial" w:hAnsi="Arial"/>
          <w:sz w:val="17"/>
          <w:szCs w:val="17"/>
          <w:i w:val="1"/>
          <w:iCs w:val="1"/>
          <w:color w:val="auto"/>
        </w:rPr>
      </w:pPr>
    </w:p>
    <w:p>
      <w:pPr>
        <w:jc w:val="both"/>
        <w:ind w:left="960" w:hanging="313"/>
        <w:spacing w:after="0" w:line="255" w:lineRule="auto"/>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Software products </w:t>
      </w:r>
      <w:r>
        <w:rPr>
          <w:rFonts w:ascii="Arial" w:cs="Arial" w:eastAsia="Arial" w:hAnsi="Arial"/>
          <w:sz w:val="18"/>
          <w:szCs w:val="18"/>
          <w:color w:val="auto"/>
        </w:rPr>
        <w:t>—In 2019, the industry’s revenue from software products reached RMB 2.01 trillion (USD 288 billion), an increase of 12.5%</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previous year, accounting for 28.0% of the industry’s revenue. Among them, the revenues from industrial software products are RMB 172.0 billion (USD 24.7 billion), an increase of 14.6%. playing an important role in supporting the independent and controllable development of the industrial sector.</w:t>
      </w:r>
    </w:p>
    <w:p>
      <w:pPr>
        <w:spacing w:after="0" w:line="187" w:lineRule="exact"/>
        <w:rPr>
          <w:rFonts w:ascii="Arial" w:cs="Arial" w:eastAsia="Arial" w:hAnsi="Arial"/>
          <w:sz w:val="18"/>
          <w:szCs w:val="18"/>
          <w:i w:val="1"/>
          <w:iCs w:val="1"/>
          <w:color w:val="auto"/>
        </w:rPr>
      </w:pPr>
    </w:p>
    <w:p>
      <w:pPr>
        <w:jc w:val="both"/>
        <w:ind w:left="960" w:hanging="313"/>
        <w:spacing w:after="0" w:line="281" w:lineRule="auto"/>
        <w:tabs>
          <w:tab w:leader="none" w:pos="96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Embedded system software –</w:t>
      </w:r>
      <w:r>
        <w:rPr>
          <w:rFonts w:ascii="Arial" w:cs="Arial" w:eastAsia="Arial" w:hAnsi="Arial"/>
          <w:sz w:val="17"/>
          <w:szCs w:val="17"/>
          <w:color w:val="auto"/>
        </w:rPr>
        <w:t>The revenue of embedded system software reached RMB 782.0 billion (USD 112.3 billion), an increase of 7.8%</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previous year, accounting for 10.9% of the industry’s revenue. Embedded system software has become a key driving technology for digital transformation of products and equipment and intelligent value-added in various fields.</w:t>
      </w:r>
    </w:p>
    <w:p>
      <w:pPr>
        <w:spacing w:after="0" w:line="167" w:lineRule="exact"/>
        <w:rPr>
          <w:rFonts w:ascii="Arial" w:cs="Arial" w:eastAsia="Arial" w:hAnsi="Arial"/>
          <w:sz w:val="17"/>
          <w:szCs w:val="17"/>
          <w:i w:val="1"/>
          <w:iCs w:val="1"/>
          <w:color w:val="auto"/>
        </w:rPr>
      </w:pPr>
    </w:p>
    <w:p>
      <w:pPr>
        <w:jc w:val="both"/>
        <w:ind w:left="960" w:hanging="313"/>
        <w:spacing w:after="0" w:line="251" w:lineRule="auto"/>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—The eastern region has developed steadily, and the software industry in the central and western regions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 2019, revenue from software business completed in eastern regions reached RMB 5.7 trillion (USD 818 billion), with a growth rate of 15.0% year-on-year, accounting for 79.6% of the national software industry. Revenue from software business completed in central and western regions was RMB 365.5 billion (USD 52.5 billion) and RMB 860.7 billion (USD 123.6 billion), with a growth rate of 22.2% and 18.1%, accounting for 5.1% and 12.0 % of the national software industry, respectively, an increase of 0.1% and 0.6% from the previous year. Software business revenue in northeast China reached RMB 235.0 billion (USD 33.8 billion), accounting for 3.3% of the national software industry, an increase of 5.5% year-on-year.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0" w:name="page41"/>
    <w:bookmarkEnd w:id="40"/>
    <w:p>
      <w:pPr>
        <w:jc w:val="both"/>
        <w:ind w:firstLine="640"/>
        <w:spacing w:after="0" w:line="258" w:lineRule="auto"/>
        <w:rPr>
          <w:sz w:val="20"/>
          <w:szCs w:val="20"/>
          <w:color w:val="auto"/>
        </w:rPr>
      </w:pPr>
      <w:r>
        <w:rPr>
          <w:rFonts w:ascii="Arial" w:cs="Arial" w:eastAsia="Arial" w:hAnsi="Arial"/>
          <w:sz w:val="18"/>
          <w:szCs w:val="18"/>
          <w:color w:val="auto"/>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 of China’s Banking IT Solution Industry from 2010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-7620</wp:posOffset>
            </wp:positionV>
            <wp:extent cx="5388610" cy="2804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8861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IDC data</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According to IDC’s 2019 China Banking IT Solution Market Share report, the year-on-year growth rate of China’s banking IT solution market has increased with stable and healthy development. The operating environment of China’s banking industry has undergone extensive transformation. Banks are in different stages of architectural transformation and upgrade. Although the demand for software and information technology services remains strong, the demand of various banks depends on their IT solution needs.</w:t>
      </w:r>
    </w:p>
    <w:p>
      <w:pPr>
        <w:spacing w:after="0" w:line="188" w:lineRule="exact"/>
        <w:rPr>
          <w:sz w:val="20"/>
          <w:szCs w:val="20"/>
          <w:color w:val="auto"/>
        </w:rPr>
      </w:pPr>
    </w:p>
    <w:p>
      <w:pPr>
        <w:jc w:val="both"/>
        <w:ind w:firstLine="647"/>
        <w:spacing w:after="0" w:line="255" w:lineRule="auto"/>
        <w:tabs>
          <w:tab w:leader="none" w:pos="7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People’s Bank of China established the financial science and technology commission in 2017, after that, issued “FinTech Development Plan (2019-2021)” on August 22, 2019, fully highlighted the positive attention and support in the field of financial technology in China. For the financial industry, it is a powerful drive to accelerate the applications of technologies. With the highest informationization level of financial sector, banking is affected by the Plan.</w:t>
      </w:r>
    </w:p>
    <w:p>
      <w:pPr>
        <w:spacing w:after="0" w:line="187" w:lineRule="exact"/>
        <w:rPr>
          <w:rFonts w:ascii="Arial" w:cs="Arial" w:eastAsia="Arial" w:hAnsi="Arial"/>
          <w:sz w:val="18"/>
          <w:szCs w:val="18"/>
          <w:color w:val="auto"/>
        </w:rPr>
      </w:pPr>
    </w:p>
    <w:p>
      <w:pPr>
        <w:jc w:val="both"/>
        <w:ind w:firstLine="647"/>
        <w:spacing w:after="0" w:line="289" w:lineRule="auto"/>
        <w:tabs>
          <w:tab w:leader="none" w:pos="8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 the trend of deepening the application of financial technology, the practice cases of distributed, cloud computing, big data, artificial intelligence, blockchain and other emerging technologies in the banking industry are increasingly rich, especially the wave of distributed architecture transformation, leading a new round of IT construction business cycle in the banking industry. On the one hand, the traditional centralized core business system is facing the dual pressure of cost and performance, institutions need to evaluate their own business needs and selectively transform and replace the core system; on the other hand, the core system connects with many types of peripheral systems, such as credit system, payment system, channel system, management system, etc., under the influence of core system reformation, banks will release a large number of demands in transforming peripheral system.</w:t>
      </w:r>
    </w:p>
    <w:p>
      <w:pPr>
        <w:spacing w:after="0" w:line="16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In 2019, the overall market size of China’s banking IT solution market reached RMB 42.58 billion (USD 6.1 billion), an increase of 23.9% over 2018. In this annual report, IDC made an overall adjustment to historical data based on changes in statistical caliber, which brought the overall market size of China’s banking IT solution market to RMB 34.37 billion (USD 4.9 billion) in 2018. IDC predicts that by 2024, the scale of China’s banking IT solution market will reach RMB 127.35 billion (USD 18.3 billion).</w:t>
      </w:r>
    </w:p>
    <w:p>
      <w:pPr>
        <w:spacing w:after="0" w:line="188"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With the introduction of “FinTech Development Plan”, the commercialization practice of emerging technologies has become more and more abundant. In the environment of comprehensive promotion of digital transformation, banks need to support business innovation transformation through technical route transformation, and the investment determination and strength in IT construction and transformation have been significantly improved. The banking industry is accelerating the exploration of distributed innovation, and most manufacturers have launched a new generation of solutions that support both centralized and distributed applications. The overall competitive ecology of supply and demand sides of the industry is reshaping, and the future incremental market of banking IT solutions is expected.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Providing professional IT consulting and solutions for the banking industry is one of the traditional competitive advantages of CLPS. With more than 15 years of experience in helping leading global banks to implement banking systems, CLPS is committed to innovating and optimizing traditional banking system by utilizing cutting-edge fintech technology to enable institutions embrace banking.</w:t>
      </w:r>
    </w:p>
    <w:p>
      <w:pPr>
        <w:spacing w:after="0" w:line="186"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CLPS has formed strategic partnerships with several global financial MNCs to provide banking IT services, help leading global banks to implement banking system and to enable them to test and enhance multiple functions such as loans, saving, deposit, general ledger, account management, anti-money-laundering, risk control and credit card system. Whether traditional or online banking, CLPS has a wide array of business modules at its disposal.</w:t>
      </w:r>
    </w:p>
    <w:p>
      <w:pPr>
        <w:spacing w:after="0" w:line="15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CLPS has a deep understanding of the market supply and demand buoyed by its more than a decade experience in traditional banking business. CLPS provides IT services in the banking industry, including but not limited to bank channel services such as mobile banking and online banking; business services such as marketing and risk control, among others; management services such as customer relationship management, business intelligence, and information security management, to name a few.</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By integrating its internal resources, CLPS has been able to continue to invest and develop series of R&amp;D products, including credit card system, integrated transaction acquiring platform, reward points terminal, and virtual bank training platform, among others. These products have achieved positive feedback from the market.</w:t>
      </w:r>
    </w:p>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For the year ended June 30, 2020, revenues from our banking area were approximately $44.5 million compared to $33.1 million for the year ended June 30,2019. Revenues from our banking area accounted for 49.8% and 51.2% of our total revenues in fiscal 2020 and 2019 respectively.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Significant portion of our services caters the banking clients.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Card Area</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service in the credit card area. The IT consulting professional teams provides service in the credit card area from Shanghai, Dalian and Hong Kong. We offer this experience and expertise in various currencies, across different geographical regions, including, but not limited to China, Singapore, UK, Philippines, Indonesia, and Latin America. In addition, we have developed a series of credit card solutions in order to meet the needs of our clients better.</w:t>
      </w:r>
    </w:p>
    <w:p>
      <w:pPr>
        <w:spacing w:after="0" w:line="171" w:lineRule="exact"/>
        <w:rPr>
          <w:sz w:val="20"/>
          <w:szCs w:val="20"/>
          <w:color w:val="auto"/>
        </w:rPr>
      </w:pPr>
    </w:p>
    <w:p>
      <w:pPr>
        <w:jc w:val="both"/>
        <w:ind w:right="20" w:firstLine="640"/>
        <w:spacing w:after="0" w:line="333" w:lineRule="auto"/>
        <w:rPr>
          <w:sz w:val="20"/>
          <w:szCs w:val="20"/>
          <w:color w:val="auto"/>
        </w:rPr>
      </w:pPr>
      <w:r>
        <w:rPr>
          <w:rFonts w:ascii="Arial" w:cs="Arial" w:eastAsia="Arial" w:hAnsi="Arial"/>
          <w:sz w:val="16"/>
          <w:szCs w:val="16"/>
          <w:color w:val="auto"/>
        </w:rPr>
        <w:t>For the year ended June 30, 2020, revenues from our credit card area were approximately $9.5 million compared to $3.5 million for the year ended June 30,2019. Revenues from our credit card area accounted for 21.3% and 10.4% of our banking revenues in fiscal 2020 and 2019 respectively.</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Core Banking Area</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6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For the year ended June 30, 2020, revenues from our core banking area were approximately $35.0 million compared to $29.7 million for the year ended June 30,2019.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In this annual report, “wealth management” refers to the segments of financial industry except banking, including but not limited to investment banking, funds, insurance, securities, futures, clearing, consumer financing, online financing, and supply chain financing. CLPS has in-depth industry knowledge and solutions in the field of wealth management, and constantly develops and innovates according to the needs of clients.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jc w:val="both"/>
        <w:ind w:firstLine="640"/>
        <w:spacing w:after="0" w:line="292" w:lineRule="auto"/>
        <w:rPr>
          <w:sz w:val="20"/>
          <w:szCs w:val="20"/>
          <w:color w:val="auto"/>
        </w:rPr>
      </w:pPr>
      <w:r>
        <w:rPr>
          <w:rFonts w:ascii="Arial" w:cs="Arial" w:eastAsia="Arial" w:hAnsi="Arial"/>
          <w:sz w:val="16"/>
          <w:szCs w:val="16"/>
          <w:color w:val="auto"/>
        </w:rPr>
        <w:t>In the past years, we have successfully developed and managed a variety of IT systems for Chinese and global clients, including the development of asset management system, core insurance system, pension system for well-known international investment bank, large international insurance group, and leading asset management corporation. We also provided development, operation, and maintenance for data analysis and business management systems of China’s national financial information platform, China’s national clearing house, stock exchange, and several large security institutions in China. In addition, we have developed mobile terminal for multiple comprehensive financial service providers and consumer finance platforms both in China and globally.</w:t>
      </w:r>
    </w:p>
    <w:p>
      <w:pPr>
        <w:spacing w:after="0" w:line="16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For the year ended June 30, 2020, revenues from our wealth management area were approximately $19.2 million compared to $14.5 million for the year ended June 30,2019. Revenues from our wealth management area accounted for 21.5% and 22.4% of our total revenues in fiscal 2020 and 2019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By constantly improving our capabilities, we have gradually extended our main service offerings from banking and financial institutions to e-Commerce industry. We have rapidly developed and accumulated certain skills in online platforms, cross-border e-commerce, logistics, and back-end technology such as big data analysis, and intelligent decision-making among others. In the past years, we have successfully provided IT system development delivery for domestic and international clients, including a global online trading project for a top US e-Commerce company. We have also developed the global terminal, payment, and risk control system for a well-known online ticketing website. In addition, CLPS has developed the website and product market data analysis for a leading and international travel e-commerce platform, and the e-Commerce platform for a large investment holding group in China.</w:t>
      </w:r>
    </w:p>
    <w:p>
      <w:pPr>
        <w:spacing w:after="0" w:line="193"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For the year ended June 30, 2020, revenues from our e-Commerce area were approximately $11.1 million compared to $8.7 million for the year ended June 30,2019. Revenues from our e-Commerce area accounted for 12.4% and 13.4% of our total revenues in fiscal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With the extensive experience of CLPS in the IT services application in the financial and e-commerce industries, and its innovative implementation of cutting-edge technology such as big data, artificial intelligence and robotic process automation (RPA), it has also extended its business to automotive industry.</w:t>
      </w:r>
    </w:p>
    <w:p>
      <w:pPr>
        <w:spacing w:after="0" w:line="186"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There is a high demand of intelligent technology application in automobile industry in the recent years. Aside from providing internal management system development for several international automobile enterprises, we also get deeply involved in the development of autonomous driving, automatic control, and other AI-driven technology projects with several major clients. This includes the development of a new-energy vehicle intelligent platform for a large automotive group company in China and a car’s multimedia software for a Chinese automotive information system company. Moreover, we also provide development of internet auto finance platform for several Chinese enterprises.</w:t>
      </w:r>
    </w:p>
    <w:p>
      <w:pPr>
        <w:spacing w:after="0" w:line="177"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For the year ended June 30, 2020, revenues from our automotive area were approximately $3.6 million compared to $2.0 million for the year ended June 30,2019. Revenues from our automotive area accounted for 4.1% and 3.2% of our total revenues in fiscal 2020 and 2019 respectively.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scope in terms of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Revenues from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provide consulting services to our clients in the banking, wealth management, e-commerce, and automotive industries, among others.</w:t>
      </w:r>
    </w:p>
    <w:p>
      <w:pPr>
        <w:spacing w:after="0" w:line="231"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For the years ended June 30, 2020 and 2019, revenues from our IT consulting services were approximately USD 87.1 million and USD 61.8 million, respectively. Revenues from our IT consulting services accounted for 97.5% and 95.1% of our total revenues in fiscal 2020 and 2019,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CLPS provides customized solution services to our clients in the banking, wealth management, e-commerce, and automotive industries, among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07"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We are also an IT solution services provider in China and globally. We offer our clients over a decade of experience providing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9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We have been working with a number of Chinese domestic banks to assist them in leveraging blockchain technology. Using this technology, a loyalty reward solution for the bank’s customers was developed allowing domestic banks to track and trace transactions in real-time. It was recently implemented in Jiangnan Rural Commercial Bank. Also, the pilot phase of this solution was completed for Taicang Rural Commercial Bank.</w:t>
      </w:r>
    </w:p>
    <w:p>
      <w:pPr>
        <w:spacing w:after="0" w:line="16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have also signed a blockchain-related contract with a leading university of finance and economics in Shanghai. The project utilizes blockchain technology in the university’s online technical training platform for finance majors. In addition, this project also applies blockchain technology to the teaching management system for students. The management system offers an incentive mechanism that motivates students towards better study habits. This concept is similar to the loyalty reward programs offered in the financial industry. The project passed the testing conducted by the university on December 18, 2018.</w:t>
      </w:r>
    </w:p>
    <w:p>
      <w:pPr>
        <w:spacing w:after="0" w:line="19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 We will continue to develop our new IT solutions to meet the evolving needs of our Chinese and global financial institutional clientele drawing upon the forward-looking research of our R&amp;D center.</w:t>
      </w:r>
    </w:p>
    <w:p>
      <w:pPr>
        <w:spacing w:after="0" w:line="18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For the years ended June 30, 2020 and 2019, revenues from our customized IT solution services were approximately USD 1.8 million and USD3.0 million, respectively. Revenues from our customized IT solution services accounted for 2.1% and 4.7% of our total revenues in fiscal years 2020 and 2019,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CLPS Virtual Banking Platform (CLB)</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Recruitment and Headhunting</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As per client’s request, we are capable of providing the most suitable person for a position. The Company maintains more than 100 talent acquisition staff with rich industry background and knowledge. Our recruitment centers are well equipped of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Fee-For-Service Training</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have developed and intend to implement the following strategies to expand and grow the revenue, the number of employees, and the number of service locations of our Company:</w:t>
      </w:r>
    </w:p>
    <w:p>
      <w:pPr>
        <w:spacing w:after="0" w:line="175" w:lineRule="exact"/>
        <w:rPr>
          <w:sz w:val="20"/>
          <w:szCs w:val="20"/>
          <w:color w:val="auto"/>
        </w:rPr>
      </w:pPr>
    </w:p>
    <w:p>
      <w:pPr>
        <w:jc w:val="both"/>
        <w:ind w:left="960" w:hanging="313"/>
        <w:spacing w:after="0" w:line="289" w:lineRule="auto"/>
        <w:tabs>
          <w:tab w:leader="none" w:pos="9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revenue with existing and new clients </w:t>
      </w:r>
      <w:r>
        <w:rPr>
          <w:rFonts w:ascii="Arial" w:cs="Arial" w:eastAsia="Arial" w:hAnsi="Arial"/>
          <w:sz w:val="16"/>
          <w:szCs w:val="16"/>
          <w:color w:val="auto"/>
        </w:rPr>
        <w:t>— We intend to pursue additional revenue opportunities from existing Chinese and global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65" w:lineRule="exact"/>
        <w:rPr>
          <w:rFonts w:ascii="Arial" w:cs="Arial" w:eastAsia="Arial" w:hAnsi="Arial"/>
          <w:sz w:val="16"/>
          <w:szCs w:val="16"/>
          <w:i w:val="1"/>
          <w:iCs w:val="1"/>
          <w:color w:val="auto"/>
        </w:rPr>
      </w:pPr>
    </w:p>
    <w:p>
      <w:pPr>
        <w:jc w:val="both"/>
        <w:ind w:left="960" w:hanging="313"/>
        <w:spacing w:after="0" w:line="292" w:lineRule="auto"/>
        <w:tabs>
          <w:tab w:leader="none" w:pos="9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research and development, deepen domain expertise and develop specific solutions for target industry verticals </w:t>
      </w:r>
      <w:r>
        <w:rPr>
          <w:rFonts w:ascii="Arial" w:cs="Arial" w:eastAsia="Arial" w:hAnsi="Arial"/>
          <w:sz w:val="16"/>
          <w:szCs w:val="16"/>
          <w:color w:val="auto"/>
        </w:rPr>
        <w:t>—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61" w:lineRule="exact"/>
        <w:rPr>
          <w:rFonts w:ascii="Arial" w:cs="Arial" w:eastAsia="Arial" w:hAnsi="Arial"/>
          <w:sz w:val="16"/>
          <w:szCs w:val="16"/>
          <w:i w:val="1"/>
          <w:iCs w:val="1"/>
          <w:color w:val="auto"/>
        </w:rPr>
      </w:pPr>
    </w:p>
    <w:p>
      <w:pPr>
        <w:jc w:val="both"/>
        <w:ind w:left="960" w:hanging="313"/>
        <w:spacing w:after="0" w:line="265" w:lineRule="auto"/>
        <w:tabs>
          <w:tab w:leader="none" w:pos="96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spacing w:after="0" w:line="185" w:lineRule="exact"/>
        <w:rPr>
          <w:rFonts w:ascii="Arial" w:cs="Arial" w:eastAsia="Arial" w:hAnsi="Arial"/>
          <w:sz w:val="17"/>
          <w:szCs w:val="17"/>
          <w:i w:val="1"/>
          <w:iCs w:val="1"/>
          <w:color w:val="auto"/>
        </w:rPr>
      </w:pPr>
    </w:p>
    <w:p>
      <w:pPr>
        <w:jc w:val="both"/>
        <w:ind w:left="960" w:hanging="313"/>
        <w:spacing w:after="0" w:line="268" w:lineRule="auto"/>
        <w:tabs>
          <w:tab w:leader="none" w:pos="96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efficiencies through ongoing improvements in operational excellence </w:t>
      </w:r>
      <w:r>
        <w:rPr>
          <w:rFonts w:ascii="Arial" w:cs="Arial" w:eastAsia="Arial" w:hAnsi="Arial"/>
          <w:sz w:val="17"/>
          <w:szCs w:val="17"/>
          <w:color w:val="auto"/>
        </w:rPr>
        <w:t>— We strive to gain significant operating efficiencies by leveraging</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5" w:name="page46"/>
    <w:bookmarkEnd w:id="45"/>
    <w:p>
      <w:pPr>
        <w:jc w:val="both"/>
        <w:ind w:left="960" w:hanging="313"/>
        <w:spacing w:after="0" w:line="253" w:lineRule="auto"/>
        <w:tabs>
          <w:tab w:leader="none" w:pos="9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189" w:lineRule="exact"/>
        <w:rPr>
          <w:rFonts w:ascii="Arial" w:cs="Arial" w:eastAsia="Arial" w:hAnsi="Arial"/>
          <w:sz w:val="18"/>
          <w:szCs w:val="18"/>
          <w:i w:val="1"/>
          <w:iCs w:val="1"/>
          <w:color w:val="auto"/>
        </w:rPr>
      </w:pPr>
    </w:p>
    <w:p>
      <w:pPr>
        <w:jc w:val="both"/>
        <w:ind w:left="960" w:hanging="313"/>
        <w:spacing w:after="0" w:line="281" w:lineRule="auto"/>
        <w:tabs>
          <w:tab w:leader="none" w:pos="96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implement our global expansion strategy </w:t>
      </w:r>
      <w:r>
        <w:rPr>
          <w:rFonts w:ascii="Arial" w:cs="Arial" w:eastAsia="Arial" w:hAnsi="Arial"/>
          <w:sz w:val="17"/>
          <w:szCs w:val="17"/>
          <w:color w:val="auto"/>
        </w:rPr>
        <w:t>— We remain focused on investing in our long-term sustainable growth and delivering on</w:t>
      </w:r>
      <w:r>
        <w:rPr>
          <w:rFonts w:ascii="Arial" w:cs="Arial" w:eastAsia="Arial" w:hAnsi="Arial"/>
          <w:sz w:val="17"/>
          <w:szCs w:val="17"/>
          <w:i w:val="1"/>
          <w:iCs w:val="1"/>
          <w:color w:val="auto"/>
        </w:rPr>
        <w:t xml:space="preserve"> </w:t>
      </w:r>
      <w:r>
        <w:rPr>
          <w:rFonts w:ascii="Arial" w:cs="Arial" w:eastAsia="Arial" w:hAnsi="Arial"/>
          <w:sz w:val="17"/>
          <w:szCs w:val="17"/>
          <w:color w:val="auto"/>
        </w:rPr>
        <w:t>our dual-engine strategy of horizontal and vertical expansion. We will continue to pursue growth in our global footprint and market share as well as in technological and talent development. By delivering on our strategy, we expect to drive shareholder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 success.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 Breadth and depth of digital transformation service offerings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CLPS provides staffing-based consulting services, turn-key financial solutions, and implementation of advanced technologies, enabling clients to build new or enhance their existing systems. We are fully committed of providing digital transformation services with focused on financial and technology in the banking, wealth management, e-commerce, and automotive industries, among others, through the utilization of innovative technology to achieve our client’s goals.</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are dedicated to providing a full range of services and solutions across technology needs in finance. We are able to provide both development and implementation of core banking, credit card, online and e-commerce systems, as well as expertise across technology stacks. More recently, we have tested and piloted leading edge technologies including cloud transitions, robotic process automation, big data and blockchain. We are also exploring applications in artificial intelligence.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 Talent Creation Program and Talent Development Program</w:t>
      </w:r>
    </w:p>
    <w:p>
      <w:pPr>
        <w:spacing w:after="0" w:line="220"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p>
      <w:pPr>
        <w:jc w:val="both"/>
        <w:ind w:firstLine="640"/>
        <w:spacing w:after="0" w:line="274"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7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67" w:lineRule="exact"/>
        <w:rPr>
          <w:sz w:val="20"/>
          <w:szCs w:val="20"/>
          <w:color w:val="auto"/>
        </w:rPr>
      </w:pPr>
    </w:p>
    <w:p>
      <w:pPr>
        <w:ind w:left="960" w:hanging="313"/>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19" w:lineRule="exact"/>
        <w:rPr>
          <w:rFonts w:ascii="Arial" w:cs="Arial" w:eastAsia="Arial" w:hAnsi="Arial"/>
          <w:sz w:val="18"/>
          <w:szCs w:val="18"/>
          <w:color w:val="auto"/>
        </w:rPr>
      </w:pPr>
    </w:p>
    <w:p>
      <w:pPr>
        <w:ind w:left="180" w:hanging="173"/>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Leading provider of human capital in the financial and technology industry</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so support the client’s communication need, which is vital for a business’ success.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greatest edge in terms of human capital is our employees’ English communication skills capability and are familiar with international financial business environment. In terms of our overall IT skills, we maintain even distribution and relatively adequate resources of talent pool with capabilities in Java, Cobol, quality control, and other cutting-edge technology such as data analysis.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0" w:lineRule="exact"/>
        <w:rPr>
          <w:sz w:val="20"/>
          <w:szCs w:val="20"/>
          <w:color w:val="auto"/>
        </w:rPr>
      </w:pPr>
    </w:p>
    <w:p>
      <w:pPr>
        <w:ind w:left="960" w:hanging="313"/>
        <w:spacing w:after="0"/>
        <w:tabs>
          <w:tab w:leader="none" w:pos="9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Banking or their China-based IT centers </w:t>
      </w:r>
      <w:r>
        <w:rPr>
          <w:rFonts w:ascii="Arial" w:cs="Arial" w:eastAsia="Arial" w:hAnsi="Arial"/>
          <w:sz w:val="17"/>
          <w:szCs w:val="17"/>
          <w:color w:val="auto"/>
        </w:rPr>
        <w:t>— Citibank, Standard Chartered Bank (China) Ltd., ANZ Bank, and Bank of Communications.</w:t>
      </w:r>
    </w:p>
    <w:p>
      <w:pPr>
        <w:spacing w:after="0" w:line="231" w:lineRule="exact"/>
        <w:rPr>
          <w:rFonts w:ascii="Arial" w:cs="Arial" w:eastAsia="Arial" w:hAnsi="Arial"/>
          <w:sz w:val="17"/>
          <w:szCs w:val="17"/>
          <w:i w:val="1"/>
          <w:iCs w:val="1"/>
          <w:color w:val="auto"/>
        </w:rPr>
      </w:pPr>
    </w:p>
    <w:p>
      <w:pPr>
        <w:ind w:left="960" w:hanging="313"/>
        <w:spacing w:after="0"/>
        <w:tabs>
          <w:tab w:leader="none" w:pos="9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Wealth Management </w:t>
      </w:r>
      <w:r>
        <w:rPr>
          <w:rFonts w:ascii="Arial" w:cs="Arial" w:eastAsia="Arial" w:hAnsi="Arial"/>
          <w:sz w:val="18"/>
          <w:szCs w:val="18"/>
          <w:color w:val="auto"/>
        </w:rPr>
        <w:t>— AIA, China Life Insurance, First Data, Haitong Securities, and Orient Securities.</w:t>
      </w:r>
    </w:p>
    <w:p>
      <w:pPr>
        <w:spacing w:after="0" w:line="219" w:lineRule="exact"/>
        <w:rPr>
          <w:rFonts w:ascii="Arial" w:cs="Arial" w:eastAsia="Arial" w:hAnsi="Arial"/>
          <w:sz w:val="18"/>
          <w:szCs w:val="18"/>
          <w:i w:val="1"/>
          <w:iCs w:val="1"/>
          <w:color w:val="auto"/>
        </w:rPr>
      </w:pPr>
    </w:p>
    <w:p>
      <w:pPr>
        <w:ind w:left="960" w:hanging="313"/>
        <w:spacing w:after="0"/>
        <w:tabs>
          <w:tab w:leader="none" w:pos="9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 eBay and PayPal.</w:t>
      </w:r>
    </w:p>
    <w:p>
      <w:pPr>
        <w:spacing w:after="0" w:line="246" w:lineRule="exact"/>
        <w:rPr>
          <w:rFonts w:ascii="Arial" w:cs="Arial" w:eastAsia="Arial" w:hAnsi="Arial"/>
          <w:sz w:val="18"/>
          <w:szCs w:val="18"/>
          <w:i w:val="1"/>
          <w:iCs w:val="1"/>
          <w:color w:val="auto"/>
        </w:rPr>
      </w:pPr>
    </w:p>
    <w:p>
      <w:pPr>
        <w:ind w:left="960" w:hanging="313"/>
        <w:spacing w:after="0"/>
        <w:tabs>
          <w:tab w:leader="none" w:pos="96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Automotive and Technology </w:t>
      </w:r>
      <w:r>
        <w:rPr>
          <w:rFonts w:ascii="Arial" w:cs="Arial" w:eastAsia="Arial" w:hAnsi="Arial"/>
          <w:sz w:val="16"/>
          <w:szCs w:val="16"/>
          <w:color w:val="auto"/>
        </w:rPr>
        <w:t>— SAIC Motors, Sony, Cisco, CRIF Information Technology, Experian, AGFA Healthcare, Neusoft, and Kodak.</w:t>
      </w:r>
    </w:p>
    <w:p>
      <w:pPr>
        <w:spacing w:after="0" w:line="243"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Sales and Marketing</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have invested in building a broad sales force and marketing team. As of June 30, 2020, our business development teams consisted of 28 full-time sales and marketing personnel, including 22 sales managers, each of whom is responsible for a designated sales region or client account. We plan to enhance our sales efforts by recruiting more sales personnel both domestically and overseas.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Officially named the CLPS Innovation Lab (“CLPS i-Lab)”, our R&amp;D is an integral part of our continued growth. In order to serve our Chinese and global clients’ needs better, we are fully committed on researching and developing cutting-edge technology including distributed application systems, cloud computing, micro services, open API, robotic process automation (RPA), blockchain, and big data, among other technologies, with a focus on continuous scientific and technological innovation to provide clients with more comprehensive and efficient IT services.</w:t>
      </w:r>
    </w:p>
    <w:p>
      <w:pPr>
        <w:spacing w:after="0" w:line="175"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a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196"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We upgraded our credit card system product, and it is currently in its final phase of testing. Through the joint effort of CLPS Innovation Lab and Credit Card Service teams, the essential parts of the system will be migrated to the cloud platform. After the upgrade, the new product platform will leverage the advantages of cloud computing. Combined with the micro-service application, it paves the way to achieve dynamic horizontal and vertical expansions, resulting in improved performance, reliability, utilization of resources, and significantly reduced infrastructure costs. It also improves the display interface, gated launch and other features that enhance the user experience. In addition, the new product platform adopts the Open-API, or Application Program Interface, concept to provide ample APIs to facilitate the connection between channels, merchants and enterprises. The upgrade also includes an integrated monitoring platform that covers comprehensive monitoring and an early warning signal of basic settings and business transactions which allow clients to quickly locate and solve problems.</w:t>
      </w:r>
    </w:p>
    <w:p>
      <w:pPr>
        <w:spacing w:after="0" w:line="18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ran a successful internal pilot test of Robotic Process Automation (RPA), aiming to automate the in-house human resources department’s business processes, which cover more than 2,000 employees. Instead of manual work, the RPA mimics human activity that streamlines the internal management system and improve efficiency.</w:t>
      </w:r>
    </w:p>
    <w:p>
      <w:pPr>
        <w:spacing w:after="0" w:line="186"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We integrated the Company’s successful applications of advanced technologies, such as cloud platforms, big data, and robotic process automation (RPA), to our recruitment centers, which enables the acceleration of talent acquisition process. As a result, CLPS will be able to obtain qualified talent, reduce talent acquisition costs, meet the growing demands of talent from its existing and potential clients, and achieve meaningful growth.</w:t>
      </w:r>
    </w:p>
    <w:p>
      <w:pPr>
        <w:spacing w:after="0" w:line="15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CLPS i-Lab adheres to our strategy of promoting our products and solutions based on new technology and new research, application innovations, and our leading talent pool, while improving our technological innovation capability and market competitiveness. As the center of our research and development efforts, it will continue to be one of the most important drivers of CLPS’s growth.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Employees</w:t>
      </w:r>
    </w:p>
    <w:p>
      <w:pPr>
        <w:spacing w:after="0" w:line="224"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We believe resource management and planning is critically important to supporting our growth, and we are committed to effectively recruiting, training, developing and retaining our human capital. Our total number of employees has grown from 2,085 employees in fiscal 2019 to 2,746 employees as of June 30, 2020. Approximately 66.5%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5" w:lineRule="exact"/>
        <w:rPr>
          <w:sz w:val="20"/>
          <w:szCs w:val="20"/>
          <w:color w:val="auto"/>
        </w:rPr>
      </w:pPr>
    </w:p>
    <w:p>
      <w:pPr>
        <w:ind w:left="960" w:hanging="31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0"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The PRC Trademark Law, adopted in 1982 and revised in 2019, protects registered trademark. The Trademark Office of the State Administration of Industry and Commerce of the PRC, handles trademark registrations and grants trademark registrations for a term of ten years.</w:t>
      </w:r>
    </w:p>
    <w:p>
      <w:pPr>
        <w:spacing w:after="0" w:line="152"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76"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Our primary trademark portfolio consists of nine trademarks, five of which are registered and four of which are pending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9" w:name="page50"/>
    <w:bookmarkEnd w:id="49"/>
    <w:p>
      <w:pPr>
        <w:ind w:left="640"/>
        <w:spacing w:after="0"/>
        <w:rPr>
          <w:sz w:val="20"/>
          <w:szCs w:val="20"/>
          <w:color w:val="auto"/>
        </w:rPr>
      </w:pPr>
      <w:r>
        <w:rPr>
          <w:rFonts w:ascii="Arial" w:cs="Arial" w:eastAsia="Arial" w:hAnsi="Arial"/>
          <w:sz w:val="18"/>
          <w:szCs w:val="18"/>
          <w:color w:val="auto"/>
        </w:rPr>
        <w:t>We have registered for the following trademarks: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Application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Registration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4260" w:type="dxa"/>
            <w:vAlign w:val="bottom"/>
            <w:gridSpan w:val="2"/>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Current Owner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9"/>
        </w:trPr>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7"/>
              </w:rPr>
              <w:t>19288958</w:t>
            </w:r>
          </w:p>
        </w:tc>
        <w:tc>
          <w:tcPr>
            <w:tcW w:w="120" w:type="dxa"/>
            <w:vAlign w:val="bottom"/>
          </w:tcPr>
          <w:p>
            <w:pPr>
              <w:spacing w:after="0"/>
              <w:rPr>
                <w:sz w:val="17"/>
                <w:szCs w:val="17"/>
                <w:color w:val="auto"/>
              </w:rPr>
            </w:pPr>
          </w:p>
        </w:tc>
        <w:tc>
          <w:tcPr>
            <w:tcW w:w="41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Class 9: Recorded computer programs (programs);</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Recorded computer operating programs Computer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Professional Services</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8"/>
              </w:rPr>
              <w:t>peripherals; Computer software (recorded); Connector</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2"/>
              </w:rPr>
              <w:t>(data processing equipment); Monitor program (computer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program); Electronic publications (downloadable);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Computer program (downloadable software);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4"/>
              </w:rPr>
              <w:t>Downloadable computer application software; Computer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hardware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19289112</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7"/>
              </w:rPr>
              <w:t>Class 38: Information transmission; Computer terminal</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ChinaLink</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5"/>
              </w:rPr>
              <w:t>communication; Computer-aided information and image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Professional Services</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3"/>
              </w:rPr>
              <w:t>transmission; Information transmission equipment rental;</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3"/>
              </w:rPr>
              <w:t>Provide telecommunications link services to connect with</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the global computer network; Telecommunications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4"/>
              </w:rPr>
              <w:t>routing and junction services; Provide access service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2"/>
              </w:rPr>
              <w:t>global computer network users; Provide database access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19289503</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Class 9: Recorded computer programs (programs);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ChinaLink</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Recorded computer operating programs; Computer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Professional Services</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8"/>
              </w:rPr>
              <w:t>peripherals; Computer software (recorded); Connector</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2"/>
              </w:rPr>
              <w:t>(data processing equipment); Monitor program (computer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program); Electronic publications (downloadable);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Computer program (downloadable software);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4"/>
              </w:rPr>
              <w:t>Downloadable computer application software; Computer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hardware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19289341</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5"/>
              </w:rPr>
              <w:t>Class 42: Technical research; Research or develop new</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ChinaLink</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6"/>
              </w:rPr>
              <w:t>products for others; Computer programming; Computer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Professional Services</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software design; Computer hardware design and</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development consulting; Computer software rental;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Computer software maintenance; Computer system</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analysis; Computer software installation; Computer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software consulting</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19289214</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Class 41: Teaching; Education; Training; Practical</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ChinaLink</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training (demonstration); Employment guidance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Professional Services</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3"/>
              </w:rPr>
              <w:t>(education or training consultants); Arrange and organize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academic seminars; Arrange and organize meetings;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Arrange and organize general meeting; Arrange and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-5420995</wp:posOffset>
            </wp:positionV>
            <wp:extent cx="610235" cy="245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-4201160</wp:posOffset>
            </wp:positionV>
            <wp:extent cx="610235" cy="245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-2980690</wp:posOffset>
            </wp:positionV>
            <wp:extent cx="626745" cy="245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674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-1760855</wp:posOffset>
            </wp:positionV>
            <wp:extent cx="626745" cy="2457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74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-676275</wp:posOffset>
            </wp:positionV>
            <wp:extent cx="610235" cy="2457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0235" cy="24574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color w:val="auto"/>
        </w:rPr>
        <w:t>organize symposium; Arrange and organize training</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0" w:name="page51"/>
    <w:bookmarkEnd w:id="50"/>
    <w:p>
      <w:pPr>
        <w:ind w:left="640"/>
        <w:spacing w:after="0"/>
        <w:rPr>
          <w:sz w:val="20"/>
          <w:szCs w:val="20"/>
          <w:color w:val="auto"/>
        </w:rPr>
      </w:pPr>
      <w:r>
        <w:rPr>
          <w:rFonts w:ascii="Arial" w:cs="Arial" w:eastAsia="Arial" w:hAnsi="Arial"/>
          <w:sz w:val="18"/>
          <w:szCs w:val="18"/>
          <w:color w:val="auto"/>
        </w:rPr>
        <w:t>We have applied to register the following trademarks: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Application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Mark</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414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Current Owner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9"/>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7"/>
              </w:rPr>
              <w:t>19289066</w:t>
            </w:r>
          </w:p>
        </w:tc>
        <w:tc>
          <w:tcPr>
            <w:tcW w:w="120" w:type="dxa"/>
            <w:vAlign w:val="bottom"/>
          </w:tcPr>
          <w:p>
            <w:pPr>
              <w:spacing w:after="0"/>
              <w:rPr>
                <w:sz w:val="17"/>
                <w:szCs w:val="17"/>
                <w:color w:val="auto"/>
              </w:rPr>
            </w:pPr>
          </w:p>
        </w:tc>
        <w:tc>
          <w:tcPr>
            <w:tcW w:w="4140" w:type="dxa"/>
            <w:vAlign w:val="bottom"/>
          </w:tcPr>
          <w:p>
            <w:pPr>
              <w:spacing w:after="0" w:line="199" w:lineRule="exact"/>
              <w:rPr>
                <w:sz w:val="20"/>
                <w:szCs w:val="20"/>
                <w:color w:val="auto"/>
              </w:rPr>
            </w:pPr>
            <w:r>
              <w:rPr>
                <w:rFonts w:ascii="Arial" w:cs="Arial" w:eastAsia="Arial" w:hAnsi="Arial"/>
                <w:sz w:val="18"/>
                <w:szCs w:val="18"/>
                <w:color w:val="auto"/>
                <w:w w:val="96"/>
              </w:rPr>
              <w:t>Class 35: Advertising; Advertising agency Advertising</w:t>
            </w:r>
          </w:p>
        </w:tc>
        <w:tc>
          <w:tcPr>
            <w:tcW w:w="120" w:type="dxa"/>
            <w:vAlign w:val="bottom"/>
          </w:tcPr>
          <w:p>
            <w:pPr>
              <w:spacing w:after="0"/>
              <w:rPr>
                <w:sz w:val="17"/>
                <w:szCs w:val="17"/>
                <w:color w:val="auto"/>
              </w:rPr>
            </w:pPr>
          </w:p>
        </w:tc>
        <w:tc>
          <w:tcPr>
            <w:tcW w:w="1680" w:type="dxa"/>
            <w:vAlign w:val="bottom"/>
          </w:tcPr>
          <w:p>
            <w:pPr>
              <w:jc w:val="center"/>
              <w:spacing w:after="0" w:line="199" w:lineRule="exact"/>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0"/>
              </w:rPr>
              <w:t>Pending</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89"/>
              </w:rPr>
              <w:t>space rental; Online advertising on the computer network;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Professional Services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8"/>
              </w:rPr>
              <w:t>Advertisement layout design; Business management</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assistance; Business inquiry; Business information</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agency; Business management and organization</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consulting; Business management consulting</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19289175</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2"/>
              </w:rPr>
              <w:t>Class 42: Technical research; Research or develop new</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Pending</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3"/>
              </w:rPr>
              <w:t>products for others; Computer programming; Computer</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Professional Services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software design; Computer hardware design and</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development consulting; Computer software rental;</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Computer software maintenance; Computer system</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analysis; Computer software installation; Computer</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software consulting</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19289492</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4"/>
              </w:rPr>
              <w:t>Class 38: Information transmission; Computer terminal</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Pending</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2"/>
              </w:rPr>
              <w:t>communication; Computer-aided information and image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Professional Services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1"/>
              </w:rPr>
              <w:t>transmission; Information transmission equipment rental;</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Provide telecommunications link services to connect with</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the global computer network; Telecommunications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1"/>
              </w:rPr>
              <w:t>routing and junction services; Provide access service for</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global computer network users; Provide database access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3"/>
              </w:rPr>
              <w:t>service; Digital file transfer; Teleconference call service</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4"/>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19289420</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Class 41: Teaching; Education; Training; Practical</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Pending</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training (demonstration); Employment guidance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Professional Services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(education or training consultants); Arrange and organize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7"/>
              </w:rPr>
              <w:t>academic seminars; Arrange and organize meetings;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8"/>
              </w:rPr>
              <w:t>Arrange and organize general meeting; Arrange and</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-3930015</wp:posOffset>
            </wp:positionV>
            <wp:extent cx="610235" cy="245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-2980690</wp:posOffset>
            </wp:positionV>
            <wp:extent cx="610235" cy="245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-1896110</wp:posOffset>
            </wp:positionV>
            <wp:extent cx="626745" cy="245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74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-676275</wp:posOffset>
            </wp:positionV>
            <wp:extent cx="626745" cy="245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6745" cy="24574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color w:val="auto"/>
        </w:rPr>
        <w:t>organize symposium; Arrange and organize training</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1" w:name="page52"/>
    <w:bookmarkEnd w:id="51"/>
    <w:p>
      <w:pPr>
        <w:ind w:left="640"/>
        <w:spacing w:after="0"/>
        <w:rPr>
          <w:sz w:val="20"/>
          <w:szCs w:val="20"/>
          <w:color w:val="auto"/>
        </w:rPr>
      </w:pPr>
      <w:r>
        <w:rPr>
          <w:rFonts w:ascii="Arial" w:cs="Arial" w:eastAsia="Arial" w:hAnsi="Arial"/>
          <w:sz w:val="18"/>
          <w:szCs w:val="18"/>
          <w:color w:val="auto"/>
        </w:rPr>
        <w:t>The following is a list of the Company’s copyrights: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Current Owner</w:t>
            </w:r>
          </w:p>
        </w:tc>
      </w:tr>
      <w:tr>
        <w:trPr>
          <w:trHeight w:val="199"/>
        </w:trPr>
        <w:tc>
          <w:tcPr>
            <w:tcW w:w="4060" w:type="dxa"/>
            <w:vAlign w:val="bottom"/>
          </w:tcPr>
          <w:p>
            <w:pPr>
              <w:spacing w:after="0" w:line="199" w:lineRule="exact"/>
              <w:rPr>
                <w:sz w:val="20"/>
                <w:szCs w:val="20"/>
                <w:color w:val="auto"/>
              </w:rPr>
            </w:pPr>
            <w:r>
              <w:rPr>
                <w:rFonts w:ascii="Arial" w:cs="Arial" w:eastAsia="Arial" w:hAnsi="Arial"/>
                <w:sz w:val="18"/>
                <w:szCs w:val="18"/>
                <w:color w:val="auto"/>
              </w:rPr>
              <w:t>CLPS HR Management Platform Software V1.0</w:t>
            </w:r>
          </w:p>
        </w:tc>
        <w:tc>
          <w:tcPr>
            <w:tcW w:w="120" w:type="dxa"/>
            <w:vAlign w:val="bottom"/>
          </w:tcPr>
          <w:p>
            <w:pPr>
              <w:spacing w:after="0"/>
              <w:rPr>
                <w:sz w:val="17"/>
                <w:szCs w:val="17"/>
                <w:color w:val="auto"/>
              </w:rPr>
            </w:pPr>
          </w:p>
        </w:tc>
        <w:tc>
          <w:tcPr>
            <w:tcW w:w="114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7"/>
              </w:rPr>
              <w:t>2009SR015975</w:t>
            </w:r>
          </w:p>
        </w:tc>
        <w:tc>
          <w:tcPr>
            <w:tcW w:w="10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Food and Beverage Report Analysis and</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2009SR060110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8"/>
              </w:rPr>
              <w:t>CLPS Apparel Industry POS Management Platform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2009SR060102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Express Information Interactive Platform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2009SR060112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Chain Store Information Interactive Platform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2009SR060108</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Project Analysis and Management Platform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2009SR060169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7"/>
              </w:rPr>
              <w:t>CLPS Payroll Accounting System Platform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2010SR043564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7"/>
              </w:rPr>
              <w:t>CLPS Fast Moving Consumer Goods Frontline Staff</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2010SR043561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Staff Management Platform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2010SR043562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Coal Mining Enterprise Information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2010SR045449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8"/>
              </w:rPr>
              <w:t>CLPS Campus Expense Card Web Service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2010SR045441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3"/>
              </w:rPr>
              <w:t>CLPS Campus Expense Card Bathroom Management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2010SR045444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Service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4"/>
              </w:rPr>
              <w:t>CLPS Machinery Industry ERP Management Platform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2010SR045802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9"/>
              </w:rPr>
              <w:t>CLPS Assignment and Task Management Platform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2011SR076863</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(short name: Assignment and Task</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System)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5"/>
              </w:rPr>
              <w:t>CLPS Marketing Assistant System Platform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2012SR096727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3"/>
              </w:rPr>
              <w:t>CLPS Outsourcing Service Staff Management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2012SR096666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5"/>
              </w:rPr>
              <w:t>CLPS Outsourcing Service Staff System Background</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2012SR096731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26"/>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Approval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8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29</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April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3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August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August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August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4"/>
              </w:rPr>
              <w:t>2</w:t>
            </w:r>
            <w:r>
              <w:rPr>
                <w:rFonts w:ascii="Arial" w:cs="Arial" w:eastAsia="Arial" w:hAnsi="Arial"/>
                <w:sz w:val="29"/>
                <w:szCs w:val="29"/>
                <w:color w:val="auto"/>
                <w:w w:val="84"/>
                <w:vertAlign w:val="superscript"/>
              </w:rPr>
              <w:t>nd</w:t>
            </w:r>
            <w:r>
              <w:rPr>
                <w:rFonts w:ascii="Arial" w:cs="Arial" w:eastAsia="Arial" w:hAnsi="Arial"/>
                <w:sz w:val="18"/>
                <w:szCs w:val="18"/>
                <w:color w:val="auto"/>
                <w:w w:val="84"/>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5"/>
              </w:rPr>
              <w:t>25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October 2011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bl>
    <w:p>
      <w:pPr>
        <w:spacing w:after="0" w:line="463" w:lineRule="exact"/>
        <w:rPr>
          <w:sz w:val="20"/>
          <w:szCs w:val="20"/>
          <w:color w:val="auto"/>
        </w:rPr>
      </w:pPr>
    </w:p>
    <w:p>
      <w:pPr>
        <w:sectPr>
          <w:pgSz w:w="11900" w:h="16838" w:orient="portrait"/>
          <w:cols w:equalWidth="0" w:num="2">
            <w:col w:w="8440" w:space="100"/>
            <w:col w:w="2700"/>
          </w:cols>
          <w:pgMar w:left="320" w:top="899"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Current Owner</w:t>
            </w:r>
          </w:p>
        </w:tc>
      </w:tr>
      <w:tr>
        <w:trPr>
          <w:trHeight w:val="199"/>
        </w:trPr>
        <w:tc>
          <w:tcPr>
            <w:tcW w:w="4060" w:type="dxa"/>
            <w:vAlign w:val="bottom"/>
          </w:tcPr>
          <w:p>
            <w:pPr>
              <w:spacing w:after="0" w:line="199" w:lineRule="exact"/>
              <w:rPr>
                <w:sz w:val="20"/>
                <w:szCs w:val="20"/>
                <w:color w:val="auto"/>
              </w:rPr>
            </w:pPr>
            <w:r>
              <w:rPr>
                <w:rFonts w:ascii="Arial" w:cs="Arial" w:eastAsia="Arial" w:hAnsi="Arial"/>
                <w:sz w:val="18"/>
                <w:szCs w:val="18"/>
                <w:color w:val="auto"/>
              </w:rPr>
              <w:t>CLPS Logistics Terminal Distribution Platform</w:t>
            </w:r>
          </w:p>
        </w:tc>
        <w:tc>
          <w:tcPr>
            <w:tcW w:w="120" w:type="dxa"/>
            <w:vAlign w:val="bottom"/>
          </w:tcPr>
          <w:p>
            <w:pPr>
              <w:spacing w:after="0"/>
              <w:rPr>
                <w:sz w:val="17"/>
                <w:szCs w:val="17"/>
                <w:color w:val="auto"/>
              </w:rPr>
            </w:pPr>
          </w:p>
        </w:tc>
        <w:tc>
          <w:tcPr>
            <w:tcW w:w="114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7"/>
              </w:rPr>
              <w:t>2012SR096668</w:t>
            </w:r>
          </w:p>
        </w:tc>
        <w:tc>
          <w:tcPr>
            <w:tcW w:w="10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5"/>
              </w:rPr>
              <w:t>CLPS HR Background Support Management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2012SR098440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HR Management System Platform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2012SR098429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(short name: HR Management System)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1"/>
              </w:rPr>
              <w:t>CLPS Outsourcing Service Staff Resume Entry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2012SR098687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0"/>
              </w:rPr>
              <w:t>CLPS Bank Document Business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2013SR054800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(short name: Document Management)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Monetary Transaction Management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2013SR054796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(short name: Monetary Transaction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Expense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2014SR168125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Repayment Process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2"/>
              </w:rPr>
              <w:t>CLPS Bank Point Accumulative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Interest Process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Credit Application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2014SR168138</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8"/>
              </w:rPr>
              <w:t>CLPS Credit Card Risk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2015SR028695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8"/>
              </w:rPr>
              <w:t>CLPS Credit Card Account Establishment and Card</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2015SR029015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Making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Credit Card Customer Service Management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2015SR029012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0"/>
              </w:rPr>
              <w:t>CLPS Credit Card Cleaning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2015SR028884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1"/>
              </w:rPr>
              <w:t>CLPS Credit Card Authorization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2015SR028914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2"/>
              </w:rPr>
              <w:t>CLPS Mortgage Loan Plan Spreadsheet Tool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2015SR198772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(short name: Loan Spreadsheet)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Product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2015SR198610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26"/>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15875</wp:posOffset>
            </wp:positionV>
            <wp:extent cx="9232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23290" cy="1714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2013</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2013</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15875</wp:posOffset>
            </wp:positionV>
            <wp:extent cx="7118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692" w:lineRule="exact"/>
        <w:rPr>
          <w:sz w:val="20"/>
          <w:szCs w:val="20"/>
          <w:color w:val="auto"/>
        </w:rPr>
      </w:pPr>
    </w:p>
    <w:p>
      <w:pPr>
        <w:sectPr>
          <w:pgSz w:w="11900" w:h="16838" w:orient="portrait"/>
          <w:cols w:equalWidth="0" w:num="3">
            <w:col w:w="8460" w:space="140"/>
            <w:col w:w="1380" w:space="320"/>
            <w:col w:w="760"/>
          </w:cols>
          <w:pgMar w:left="320" w:top="895" w:right="519" w:bottom="1440" w:gutter="0" w:footer="0" w:header="0"/>
        </w:sect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60"/>
          </w:cols>
          <w:pgMar w:left="320" w:top="895" w:right="51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199"/>
        </w:trPr>
        <w:tc>
          <w:tcPr>
            <w:tcW w:w="4060" w:type="dxa"/>
            <w:vAlign w:val="bottom"/>
          </w:tcPr>
          <w:p>
            <w:pPr>
              <w:spacing w:after="0" w:line="199" w:lineRule="exact"/>
              <w:rPr>
                <w:sz w:val="20"/>
                <w:szCs w:val="20"/>
                <w:color w:val="auto"/>
              </w:rPr>
            </w:pPr>
            <w:r>
              <w:rPr>
                <w:rFonts w:ascii="Arial" w:cs="Arial" w:eastAsia="Arial" w:hAnsi="Arial"/>
                <w:sz w:val="18"/>
                <w:szCs w:val="18"/>
                <w:color w:val="auto"/>
              </w:rPr>
              <w:t>CLPS Bank Deposit and Withdrawal Services</w:t>
            </w:r>
          </w:p>
        </w:tc>
        <w:tc>
          <w:tcPr>
            <w:tcW w:w="12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89"/>
              </w:rPr>
              <w:t>2015SR198176</w:t>
            </w:r>
          </w:p>
        </w:tc>
        <w:tc>
          <w:tcPr>
            <w:tcW w:w="12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6"/>
              </w:rPr>
              <w:t>CLPS Bank Loan Application Management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2015SR198654</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6"/>
              </w:rPr>
              <w:t>CLPS Bank Repayment Management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2015SR198649</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89"/>
              </w:rPr>
              <w:t>CLPS Bank Exchange Rate Management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2015SR198774</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Interest Settlement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2015SR198246</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6"/>
              </w:rPr>
              <w:t>CLPS Bank Foreign Exchange Transaction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2015SR198240</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Investment Management Securities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2016SR376924</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Business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Bank Big Data Decision-making Platform</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2016SR382920</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Customer Portrayal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Ca,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Internet Financial Cloud Mobile Banking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2016SR398821</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Wantong Calculus Mall Software V2.0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2017SR118507</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CLPS Beijing</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Hengtong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RC Rules Engine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2017SR169307</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Internet Financing Collection Management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2017SR119266</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Points Management Platform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2017SR119078</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Full-web Order Receiving Unified Platform</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2017SR202535</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9"/>
              </w:rPr>
              <w:t>CLPS Quanxi Intelligent Marketing Platform Clients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2017SR565576</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Growth Center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5"/>
              </w:rPr>
              <w:t>CLPS Enterprise Recruitment Intelligent Cooperation</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2017SR646712</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Intelligent Online Training Test Instructional</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2017SR646507</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Enterprise Internet Qinqin Loan Background</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2017SR647634</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26"/>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Approval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86"/>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3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16</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2016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20</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2016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27</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2016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17</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April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27"/>
        </w:trPr>
        <w:tc>
          <w:tcPr>
            <w:tcW w:w="1480" w:type="dxa"/>
            <w:vAlign w:val="bottom"/>
          </w:tcPr>
          <w:p>
            <w:pPr>
              <w:jc w:val="center"/>
              <w:spacing w:after="0"/>
              <w:rPr>
                <w:sz w:val="20"/>
                <w:szCs w:val="20"/>
                <w:color w:val="auto"/>
              </w:rPr>
            </w:pPr>
            <w:r>
              <w:rPr>
                <w:rFonts w:ascii="Arial" w:cs="Arial" w:eastAsia="Arial" w:hAnsi="Arial"/>
                <w:sz w:val="18"/>
                <w:szCs w:val="18"/>
                <w:color w:val="auto"/>
                <w:w w:val="88"/>
              </w:rPr>
              <w:t>9</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May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27"/>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17</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April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27"/>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17</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April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27"/>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May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27"/>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13</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bl>
    <w:p>
      <w:pPr>
        <w:spacing w:after="0" w:line="463" w:lineRule="exact"/>
        <w:rPr>
          <w:sz w:val="20"/>
          <w:szCs w:val="20"/>
          <w:color w:val="auto"/>
        </w:rPr>
      </w:pPr>
    </w:p>
    <w:p>
      <w:pPr>
        <w:sectPr>
          <w:pgSz w:w="11900" w:h="16838" w:orient="portrait"/>
          <w:cols w:equalWidth="0" w:num="2">
            <w:col w:w="8420" w:space="120"/>
            <w:col w:w="2700"/>
          </w:cols>
          <w:pgMar w:left="320" w:top="89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199"/>
        </w:trPr>
        <w:tc>
          <w:tcPr>
            <w:tcW w:w="4060" w:type="dxa"/>
            <w:vAlign w:val="bottom"/>
          </w:tcPr>
          <w:p>
            <w:pPr>
              <w:spacing w:after="0" w:line="199" w:lineRule="exact"/>
              <w:rPr>
                <w:sz w:val="20"/>
                <w:szCs w:val="20"/>
                <w:color w:val="auto"/>
              </w:rPr>
            </w:pPr>
            <w:r>
              <w:rPr>
                <w:rFonts w:ascii="Arial" w:cs="Arial" w:eastAsia="Arial" w:hAnsi="Arial"/>
                <w:sz w:val="18"/>
                <w:szCs w:val="18"/>
                <w:color w:val="auto"/>
                <w:w w:val="97"/>
              </w:rPr>
              <w:t>CLPS Blockchain Based Virtual Credits Background</w:t>
            </w:r>
          </w:p>
        </w:tc>
        <w:tc>
          <w:tcPr>
            <w:tcW w:w="12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89"/>
              </w:rPr>
              <w:t>2017SR645676</w:t>
            </w:r>
          </w:p>
        </w:tc>
        <w:tc>
          <w:tcPr>
            <w:tcW w:w="12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Enterprise Talent Information Intelligent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2017SR645650</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7"/>
              </w:rPr>
              <w:t>CLPS Credit Card Big Data Integrated Management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2017SR645763</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Background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5"/>
              </w:rPr>
              <w:t>CLPS Enterprise Recruitment Intelligent Cooperation</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2017SR647190</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7"/>
              </w:rPr>
              <w:t>CLPS General Points Platform and Business Center</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2019SR0004653</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Online Financial Microloan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2019SR0004669</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9"/>
              </w:rPr>
              <w:t>CLPS Bank Customer Management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2019SR0004663</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8"/>
              </w:rPr>
              <w:t>CLPS Online Financial Management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2019SR0140935</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0"/>
              </w:rPr>
              <w:t>CLPS Talent Training One-Stop Platform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2020SR0094641</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Project Management Software [PMS]V2.0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2020SR0095716</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8"/>
              </w:rPr>
              <w:t>CLPS Online Financial Management Software V2.0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2020SR0095716</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Online Financial Microloan Software V3.0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2020SR0094745</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w w:val="99"/>
              </w:rPr>
              <w:t>CLPS Bank Customer Management Software V3.0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2020SR0095318</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CLPS Online Financial Accounting Management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2020SR0095725</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3"/>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26"/>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Approval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86"/>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3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3"/>
              </w:rPr>
              <w:t>2</w:t>
            </w:r>
            <w:r>
              <w:rPr>
                <w:rFonts w:ascii="Arial" w:cs="Arial" w:eastAsia="Arial" w:hAnsi="Arial"/>
                <w:sz w:val="29"/>
                <w:szCs w:val="29"/>
                <w:color w:val="auto"/>
                <w:w w:val="83"/>
                <w:vertAlign w:val="superscript"/>
              </w:rPr>
              <w:t>nd</w:t>
            </w:r>
            <w:r>
              <w:rPr>
                <w:rFonts w:ascii="Arial" w:cs="Arial" w:eastAsia="Arial" w:hAnsi="Arial"/>
                <w:sz w:val="18"/>
                <w:szCs w:val="18"/>
                <w:color w:val="auto"/>
                <w:w w:val="83"/>
              </w:rPr>
              <w:t xml:space="preserve"> January 2019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3"/>
              </w:rPr>
              <w:t>2</w:t>
            </w:r>
            <w:r>
              <w:rPr>
                <w:rFonts w:ascii="Arial" w:cs="Arial" w:eastAsia="Arial" w:hAnsi="Arial"/>
                <w:sz w:val="29"/>
                <w:szCs w:val="29"/>
                <w:color w:val="auto"/>
                <w:w w:val="83"/>
                <w:vertAlign w:val="superscript"/>
              </w:rPr>
              <w:t>nd</w:t>
            </w:r>
            <w:r>
              <w:rPr>
                <w:rFonts w:ascii="Arial" w:cs="Arial" w:eastAsia="Arial" w:hAnsi="Arial"/>
                <w:sz w:val="18"/>
                <w:szCs w:val="18"/>
                <w:color w:val="auto"/>
                <w:w w:val="83"/>
              </w:rPr>
              <w:t xml:space="preserve"> January 2019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3"/>
              </w:rPr>
              <w:t>2</w:t>
            </w:r>
            <w:r>
              <w:rPr>
                <w:rFonts w:ascii="Arial" w:cs="Arial" w:eastAsia="Arial" w:hAnsi="Arial"/>
                <w:sz w:val="29"/>
                <w:szCs w:val="29"/>
                <w:color w:val="auto"/>
                <w:w w:val="83"/>
                <w:vertAlign w:val="superscript"/>
              </w:rPr>
              <w:t>nd</w:t>
            </w:r>
            <w:r>
              <w:rPr>
                <w:rFonts w:ascii="Arial" w:cs="Arial" w:eastAsia="Arial" w:hAnsi="Arial"/>
                <w:sz w:val="18"/>
                <w:szCs w:val="18"/>
                <w:color w:val="auto"/>
                <w:w w:val="83"/>
              </w:rPr>
              <w:t xml:space="preserve"> January 2019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February 2019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January 2020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January 2020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January 2020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January 2020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January 2020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0"/>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January 2020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bl>
    <w:p>
      <w:pPr>
        <w:spacing w:after="0" w:line="463" w:lineRule="exact"/>
        <w:rPr>
          <w:sz w:val="20"/>
          <w:szCs w:val="20"/>
          <w:color w:val="auto"/>
        </w:rPr>
      </w:pPr>
    </w:p>
    <w:p>
      <w:pPr>
        <w:sectPr>
          <w:pgSz w:w="11900" w:h="16838" w:orient="portrait"/>
          <w:cols w:equalWidth="0" w:num="2">
            <w:col w:w="8420" w:space="120"/>
            <w:col w:w="2700"/>
          </w:cols>
          <w:pgMar w:left="320" w:top="89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Properties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May 2020, we relocated our principal executive office to Unit 702, 7th Floor, Millennium City II, 378 Kwun Tong Road, Kwun Tong, Kowloon, Hong Kong SAR from 2nd Floor, Building 18, Shanghai Pudong Software Park, 498 Guoshoujing Road, Pudong District, Shanghai, PRC. We lease the premise and the lease term expires on May 5, 2021.</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In addition, the Company manages and operates several other facilities. We rent office space in Tianjin, Shenzhen, Guangzhou, Dalian, Chengdu, Beijing, Baoding, Australia, Singapore, and Hong Kong. Rent expenses amounted to $944,645, $827,593, and $730,705 for the years ended June 30, 2020, 2019 and 2018, respectively. We believe our facilities are adequate for our current needs.</w:t>
      </w:r>
    </w:p>
    <w:p>
      <w:pPr>
        <w:sectPr>
          <w:pgSz w:w="11900" w:h="16838" w:orient="portrait"/>
          <w:cols w:equalWidth="0" w:num="1">
            <w:col w:w="11240"/>
          </w:cols>
          <w:pgMar w:left="320" w:top="895" w:right="3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Shanghai Office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Shanghai Office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Shanghai Office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Dalian Office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Dalian Office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Tianjin Office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Shenzhen Office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Guangzhou Office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Guangzhou Office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Chengdu Office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Beijing Office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Baoding Office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Australia Office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Singapore Office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Singapore Office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Hong Kong Office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Japan Office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520" w:type="dxa"/>
            <w:vAlign w:val="bottom"/>
            <w:gridSpan w:val="2"/>
          </w:tcPr>
          <w:p>
            <w:pPr>
              <w:ind w:left="3380"/>
              <w:spacing w:after="0"/>
              <w:rPr>
                <w:sz w:val="20"/>
                <w:szCs w:val="20"/>
                <w:color w:val="auto"/>
              </w:rPr>
            </w:pPr>
            <w:r>
              <w:rPr>
                <w:rFonts w:ascii="Arial" w:cs="Arial" w:eastAsia="Arial" w:hAnsi="Arial"/>
                <w:sz w:val="18"/>
                <w:szCs w:val="18"/>
                <w:b w:val="1"/>
                <w:bCs w:val="1"/>
                <w:color w:val="auto"/>
              </w:rPr>
              <w:t>Address</w:t>
            </w: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Space (m2)</w:t>
            </w:r>
          </w:p>
        </w:tc>
      </w:tr>
      <w:tr>
        <w:trPr>
          <w:trHeight w:val="239"/>
        </w:trPr>
        <w:tc>
          <w:tcPr>
            <w:tcW w:w="20" w:type="dxa"/>
            <w:vAlign w:val="bottom"/>
          </w:tcPr>
          <w:p>
            <w:pPr>
              <w:spacing w:after="0"/>
              <w:rPr>
                <w:sz w:val="20"/>
                <w:szCs w:val="20"/>
                <w:color w:val="auto"/>
              </w:rPr>
            </w:pPr>
          </w:p>
        </w:tc>
        <w:tc>
          <w:tcPr>
            <w:tcW w:w="7400" w:type="dxa"/>
            <w:vAlign w:val="bottom"/>
            <w:tcBorders>
              <w:top w:val="single" w:sz="8" w:color="auto"/>
            </w:tcBorders>
          </w:tcPr>
          <w:p>
            <w:pPr>
              <w:spacing w:after="0" w:line="239" w:lineRule="exact"/>
              <w:rPr>
                <w:sz w:val="20"/>
                <w:szCs w:val="20"/>
                <w:color w:val="auto"/>
              </w:rPr>
            </w:pPr>
            <w:r>
              <w:rPr>
                <w:rFonts w:ascii="Arial" w:cs="Arial" w:eastAsia="Arial" w:hAnsi="Arial"/>
                <w:sz w:val="17"/>
                <w:szCs w:val="17"/>
                <w:color w:val="auto"/>
              </w:rPr>
              <w:t>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 Building 18, Shanghai Pudong Software Park, 498 Guoshoujing Road, Pudong District,</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Shanghai, PRC</w:t>
            </w:r>
          </w:p>
        </w:tc>
        <w:tc>
          <w:tcPr>
            <w:tcW w:w="1120" w:type="dxa"/>
            <w:vAlign w:val="bottom"/>
          </w:tcPr>
          <w:p>
            <w:pPr>
              <w:jc w:val="right"/>
              <w:spacing w:after="0"/>
              <w:rPr>
                <w:sz w:val="20"/>
                <w:szCs w:val="20"/>
                <w:color w:val="auto"/>
              </w:rPr>
            </w:pPr>
            <w:r>
              <w:rPr>
                <w:rFonts w:ascii="Arial" w:cs="Arial" w:eastAsia="Arial" w:hAnsi="Arial"/>
                <w:sz w:val="18"/>
                <w:szCs w:val="18"/>
                <w:color w:val="auto"/>
              </w:rPr>
              <w:t>1,259.94</w:t>
            </w:r>
          </w:p>
        </w:tc>
      </w:tr>
      <w:tr>
        <w:trPr>
          <w:trHeight w:val="454"/>
        </w:trPr>
        <w:tc>
          <w:tcPr>
            <w:tcW w:w="7540" w:type="dxa"/>
            <w:vAlign w:val="bottom"/>
            <w:gridSpan w:val="3"/>
          </w:tcPr>
          <w:p>
            <w:pPr>
              <w:spacing w:after="0"/>
              <w:rPr>
                <w:sz w:val="20"/>
                <w:szCs w:val="20"/>
                <w:color w:val="auto"/>
              </w:rPr>
            </w:pPr>
            <w:r>
              <w:rPr>
                <w:rFonts w:ascii="Arial" w:cs="Arial" w:eastAsia="Arial" w:hAnsi="Arial"/>
                <w:sz w:val="18"/>
                <w:szCs w:val="18"/>
                <w:color w:val="auto"/>
                <w:w w:val="93"/>
              </w:rPr>
              <w:t>Room 302, 3</w:t>
            </w:r>
            <w:r>
              <w:rPr>
                <w:rFonts w:ascii="Arial" w:cs="Arial" w:eastAsia="Arial" w:hAnsi="Arial"/>
                <w:sz w:val="29"/>
                <w:szCs w:val="29"/>
                <w:color w:val="auto"/>
                <w:w w:val="93"/>
                <w:vertAlign w:val="superscript"/>
              </w:rPr>
              <w:t>rd</w:t>
            </w:r>
            <w:r>
              <w:rPr>
                <w:rFonts w:ascii="Arial" w:cs="Arial" w:eastAsia="Arial" w:hAnsi="Arial"/>
                <w:sz w:val="18"/>
                <w:szCs w:val="18"/>
                <w:color w:val="auto"/>
                <w:w w:val="93"/>
              </w:rPr>
              <w:t xml:space="preserve"> Floor, Building 10, Shanghai Pudong Software Park, 498 Guoshoujing Road, Pudong</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District, Shanghai, PRC</w:t>
            </w:r>
          </w:p>
        </w:tc>
        <w:tc>
          <w:tcPr>
            <w:tcW w:w="1120" w:type="dxa"/>
            <w:vAlign w:val="bottom"/>
          </w:tcPr>
          <w:p>
            <w:pPr>
              <w:jc w:val="right"/>
              <w:spacing w:after="0"/>
              <w:rPr>
                <w:sz w:val="20"/>
                <w:szCs w:val="20"/>
                <w:color w:val="auto"/>
              </w:rPr>
            </w:pPr>
            <w:r>
              <w:rPr>
                <w:rFonts w:ascii="Arial" w:cs="Arial" w:eastAsia="Arial" w:hAnsi="Arial"/>
                <w:sz w:val="18"/>
                <w:szCs w:val="18"/>
                <w:color w:val="auto"/>
              </w:rPr>
              <w:t>741.16</w:t>
            </w:r>
          </w:p>
        </w:tc>
      </w:tr>
      <w:tr>
        <w:trPr>
          <w:trHeight w:val="454"/>
        </w:trPr>
        <w:tc>
          <w:tcPr>
            <w:tcW w:w="7540" w:type="dxa"/>
            <w:vAlign w:val="bottom"/>
            <w:gridSpan w:val="3"/>
          </w:tcPr>
          <w:p>
            <w:pPr>
              <w:spacing w:after="0"/>
              <w:rPr>
                <w:sz w:val="20"/>
                <w:szCs w:val="20"/>
                <w:color w:val="auto"/>
              </w:rPr>
            </w:pPr>
            <w:r>
              <w:rPr>
                <w:rFonts w:ascii="Arial" w:cs="Arial" w:eastAsia="Arial" w:hAnsi="Arial"/>
                <w:sz w:val="18"/>
                <w:szCs w:val="18"/>
                <w:color w:val="auto"/>
                <w:w w:val="97"/>
              </w:rPr>
              <w:t>1</w:t>
            </w:r>
            <w:r>
              <w:rPr>
                <w:rFonts w:ascii="Arial" w:cs="Arial" w:eastAsia="Arial" w:hAnsi="Arial"/>
                <w:sz w:val="29"/>
                <w:szCs w:val="29"/>
                <w:color w:val="auto"/>
                <w:w w:val="97"/>
                <w:vertAlign w:val="superscript"/>
              </w:rPr>
              <w:t>st</w:t>
            </w:r>
            <w:r>
              <w:rPr>
                <w:rFonts w:ascii="Arial" w:cs="Arial" w:eastAsia="Arial" w:hAnsi="Arial"/>
                <w:sz w:val="18"/>
                <w:szCs w:val="18"/>
                <w:color w:val="auto"/>
                <w:w w:val="97"/>
              </w:rPr>
              <w:t xml:space="preserve"> Floor, Building 18, Shanghai Pudong Software Park, 498 Guoshoujing Road, Pudong District,</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Shanghai, PRC</w:t>
            </w:r>
          </w:p>
        </w:tc>
        <w:tc>
          <w:tcPr>
            <w:tcW w:w="1120" w:type="dxa"/>
            <w:vAlign w:val="bottom"/>
          </w:tcPr>
          <w:p>
            <w:pPr>
              <w:jc w:val="right"/>
              <w:spacing w:after="0"/>
              <w:rPr>
                <w:sz w:val="20"/>
                <w:szCs w:val="20"/>
                <w:color w:val="auto"/>
              </w:rPr>
            </w:pPr>
            <w:r>
              <w:rPr>
                <w:rFonts w:ascii="Arial" w:cs="Arial" w:eastAsia="Arial" w:hAnsi="Arial"/>
                <w:sz w:val="18"/>
                <w:szCs w:val="18"/>
                <w:color w:val="auto"/>
              </w:rPr>
              <w:t>914.62</w:t>
            </w:r>
          </w:p>
        </w:tc>
      </w:tr>
      <w:tr>
        <w:trPr>
          <w:trHeight w:val="414"/>
        </w:trPr>
        <w:tc>
          <w:tcPr>
            <w:tcW w:w="7540" w:type="dxa"/>
            <w:vAlign w:val="bottom"/>
            <w:gridSpan w:val="3"/>
          </w:tcPr>
          <w:p>
            <w:pPr>
              <w:spacing w:after="0"/>
              <w:rPr>
                <w:sz w:val="20"/>
                <w:szCs w:val="20"/>
                <w:color w:val="auto"/>
              </w:rPr>
            </w:pPr>
            <w:r>
              <w:rPr>
                <w:rFonts w:ascii="Arial" w:cs="Arial" w:eastAsia="Arial" w:hAnsi="Arial"/>
                <w:sz w:val="18"/>
                <w:szCs w:val="18"/>
                <w:color w:val="auto"/>
                <w:w w:val="97"/>
              </w:rPr>
              <w:t>Room 01-03, 1/F, 1 Huixian Garden, New &amp; High-tech Industrial Park, Dalian, Liaoning Province,</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PRC</w:t>
            </w:r>
          </w:p>
        </w:tc>
        <w:tc>
          <w:tcPr>
            <w:tcW w:w="1120" w:type="dxa"/>
            <w:vAlign w:val="bottom"/>
          </w:tcPr>
          <w:p>
            <w:pPr>
              <w:jc w:val="right"/>
              <w:spacing w:after="0"/>
              <w:rPr>
                <w:sz w:val="20"/>
                <w:szCs w:val="20"/>
                <w:color w:val="auto"/>
              </w:rPr>
            </w:pPr>
            <w:r>
              <w:rPr>
                <w:rFonts w:ascii="Arial" w:cs="Arial" w:eastAsia="Arial" w:hAnsi="Arial"/>
                <w:sz w:val="18"/>
                <w:szCs w:val="18"/>
                <w:color w:val="auto"/>
              </w:rPr>
              <w:t>611.82</w:t>
            </w:r>
          </w:p>
        </w:tc>
      </w:tr>
      <w:tr>
        <w:trPr>
          <w:trHeight w:val="414"/>
        </w:trPr>
        <w:tc>
          <w:tcPr>
            <w:tcW w:w="7540" w:type="dxa"/>
            <w:vAlign w:val="bottom"/>
            <w:gridSpan w:val="3"/>
          </w:tcPr>
          <w:p>
            <w:pPr>
              <w:spacing w:after="0"/>
              <w:rPr>
                <w:sz w:val="20"/>
                <w:szCs w:val="20"/>
                <w:color w:val="auto"/>
              </w:rPr>
            </w:pPr>
            <w:r>
              <w:rPr>
                <w:rFonts w:ascii="Arial" w:cs="Arial" w:eastAsia="Arial" w:hAnsi="Arial"/>
                <w:sz w:val="18"/>
                <w:szCs w:val="18"/>
                <w:color w:val="auto"/>
                <w:w w:val="97"/>
              </w:rPr>
              <w:t>Room 07-12, 7/F, 1 Huixian Garden, New &amp; High-tech Industrial Park, Dalian, Liaoning Province,</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PRC</w:t>
            </w:r>
          </w:p>
        </w:tc>
        <w:tc>
          <w:tcPr>
            <w:tcW w:w="1120" w:type="dxa"/>
            <w:vAlign w:val="bottom"/>
          </w:tcPr>
          <w:p>
            <w:pPr>
              <w:jc w:val="right"/>
              <w:spacing w:after="0"/>
              <w:rPr>
                <w:sz w:val="20"/>
                <w:szCs w:val="20"/>
                <w:color w:val="auto"/>
              </w:rPr>
            </w:pPr>
            <w:r>
              <w:rPr>
                <w:rFonts w:ascii="Arial" w:cs="Arial" w:eastAsia="Arial" w:hAnsi="Arial"/>
                <w:sz w:val="18"/>
                <w:szCs w:val="18"/>
                <w:color w:val="auto"/>
              </w:rPr>
              <w:t>917.11</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rPr>
              <w:t>Room 5601-8, F6, Building No.5, Xinhuan West Road, TEDA, Tianjin, PRC</w:t>
            </w:r>
          </w:p>
        </w:tc>
        <w:tc>
          <w:tcPr>
            <w:tcW w:w="1120" w:type="dxa"/>
            <w:vAlign w:val="bottom"/>
          </w:tcPr>
          <w:p>
            <w:pPr>
              <w:jc w:val="right"/>
              <w:spacing w:after="0"/>
              <w:rPr>
                <w:sz w:val="20"/>
                <w:szCs w:val="20"/>
                <w:color w:val="auto"/>
              </w:rPr>
            </w:pPr>
            <w:r>
              <w:rPr>
                <w:rFonts w:ascii="Arial" w:cs="Arial" w:eastAsia="Arial" w:hAnsi="Arial"/>
                <w:sz w:val="18"/>
                <w:szCs w:val="18"/>
                <w:color w:val="auto"/>
              </w:rPr>
              <w:t>56.07</w:t>
            </w:r>
          </w:p>
        </w:tc>
      </w:tr>
      <w:tr>
        <w:trPr>
          <w:trHeight w:val="414"/>
        </w:trPr>
        <w:tc>
          <w:tcPr>
            <w:tcW w:w="7540" w:type="dxa"/>
            <w:vAlign w:val="bottom"/>
            <w:gridSpan w:val="3"/>
          </w:tcPr>
          <w:p>
            <w:pPr>
              <w:spacing w:after="0"/>
              <w:rPr>
                <w:sz w:val="20"/>
                <w:szCs w:val="20"/>
                <w:color w:val="auto"/>
              </w:rPr>
            </w:pPr>
            <w:r>
              <w:rPr>
                <w:rFonts w:ascii="Arial" w:cs="Arial" w:eastAsia="Arial" w:hAnsi="Arial"/>
                <w:sz w:val="18"/>
                <w:szCs w:val="18"/>
                <w:color w:val="auto"/>
                <w:w w:val="93"/>
              </w:rPr>
              <w:t>Room 2007-2010, Anhui Building, Shennan Avenue, Futian District, Shenzhen, Guangdong Province,</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PRC</w:t>
            </w:r>
          </w:p>
        </w:tc>
        <w:tc>
          <w:tcPr>
            <w:tcW w:w="1120" w:type="dxa"/>
            <w:vAlign w:val="bottom"/>
          </w:tcPr>
          <w:p>
            <w:pPr>
              <w:jc w:val="right"/>
              <w:spacing w:after="0"/>
              <w:rPr>
                <w:sz w:val="20"/>
                <w:szCs w:val="20"/>
                <w:color w:val="auto"/>
              </w:rPr>
            </w:pPr>
            <w:r>
              <w:rPr>
                <w:rFonts w:ascii="Arial" w:cs="Arial" w:eastAsia="Arial" w:hAnsi="Arial"/>
                <w:sz w:val="18"/>
                <w:szCs w:val="18"/>
                <w:color w:val="auto"/>
              </w:rPr>
              <w:t>234.16</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rPr>
              <w:t>708-709A, 242 Tianhe Road, Tianhe District, Guangzhou, Guangdong Province, PRC</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4"/>
        </w:trPr>
        <w:tc>
          <w:tcPr>
            <w:tcW w:w="7540" w:type="dxa"/>
            <w:vAlign w:val="bottom"/>
            <w:gridSpan w:val="3"/>
          </w:tcPr>
          <w:p>
            <w:pPr>
              <w:spacing w:after="0"/>
              <w:rPr>
                <w:sz w:val="20"/>
                <w:szCs w:val="20"/>
                <w:color w:val="auto"/>
              </w:rPr>
            </w:pPr>
            <w:r>
              <w:rPr>
                <w:rFonts w:ascii="Arial" w:cs="Arial" w:eastAsia="Arial" w:hAnsi="Arial"/>
                <w:sz w:val="18"/>
                <w:szCs w:val="18"/>
                <w:color w:val="auto"/>
                <w:w w:val="94"/>
              </w:rPr>
              <w:t>Room 4006, Central District, 298 Yanjiang Road, Yuexiu District, Guangzhou, Guangdong Province,</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PRC</w:t>
            </w:r>
          </w:p>
        </w:tc>
        <w:tc>
          <w:tcPr>
            <w:tcW w:w="1120" w:type="dxa"/>
            <w:vAlign w:val="bottom"/>
          </w:tcPr>
          <w:p>
            <w:pPr>
              <w:jc w:val="right"/>
              <w:spacing w:after="0"/>
              <w:rPr>
                <w:sz w:val="20"/>
                <w:szCs w:val="20"/>
                <w:color w:val="auto"/>
              </w:rPr>
            </w:pPr>
            <w:r>
              <w:rPr>
                <w:rFonts w:ascii="Arial" w:cs="Arial" w:eastAsia="Arial" w:hAnsi="Arial"/>
                <w:sz w:val="18"/>
                <w:szCs w:val="18"/>
                <w:color w:val="auto"/>
              </w:rPr>
              <w:t>86.34</w:t>
            </w:r>
          </w:p>
        </w:tc>
      </w:tr>
      <w:tr>
        <w:trPr>
          <w:trHeight w:val="590"/>
        </w:trPr>
        <w:tc>
          <w:tcPr>
            <w:tcW w:w="7540" w:type="dxa"/>
            <w:vAlign w:val="bottom"/>
            <w:gridSpan w:val="3"/>
          </w:tcPr>
          <w:p>
            <w:pPr>
              <w:spacing w:after="0"/>
              <w:rPr>
                <w:sz w:val="20"/>
                <w:szCs w:val="20"/>
                <w:color w:val="auto"/>
              </w:rPr>
            </w:pPr>
            <w:r>
              <w:rPr>
                <w:rFonts w:ascii="Arial" w:cs="Arial" w:eastAsia="Arial" w:hAnsi="Arial"/>
                <w:sz w:val="18"/>
                <w:szCs w:val="18"/>
                <w:color w:val="auto"/>
              </w:rPr>
              <w:t>Unit 10, 29/Floor, Tower 2, 88 Jitai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Road, Gaoxin District, Chengdu, Sichuan District, PRC</w:t>
            </w:r>
          </w:p>
        </w:tc>
        <w:tc>
          <w:tcPr>
            <w:tcW w:w="1120" w:type="dxa"/>
            <w:vAlign w:val="bottom"/>
          </w:tcPr>
          <w:p>
            <w:pPr>
              <w:jc w:val="right"/>
              <w:spacing w:after="0"/>
              <w:rPr>
                <w:sz w:val="20"/>
                <w:szCs w:val="20"/>
                <w:color w:val="auto"/>
              </w:rPr>
            </w:pPr>
            <w:r>
              <w:rPr>
                <w:rFonts w:ascii="Arial" w:cs="Arial" w:eastAsia="Arial" w:hAnsi="Arial"/>
                <w:sz w:val="18"/>
                <w:szCs w:val="18"/>
                <w:color w:val="auto"/>
              </w:rPr>
              <w:t>59.74</w:t>
            </w:r>
          </w:p>
        </w:tc>
      </w:tr>
      <w:tr>
        <w:trPr>
          <w:trHeight w:val="467"/>
        </w:trPr>
        <w:tc>
          <w:tcPr>
            <w:tcW w:w="7540" w:type="dxa"/>
            <w:vAlign w:val="bottom"/>
            <w:gridSpan w:val="3"/>
          </w:tcPr>
          <w:p>
            <w:pPr>
              <w:spacing w:after="0"/>
              <w:rPr>
                <w:sz w:val="20"/>
                <w:szCs w:val="20"/>
                <w:color w:val="auto"/>
              </w:rPr>
            </w:pPr>
            <w:r>
              <w:rPr>
                <w:rFonts w:ascii="Arial" w:cs="Arial" w:eastAsia="Arial" w:hAnsi="Arial"/>
                <w:sz w:val="18"/>
                <w:szCs w:val="18"/>
                <w:color w:val="auto"/>
                <w:w w:val="92"/>
              </w:rPr>
              <w:t>Room 1329-1332, 13</w:t>
            </w:r>
            <w:r>
              <w:rPr>
                <w:rFonts w:ascii="Arial" w:cs="Arial" w:eastAsia="Arial" w:hAnsi="Arial"/>
                <w:sz w:val="29"/>
                <w:szCs w:val="29"/>
                <w:color w:val="auto"/>
                <w:w w:val="92"/>
                <w:vertAlign w:val="superscript"/>
              </w:rPr>
              <w:t>th</w:t>
            </w:r>
            <w:r>
              <w:rPr>
                <w:rFonts w:ascii="Arial" w:cs="Arial" w:eastAsia="Arial" w:hAnsi="Arial"/>
                <w:sz w:val="18"/>
                <w:szCs w:val="18"/>
                <w:color w:val="auto"/>
                <w:w w:val="92"/>
              </w:rPr>
              <w:t xml:space="preserve"> Floor, Building 2, Yard 26, Chengtong Road, Shijingshan District, Beijing, PRC</w:t>
            </w:r>
          </w:p>
        </w:tc>
        <w:tc>
          <w:tcPr>
            <w:tcW w:w="1120" w:type="dxa"/>
            <w:vAlign w:val="bottom"/>
          </w:tcPr>
          <w:p>
            <w:pPr>
              <w:jc w:val="right"/>
              <w:spacing w:after="0"/>
              <w:rPr>
                <w:sz w:val="20"/>
                <w:szCs w:val="20"/>
                <w:color w:val="auto"/>
              </w:rPr>
            </w:pPr>
            <w:r>
              <w:rPr>
                <w:rFonts w:ascii="Arial" w:cs="Arial" w:eastAsia="Arial" w:hAnsi="Arial"/>
                <w:sz w:val="18"/>
                <w:szCs w:val="18"/>
                <w:color w:val="auto"/>
              </w:rPr>
              <w:t>222.88</w:t>
            </w:r>
          </w:p>
        </w:tc>
      </w:tr>
      <w:tr>
        <w:trPr>
          <w:trHeight w:val="331"/>
        </w:trPr>
        <w:tc>
          <w:tcPr>
            <w:tcW w:w="7540" w:type="dxa"/>
            <w:vAlign w:val="bottom"/>
            <w:gridSpan w:val="3"/>
          </w:tcPr>
          <w:p>
            <w:pPr>
              <w:spacing w:after="0" w:line="330" w:lineRule="exact"/>
              <w:rPr>
                <w:sz w:val="20"/>
                <w:szCs w:val="20"/>
                <w:color w:val="auto"/>
              </w:rPr>
            </w:pPr>
            <w:r>
              <w:rPr>
                <w:rFonts w:ascii="Arial" w:cs="Arial" w:eastAsia="Arial" w:hAnsi="Arial"/>
                <w:sz w:val="18"/>
                <w:szCs w:val="18"/>
                <w:color w:val="auto"/>
                <w:w w:val="92"/>
              </w:rPr>
              <w:t>Room 710-712, 7</w:t>
            </w:r>
            <w:r>
              <w:rPr>
                <w:rFonts w:ascii="Arial" w:cs="Arial" w:eastAsia="Arial" w:hAnsi="Arial"/>
                <w:sz w:val="29"/>
                <w:szCs w:val="29"/>
                <w:color w:val="auto"/>
                <w:w w:val="92"/>
                <w:vertAlign w:val="superscript"/>
              </w:rPr>
              <w:t>th</w:t>
            </w:r>
            <w:r>
              <w:rPr>
                <w:rFonts w:ascii="Arial" w:cs="Arial" w:eastAsia="Arial" w:hAnsi="Arial"/>
                <w:sz w:val="18"/>
                <w:szCs w:val="18"/>
                <w:color w:val="auto"/>
                <w:w w:val="92"/>
              </w:rPr>
              <w:t xml:space="preserve"> Floor, Building A, Zhongguancun Innovation Center, 1799 North Chaoyang Street,</w:t>
            </w:r>
          </w:p>
        </w:tc>
        <w:tc>
          <w:tcPr>
            <w:tcW w:w="1120" w:type="dxa"/>
            <w:vAlign w:val="bottom"/>
          </w:tcPr>
          <w:p>
            <w:pPr>
              <w:spacing w:after="0"/>
              <w:rPr>
                <w:sz w:val="24"/>
                <w:szCs w:val="24"/>
                <w:color w:val="auto"/>
              </w:rPr>
            </w:pPr>
          </w:p>
        </w:tc>
      </w:tr>
      <w:tr>
        <w:trPr>
          <w:trHeight w:val="226"/>
        </w:trPr>
        <w:tc>
          <w:tcPr>
            <w:tcW w:w="7540" w:type="dxa"/>
            <w:vAlign w:val="bottom"/>
            <w:gridSpan w:val="3"/>
          </w:tcPr>
          <w:p>
            <w:pPr>
              <w:spacing w:after="0"/>
              <w:rPr>
                <w:sz w:val="20"/>
                <w:szCs w:val="20"/>
                <w:color w:val="auto"/>
              </w:rPr>
            </w:pPr>
            <w:r>
              <w:rPr>
                <w:rFonts w:ascii="Arial" w:cs="Arial" w:eastAsia="Arial" w:hAnsi="Arial"/>
                <w:sz w:val="18"/>
                <w:szCs w:val="18"/>
                <w:color w:val="auto"/>
              </w:rPr>
              <w:t>Baoding, PRC</w:t>
            </w: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rPr>
              <w:t>Part Tenancy 3, Part Level 9, 276 Flinders Street, Melbourne, VIC 3000, Australia</w:t>
            </w:r>
          </w:p>
        </w:tc>
        <w:tc>
          <w:tcPr>
            <w:tcW w:w="112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rPr>
              <w:t>10 UBI Crescent, #03-29, UBI Techpark, Singapore, 408564</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rPr>
              <w:t>141 Cecil Street, #06-07, Tung Ann Association Building, Singapore, 069541</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rPr>
              <w:t>Unit 702, Level 7, Millennium City II, 378 Kwun Tong Road, Kwun Tong, Kowloon, Hong Kong</w:t>
            </w:r>
          </w:p>
        </w:tc>
        <w:tc>
          <w:tcPr>
            <w:tcW w:w="1120" w:type="dxa"/>
            <w:vAlign w:val="bottom"/>
          </w:tcPr>
          <w:p>
            <w:pPr>
              <w:jc w:val="right"/>
              <w:spacing w:after="0"/>
              <w:rPr>
                <w:sz w:val="20"/>
                <w:szCs w:val="20"/>
                <w:color w:val="auto"/>
              </w:rPr>
            </w:pPr>
            <w:r>
              <w:rPr>
                <w:rFonts w:ascii="Arial" w:cs="Arial" w:eastAsia="Arial" w:hAnsi="Arial"/>
                <w:sz w:val="18"/>
                <w:szCs w:val="18"/>
                <w:color w:val="auto"/>
              </w:rPr>
              <w:t>92.53</w:t>
            </w:r>
          </w:p>
        </w:tc>
      </w:tr>
      <w:tr>
        <w:trPr>
          <w:trHeight w:val="427"/>
        </w:trPr>
        <w:tc>
          <w:tcPr>
            <w:tcW w:w="7540" w:type="dxa"/>
            <w:vAlign w:val="bottom"/>
            <w:gridSpan w:val="3"/>
          </w:tcPr>
          <w:p>
            <w:pPr>
              <w:spacing w:after="0"/>
              <w:rPr>
                <w:sz w:val="20"/>
                <w:szCs w:val="20"/>
                <w:color w:val="auto"/>
              </w:rPr>
            </w:pPr>
            <w:r>
              <w:rPr>
                <w:rFonts w:ascii="Arial" w:cs="Arial" w:eastAsia="Arial" w:hAnsi="Arial"/>
                <w:sz w:val="18"/>
                <w:szCs w:val="18"/>
                <w:color w:val="auto"/>
                <w:w w:val="96"/>
              </w:rPr>
              <w:t>Room 304 Tennsyou Ochanomizu Building, Awajityou 1-9-5, Chiyoda-ku Tokyo, Japan, 101-0063</w:t>
            </w:r>
          </w:p>
        </w:tc>
        <w:tc>
          <w:tcPr>
            <w:tcW w:w="1120" w:type="dxa"/>
            <w:vAlign w:val="bottom"/>
          </w:tcPr>
          <w:p>
            <w:pPr>
              <w:jc w:val="right"/>
              <w:spacing w:after="0"/>
              <w:rPr>
                <w:sz w:val="20"/>
                <w:szCs w:val="20"/>
                <w:color w:val="auto"/>
              </w:rPr>
            </w:pPr>
            <w:r>
              <w:rPr>
                <w:rFonts w:ascii="Arial" w:cs="Arial" w:eastAsia="Arial" w:hAnsi="Arial"/>
                <w:sz w:val="18"/>
                <w:szCs w:val="18"/>
                <w:color w:val="auto"/>
              </w:rPr>
              <w:t>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-5276850</wp:posOffset>
            </wp:positionV>
            <wp:extent cx="7134225" cy="296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2965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-4845050</wp:posOffset>
            </wp:positionV>
            <wp:extent cx="7134225" cy="296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2965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-4412615</wp:posOffset>
            </wp:positionV>
            <wp:extent cx="7134225" cy="271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-4006215</wp:posOffset>
            </wp:positionV>
            <wp:extent cx="7134225" cy="271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-3599180</wp:posOffset>
            </wp:positionV>
            <wp:extent cx="7134225" cy="135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-3328035</wp:posOffset>
            </wp:positionV>
            <wp:extent cx="7134225" cy="271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-2921635</wp:posOffset>
            </wp:positionV>
            <wp:extent cx="7134225" cy="13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-2650490</wp:posOffset>
            </wp:positionV>
            <wp:extent cx="7134225" cy="271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-2243455</wp:posOffset>
            </wp:positionV>
            <wp:extent cx="7134225" cy="161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-1946910</wp:posOffset>
            </wp:positionV>
            <wp:extent cx="7134225" cy="161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-1650365</wp:posOffset>
            </wp:positionV>
            <wp:extent cx="7134225" cy="296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29654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-1218565</wp:posOffset>
            </wp:positionV>
            <wp:extent cx="7134225" cy="135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-947420</wp:posOffset>
            </wp:positionV>
            <wp:extent cx="7134225" cy="135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-676275</wp:posOffset>
            </wp:positionV>
            <wp:extent cx="7134225" cy="135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-405130</wp:posOffset>
            </wp:positionV>
            <wp:extent cx="7134225" cy="135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-133985</wp:posOffset>
            </wp:positionV>
            <wp:extent cx="7134225" cy="135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-5725795</wp:posOffset>
            </wp:positionV>
            <wp:extent cx="7134225" cy="313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313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60"/>
          </w:cols>
          <w:pgMar w:left="320" w:top="895"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India Office</w:t>
            </w:r>
          </w:p>
        </w:tc>
        <w:tc>
          <w:tcPr>
            <w:tcW w:w="8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Unit No. 222, DLF Cybercity, Idco Info Park, Technology Corridor, Chandaka Industrial Estate,</w:t>
            </w:r>
          </w:p>
        </w:tc>
        <w:tc>
          <w:tcPr>
            <w:tcW w:w="1140" w:type="dxa"/>
            <w:vAlign w:val="bottom"/>
            <w:shd w:val="clear" w:color="auto" w:fill="CCEEFF"/>
          </w:tcPr>
          <w:p>
            <w:pPr>
              <w:spacing w:after="0"/>
              <w:rPr>
                <w:sz w:val="18"/>
                <w:szCs w:val="18"/>
                <w:color w:val="auto"/>
              </w:rPr>
            </w:pPr>
          </w:p>
        </w:tc>
      </w:tr>
      <w:tr>
        <w:trPr>
          <w:trHeight w:val="228"/>
        </w:trPr>
        <w:tc>
          <w:tcPr>
            <w:tcW w:w="1680" w:type="dxa"/>
            <w:vAlign w:val="bottom"/>
            <w:shd w:val="clear" w:color="auto" w:fill="CCEEFF"/>
          </w:tcPr>
          <w:p>
            <w:pPr>
              <w:spacing w:after="0"/>
              <w:rPr>
                <w:sz w:val="19"/>
                <w:szCs w:val="19"/>
                <w:color w:val="auto"/>
              </w:rPr>
            </w:pPr>
          </w:p>
        </w:tc>
        <w:tc>
          <w:tcPr>
            <w:tcW w:w="8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Bhubaneswar, Odisha, India, 751024</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13"/>
        </w:trPr>
        <w:tc>
          <w:tcPr>
            <w:tcW w:w="168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US Office</w:t>
            </w:r>
          </w:p>
        </w:tc>
        <w:tc>
          <w:tcPr>
            <w:tcW w:w="8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1161 Mission Street, San Francisco, CA 94103</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Catalogue of Industries for Encouraging Foreign Investment (2019)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8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u w:val="single" w:color="auto"/>
          <w:color w:val="auto"/>
        </w:rPr>
        <w:t>Foreign Currency Exchange.</w:t>
      </w:r>
      <w:r>
        <w:rPr>
          <w:rFonts w:ascii="Arial" w:cs="Arial" w:eastAsia="Arial" w:hAnsi="Arial"/>
          <w:sz w:val="16"/>
          <w:szCs w:val="16"/>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1"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2018, the Foreign Investment Law of the People’s Republic of China (2020), and the Implementing Regulations of the Foreign Investment Law of the People’s Republic of China (2020).</w:t>
      </w:r>
    </w:p>
    <w:p>
      <w:pPr>
        <w:spacing w:after="0" w:line="186"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9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Foreign Investment Law of the People’s Republic of China (2020)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9" w:name="page60"/>
    <w:bookmarkEnd w:id="59"/>
    <w:p>
      <w:pPr>
        <w:spacing w:after="0"/>
        <w:tabs>
          <w:tab w:leader="none" w:pos="12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OPERATING AND FINANCIAL REVIEW AND PROSPECTS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Southeast Asia.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Basis of Presentation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spacing w:after="0" w:line="18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 Ltd. (“CLPS SG”), CLPS Technology (Australia) Pty Ltd. (“CLPS-Ridik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8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 FDT-CL was liquidated on March 15, 2019. CLIVST was liquidated on June 20, 2019.</w:t>
      </w:r>
    </w:p>
    <w:p>
      <w:pPr>
        <w:spacing w:after="0" w:line="186"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On September 27, 2017, the Company and a non-controlling interest shareholder of CLPS Beijing incorporated Tianjin Huanyu Qinshang Network Technology Co., Ltd. (“Huanyu”). The Company subscribed 30% of equity interest in Huanyu for $0.15 million (RMB 1,000,000). On May 24, 2019, the Company purchased the remaining 70% equity interest of Huanyu for consideration of $0.07 million (RMB 462,000) and waived the receivables due from the other shareholder in the amount of $29,133 (RMB200,000). The consideration was paid on May 28, 2019. As of June 30, 2019, the Company held 100% of Huanyu’s equity and Huanyu became our wholly-owned subsidiary since May 24, 2019.</w:t>
      </w:r>
    </w:p>
    <w:p>
      <w:pPr>
        <w:spacing w:after="0" w:line="17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October 17, 2017, the Company acquired 55% of JQ equity interest and its 100% owned subsidiary – JL for a cash consideration of approximately $0.07 million to operate a software consulting business in Taiwan. In November 2018, the Company sold all the equity interest of JQ and JL for the consideration of $0.05 million (425,290 Hong Kong dollars) to the non-controlling shareholder of JQ and no consideration was paid due to the Company’s waiver.</w:t>
      </w:r>
    </w:p>
    <w:p>
      <w:pPr>
        <w:spacing w:after="0" w:line="188"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controlled by the same group of the shareholders before and after the reorganization. The above-mentioned transactions were accounted for as a recapitalization. The consolidation of the Company and its subsidiaries has been accounted for at historical cost and prepared on the basis as if the aforementioned transactions had become effective for all the periods presented in the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jc w:val="both"/>
        <w:ind w:firstLine="640"/>
        <w:spacing w:after="0" w:line="270" w:lineRule="auto"/>
        <w:rPr>
          <w:sz w:val="20"/>
          <w:szCs w:val="20"/>
          <w:color w:val="auto"/>
        </w:rPr>
      </w:pPr>
      <w:r>
        <w:rPr>
          <w:rFonts w:ascii="Arial" w:cs="Arial" w:eastAsia="Arial" w:hAnsi="Arial"/>
          <w:sz w:val="18"/>
          <w:szCs w:val="18"/>
          <w:color w:val="auto"/>
        </w:rPr>
        <w:t>On June 5, 2018, the Company incorporated CLPS US to develop business in related areas. On January 2, 2020, CLPS US incorporated CLPS Technology (California) Inc. (“CLPS California”) to develop the business in related areas.</w:t>
      </w:r>
    </w:p>
    <w:p>
      <w:pPr>
        <w:spacing w:after="0" w:line="175"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On June 13, 2018, the Company purchased a 2.7% equity interest in CLPS Lihong in Shanghai for consideration of $0.2 million (or approximately RMB 1,000,000) to develop business in the related area. On January 25, 2019, the above investment agreement of CLPS Lihong was terminated. On March 1, 2019, the Company purchased a 36.84% equity interest in CLPS Lihong at a cash consideration of $0.15 (RMB 1). In May 2019, the Company made capital contribution to CLPS Lihong of $1.01 million (RMB 7 million). In April 2020, the Company sold an 18.42% equity interest in CLPS Lihong for the consideration of $995,605 (RMB 7 million) to the third party and the consideration has been received as of June 30, 2020. After the third party’s capital increase in CLPS Lihong in April 2020, the Company’s remaining equity interest in CLPS Lihong was diluted to 7% as of June 30, 2020.</w:t>
      </w:r>
    </w:p>
    <w:p>
      <w:pPr>
        <w:spacing w:after="0" w:line="165"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holding 100% of CLPS Beijing’s equity interest. The consideration was paid on July 5, 2018. Prior to June 2018, the remaining 30% equity interest of CLPS Beijing was recorded as a non-controlling interest on the balance sheet. The Company engaged an independent valuation firm to assist management in assessing the enterprise value of CLPS Beijing. The enterprise value of CLPS Beijing as of June 27, 2018 was $1.94 million based on the evaluation report.</w:t>
      </w:r>
    </w:p>
    <w:p>
      <w:pPr>
        <w:spacing w:after="0" w:line="162" w:lineRule="exact"/>
        <w:rPr>
          <w:sz w:val="20"/>
          <w:szCs w:val="20"/>
          <w:color w:val="auto"/>
        </w:rPr>
      </w:pPr>
    </w:p>
    <w:p>
      <w:pPr>
        <w:jc w:val="both"/>
        <w:ind w:firstLine="630"/>
        <w:spacing w:after="0" w:line="255" w:lineRule="auto"/>
        <w:rPr>
          <w:sz w:val="20"/>
          <w:szCs w:val="20"/>
          <w:color w:val="auto"/>
        </w:rPr>
      </w:pPr>
      <w:r>
        <w:rPr>
          <w:rFonts w:ascii="Arial" w:cs="Arial" w:eastAsia="Arial" w:hAnsi="Arial"/>
          <w:sz w:val="18"/>
          <w:szCs w:val="18"/>
          <w:color w:val="auto"/>
        </w:rPr>
        <w:t>On August 15, 2018, the shareholders of CLPS SG and CLPS-Ridik AU were changed to Qiner from CLPS Shanghai pursuant to the share purchase agreements. Qiner purchased the 100% equity interest of CLPS SG and CLPS-Ridik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8"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On August 20, 2018, CLPS SG acquired an 80% interest in Infogain Solutions PTE. Ltd. (“Infogain”) located in Singapore from Sharma Devendra Prasad and Deepak Malhotra with the final purchase price of $0.4 million (or approximately 576,000 Singapore dollars).</w:t>
      </w:r>
    </w:p>
    <w:p>
      <w:pPr>
        <w:spacing w:after="0" w:line="175" w:lineRule="exact"/>
        <w:rPr>
          <w:sz w:val="20"/>
          <w:szCs w:val="20"/>
          <w:color w:val="auto"/>
        </w:rPr>
      </w:pPr>
    </w:p>
    <w:p>
      <w:pPr>
        <w:jc w:val="both"/>
        <w:ind w:firstLine="630"/>
        <w:spacing w:after="0" w:line="258" w:lineRule="auto"/>
        <w:rPr>
          <w:sz w:val="20"/>
          <w:szCs w:val="20"/>
          <w:color w:val="auto"/>
        </w:rPr>
      </w:pPr>
      <w:r>
        <w:rPr>
          <w:rFonts w:ascii="Arial" w:cs="Arial" w:eastAsia="Arial" w:hAnsi="Arial"/>
          <w:sz w:val="18"/>
          <w:szCs w:val="18"/>
          <w:color w:val="auto"/>
        </w:rPr>
        <w:t>On April 3, 2019, Qiner purchased a 30% equity interest of Economic Modeling Information Technology Co., Ltd.(“EMIT”). The consideration is zero amount. Qiner subsequently made a capital contribution of $0.44 million (RMB 3 million) to EMIT directly. There is remaining capital contribution of $0.21 million not paid as of June 30, 2020.</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31, 2019, the Company incorporated CLPS Hangzhou Co., Ltd. (“CLPS Hangzhou”), to develop the business in related areas.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13, 2019, the Company incorporated CLPS Technology Japan (“CLPS Japan”) to develop business in related areas.</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On September 26, 2019, Qiner acquired an 80% interest in Ridik Pte. Ltd. (“Ridik Pte.”) located in Singapore from Srustijeet Mishra and Routray Sibashis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and Ridik Software Solutions Ltd. (“Ridik Software”) are all subsidiaries of Ridik Pte.</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Prior to December 2019, CLPS Shanghai held a 70% equity interest of CLPS Shenzhen and an 80% equity interest of CLPS Hong Kong, which held the remaining 30% equity interest of CLPS Shenzhen. And the remaining 20% equity interest of CLPS Hong Kong and remaining 6% equity interest of CLPS Shenzhen were recorded as non-controlling interests on the Company’s consolidated balance sheet. On December 9, 2019, Qiner acquired the remaining 20% equity interest of CLPS Hong Kong from non-controlling shareholder with the consideration of the Company’s 100,000 common shares, and became the sole shareholder of CLPS Hong Kong and CLPS Shenzhen.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31, 2019, the Company incorporated Qinson Credit Card Services Limited (“Qinson”) to develop business in related areas.</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w:t>
      </w:r>
    </w:p>
    <w:p>
      <w:pPr>
        <w:spacing w:after="0" w:line="175"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8"/>
          <w:szCs w:val="18"/>
          <w:i w:val="1"/>
          <w:iCs w:val="1"/>
          <w:color w:val="auto"/>
        </w:rPr>
        <w:t>Enterprise Software Certification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High-tech</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w:t>
      </w:r>
      <w:r>
        <w:rPr>
          <w:rFonts w:ascii="Arial" w:cs="Arial" w:eastAsia="Arial" w:hAnsi="Arial"/>
          <w:sz w:val="18"/>
          <w:szCs w:val="18"/>
          <w:color w:val="auto"/>
        </w:rPr>
        <w:t>,</w:t>
      </w:r>
      <w:r>
        <w:rPr>
          <w:rFonts w:ascii="Arial" w:cs="Arial" w:eastAsia="Arial" w:hAnsi="Arial"/>
          <w:sz w:val="18"/>
          <w:szCs w:val="18"/>
          <w:i w:val="1"/>
          <w:iCs w:val="1"/>
          <w:color w:val="auto"/>
        </w:rPr>
        <w:t xml:space="preserve"> Little Giant Company for Science and Technology </w:t>
      </w:r>
      <w:r>
        <w:rPr>
          <w:rFonts w:ascii="Arial" w:cs="Arial" w:eastAsia="Arial" w:hAnsi="Arial"/>
          <w:sz w:val="18"/>
          <w:szCs w:val="18"/>
          <w:color w:val="auto"/>
        </w:rPr>
        <w:t>and</w:t>
      </w:r>
      <w:r>
        <w:rPr>
          <w:rFonts w:ascii="Arial" w:cs="Arial" w:eastAsia="Arial" w:hAnsi="Arial"/>
          <w:sz w:val="18"/>
          <w:szCs w:val="18"/>
          <w:i w:val="1"/>
          <w:iCs w:val="1"/>
          <w:color w:val="auto"/>
        </w:rPr>
        <w:t xml:space="preserve"> Professional Talent Development Training Camp</w:t>
      </w:r>
      <w:r>
        <w:rPr>
          <w:rFonts w:ascii="Arial" w:cs="Arial" w:eastAsia="Arial" w:hAnsi="Arial"/>
          <w:sz w:val="18"/>
          <w:szCs w:val="18"/>
          <w:color w:val="auto"/>
        </w:rPr>
        <w:t>. In addition, the Company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recognized as one of the recipients of </w:t>
      </w:r>
      <w:r>
        <w:rPr>
          <w:rFonts w:ascii="Arial" w:cs="Arial" w:eastAsia="Arial" w:hAnsi="Arial"/>
          <w:sz w:val="18"/>
          <w:szCs w:val="18"/>
          <w:i w:val="1"/>
          <w:iCs w:val="1"/>
          <w:color w:val="auto"/>
        </w:rPr>
        <w:t>2017 IDC China Top 25 FinTech Pioneers</w:t>
      </w:r>
      <w:r>
        <w:rPr>
          <w:rFonts w:ascii="Arial" w:cs="Arial" w:eastAsia="Arial" w:hAnsi="Arial"/>
          <w:sz w:val="18"/>
          <w:szCs w:val="18"/>
          <w:color w:val="auto"/>
        </w:rPr>
        <w:t xml:space="preserve"> during the award ceremony spearheaded by IDC on August 25, 2017. The Company has also received the </w:t>
      </w:r>
      <w:r>
        <w:rPr>
          <w:rFonts w:ascii="Arial" w:cs="Arial" w:eastAsia="Arial" w:hAnsi="Arial"/>
          <w:sz w:val="18"/>
          <w:szCs w:val="18"/>
          <w:i w:val="1"/>
          <w:iCs w:val="1"/>
          <w:color w:val="auto"/>
        </w:rPr>
        <w:t>2018 Fintech Brand Leadership Award</w:t>
      </w:r>
      <w:r>
        <w:rPr>
          <w:rFonts w:ascii="Arial" w:cs="Arial" w:eastAsia="Arial" w:hAnsi="Arial"/>
          <w:sz w:val="18"/>
          <w:szCs w:val="18"/>
          <w:color w:val="auto"/>
        </w:rPr>
        <w:t xml:space="preserve"> at the China Finance Summit Winter Forum on November 30, 2018, in Beijing,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2" w:name="page63"/>
    <w:bookmarkEnd w:id="62"/>
    <w:p>
      <w:pPr>
        <w:jc w:val="both"/>
        <w:ind w:firstLine="640"/>
        <w:spacing w:after="0" w:line="252" w:lineRule="auto"/>
        <w:rPr>
          <w:sz w:val="20"/>
          <w:szCs w:val="20"/>
          <w:color w:val="auto"/>
        </w:rPr>
      </w:pPr>
      <w:r>
        <w:rPr>
          <w:rFonts w:ascii="Arial" w:cs="Arial" w:eastAsia="Arial" w:hAnsi="Arial"/>
          <w:sz w:val="18"/>
          <w:szCs w:val="18"/>
          <w:color w:val="auto"/>
        </w:rPr>
        <w:t>Our operations are primarily based in China, where we derive a substantial portion of our revenues. For the years ended June 30, 2020, 2019 and 2018, our revenues were $89.4 million, $64.9 million and $48.9 million, respectively. Revenues generated outside of China were approximately $10.6 million, $4.5 million and $1.7 million for fiscal 2020, 2019 and 2018, respectively. We had a net income of $3.1 million in fiscal 2020, a net loss of $3.4 million in fiscal 2019, and a net income of $2.7 million in fiscal 2018, respectively. We had a non-GAAP net income of $7.1 million in fiscal 2020. Our total assets as of June 30, 2020 were $45.4 million of which cash and cash equivalent amounted to $12.7 million. Our total liabilities as of June 30, 2020 were $16.7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0" w:lineRule="exact"/>
        <w:rPr>
          <w:sz w:val="20"/>
          <w:szCs w:val="20"/>
          <w:color w:val="auto"/>
        </w:rPr>
      </w:pPr>
    </w:p>
    <w:p>
      <w:pPr>
        <w:jc w:val="both"/>
        <w:ind w:left="960" w:hanging="313"/>
        <w:spacing w:after="0" w:line="267"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2020, our revenue derived from our IT consulting services increased by 41.1% or $25.3 million from fiscal 2019, mainly attributable to revenue growth from our existing clients. IT consulting services revenue from new clients amounted to approximately $9.4 million in fiscal 2020. During fiscal 2019, our revenue derived from our IT consulting services increased by 30.9% or $14.6 million from fiscal 2018, mainly attributable to revenue growth from our existing clients. IT consulting services revenue from new clients amounted to approximately $4.9 million in fiscal 2019.</w:t>
      </w:r>
    </w:p>
    <w:p>
      <w:pPr>
        <w:spacing w:after="0" w:line="181" w:lineRule="exact"/>
        <w:rPr>
          <w:rFonts w:ascii="Arial" w:cs="Arial" w:eastAsia="Arial" w:hAnsi="Arial"/>
          <w:sz w:val="17"/>
          <w:szCs w:val="17"/>
          <w:color w:val="auto"/>
        </w:rPr>
      </w:pPr>
    </w:p>
    <w:p>
      <w:pPr>
        <w:jc w:val="both"/>
        <w:ind w:left="960" w:hanging="313"/>
        <w:spacing w:after="0" w:line="255"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p>
      <w:pPr>
        <w:spacing w:after="0" w:line="187" w:lineRule="exact"/>
        <w:rPr>
          <w:rFonts w:ascii="Arial" w:cs="Arial" w:eastAsia="Arial" w:hAnsi="Arial"/>
          <w:sz w:val="18"/>
          <w:szCs w:val="18"/>
          <w:color w:val="auto"/>
        </w:rPr>
      </w:pPr>
    </w:p>
    <w:p>
      <w:pPr>
        <w:jc w:val="both"/>
        <w:ind w:left="960" w:hanging="313"/>
        <w:spacing w:after="0" w:line="281"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6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November 9, 2016, CLPS Shanghai acquired 60% of Judge China and its 70% owned subsidiary Judge HR from Judge Company Asia Limited (“Judge Asia”) with the final purchase price of $480,061 (RMB 3.25 million). The Company funded the acquisition with cash consideration of $454,388 (RMB 3.05 million) and a payable to Judge Asia of $128,928 (RMB 0.9 million), of which $103,255 (RMB 0.7 million) was subsequently offset with the Company’s receivables from Judge Asia.</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325,888</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67,570</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339,883</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(86,483)</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(259,361)</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(290,994)</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480,061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877" w:gutter="0" w:footer="0" w:header="0"/>
        </w:sectPr>
      </w:pPr>
    </w:p>
    <w:bookmarkStart w:id="63" w:name="page64"/>
    <w:bookmarkEnd w:id="63"/>
    <w:p>
      <w:pPr>
        <w:jc w:val="both"/>
        <w:ind w:firstLine="640"/>
        <w:spacing w:after="0" w:line="255" w:lineRule="auto"/>
        <w:rPr>
          <w:sz w:val="20"/>
          <w:szCs w:val="20"/>
          <w:color w:val="auto"/>
        </w:rPr>
      </w:pPr>
      <w:r>
        <w:rPr>
          <w:rFonts w:ascii="Arial" w:cs="Arial" w:eastAsia="Arial" w:hAnsi="Arial"/>
          <w:sz w:val="18"/>
          <w:szCs w:val="18"/>
          <w:color w:val="auto"/>
        </w:rPr>
        <w:t>The intangible assets include customer contracts of $339,883, which were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comprises (a) the assembled work force and (b) the expected but unidentifiable business growth as a result of the synergy resulting from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Huanyu</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spacing w:after="0" w:line="186"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87,674</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4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50,045</w:t>
            </w:r>
          </w:p>
        </w:tc>
        <w:tc>
          <w:tcPr>
            <w:tcW w:w="80" w:type="dxa"/>
            <w:vAlign w:val="bottom"/>
            <w:shd w:val="clear" w:color="auto" w:fill="CCEEFF"/>
          </w:tcPr>
          <w:p>
            <w:pPr>
              <w:spacing w:after="0"/>
              <w:rPr>
                <w:sz w:val="21"/>
                <w:szCs w:val="21"/>
                <w:color w:val="auto"/>
              </w:rPr>
            </w:pPr>
          </w:p>
        </w:tc>
      </w:tr>
      <w:tr>
        <w:trPr>
          <w:trHeight w:val="200"/>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Previous held equity interests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219,272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86"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For the period from July 1, 2018 to the acquisition date of May 24, 2019 and for the year ended June 30, 2018, 30% of Huanyu’s results of operations was income of $35,049 (RMB 239,073) and loss of $8,684 (RMB56,461),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4" w:name="page65"/>
    <w:bookmarkEnd w:id="64"/>
    <w:p>
      <w:pPr>
        <w:jc w:val="both"/>
        <w:ind w:firstLine="640"/>
        <w:spacing w:after="0" w:line="270" w:lineRule="auto"/>
        <w:rPr>
          <w:sz w:val="20"/>
          <w:szCs w:val="20"/>
          <w:color w:val="auto"/>
        </w:rPr>
      </w:pPr>
      <w:r>
        <w:rPr>
          <w:rFonts w:ascii="Arial" w:cs="Arial" w:eastAsia="Arial" w:hAnsi="Arial"/>
          <w:sz w:val="18"/>
          <w:szCs w:val="18"/>
          <w:color w:val="auto"/>
        </w:rPr>
        <w:t>In November 2018, the Company sold all the equity interest of JQ and JL for the consideration of $0.05 million (425,290 Hong Kong dollars) to the non-controlling shareholder of JQ and no consideration was paid due to the Company’s waiver.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Infogain</w:t>
      </w:r>
    </w:p>
    <w:p>
      <w:pPr>
        <w:spacing w:after="0" w:line="220"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On August 20, 2018, CLPS SG acquired an 80% equity in Infogain located in Singapore from Sharma Devendra Prasad and Deepak Malhotra with the final purchase price of $0.4 million (or approximately 576,000 Singapore dollars).</w:t>
      </w:r>
    </w:p>
    <w:p>
      <w:pPr>
        <w:spacing w:after="0" w:line="175" w:lineRule="exact"/>
        <w:rPr>
          <w:sz w:val="20"/>
          <w:szCs w:val="20"/>
          <w:color w:val="auto"/>
        </w:rPr>
      </w:pPr>
    </w:p>
    <w:p>
      <w:pPr>
        <w:jc w:val="both"/>
        <w:ind w:firstLine="631"/>
        <w:spacing w:after="0" w:line="271"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458,943</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14,454</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337,685</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(504,235)</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(57,406)</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(64,879)</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420,101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31"/>
        <w:spacing w:after="0" w:line="300" w:lineRule="auto"/>
        <w:rPr>
          <w:sz w:val="20"/>
          <w:szCs w:val="20"/>
          <w:color w:val="auto"/>
        </w:rPr>
      </w:pPr>
      <w:r>
        <w:rPr>
          <w:rFonts w:ascii="Arial" w:cs="Arial" w:eastAsia="Arial" w:hAnsi="Arial"/>
          <w:sz w:val="17"/>
          <w:szCs w:val="17"/>
          <w:color w:val="auto"/>
        </w:rPr>
        <w:t>Identifiable intangible assets acquired include customer contracts, which were valued using an income approach and determined to carry estimated remaining useful lives of approximately three years. The goodwill recognized represents the expected synergies and is not tax deductible.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Lihong</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On March 1, 2019, the Company purchased a 36.84% equity interest in CLPS Lihong at a cash consideration of $0.15 (RMB 1) on the condition that the Company could inject capital of $1.01 million (RMB 7 million) into CLPS Lihong.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spacing w:after="0" w:line="19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In April 2020, the Company sold an 18.42% equity interest in CLPS Lihong to the third party for the consideration of $995,605 (RMB 7 million) which was received as of June 30, 2020. Concurrently CLPS Lihong raised additional capital from other third party investors, and the Company’s remaining equity interest in CLPS Lihong was diluted to 7% as of June 30, 2020. The Company recognized the remaining equity interest in CLPS Lihong as equity investment without readily determined fair value since May 2020. For the period from July 1, 2019 to April 30, 2020, the Company’s share of CLPS Lihong’s results of operations was income of $250,290 (RMB 1,759,764).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Beijing</w:t>
      </w:r>
    </w:p>
    <w:p>
      <w:pPr>
        <w:spacing w:after="0" w:line="220"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8"/>
          <w:szCs w:val="18"/>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and became the sole shareholder of CLPS Beijing. The consideration was paid on July 5, 2018. Prior to June 2018, the remaining 30% equity interest of CLPS Beijing was recorded as non-controlling interests on the balance sheet. The Company engaged an independent valuation firm to assist management in assessing the enterprise value of CLPS Beijing. The enterprise value of CLPS Beijing as of June 27, 2018 was $1.94 million based on the third-party valuation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EMIT</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On April 3, 2019, Qiner purchased a 30% equity interest of EMIT at nil consideration. with a committed to invest $445,454.14 (RMB 3,000,000.00) in total within 20 years. During the years ended June 30, 2020 and 2019, the Company made capital contribution to EMIT of $143,299 (RMB 1,000,000.00) and $73,593 (RMB500,000.00), respectively. The Company accounts for the investment in EMIT as an equity method investment due to its significant influence over the entity. For the years ended June 30, 2020 and 2019, the Company’s share of EMIT’s results of operations was a loss of $42,927 (RMB 301,878) and $4,230 (RMB 28,853), respectively. As the end of June 30, 2020 and 2019, the committed but not yet made investment in EMIT was $228,561 (RMB 1,500,000.00) and $371,860 (RMB 2,500,000.00),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Acquisition of Ridik Pte. and Ridik Consulting</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On September 26, 2019, Qiner acquired an 80% equity interest in Ridik Pte. Ltd. (“Ridik Pte.”) located in Singapore from third-party selling shareholders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and Ridik Software Solutions Ltd. (“Ridik Software”) are all subsidiaries of Ridik Pte.</w:t>
      </w:r>
    </w:p>
    <w:p>
      <w:pPr>
        <w:spacing w:after="0" w:line="17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618,144</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103,697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904,748</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Short-term bank loans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(48,103)</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(128,688)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Tax payables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(102,978)</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(431,548)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Long-term bank loans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(44,201)</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(162,855)</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(411,351)</w:t>
            </w:r>
          </w:p>
        </w:tc>
      </w:tr>
      <w:tr>
        <w:trPr>
          <w:trHeight w:val="23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1,689,899</w:t>
            </w:r>
          </w:p>
        </w:tc>
        <w:tc>
          <w:tcPr>
            <w:tcW w:w="80" w:type="dxa"/>
            <w:vAlign w:val="bottom"/>
            <w:shd w:val="clear" w:color="auto" w:fill="CCEEFF"/>
          </w:tcPr>
          <w:p>
            <w:pPr>
              <w:spacing w:after="0"/>
              <w:rPr>
                <w:sz w:val="20"/>
                <w:szCs w:val="20"/>
                <w:color w:val="auto"/>
              </w:rPr>
            </w:pPr>
          </w:p>
        </w:tc>
      </w:tr>
      <w:tr>
        <w:trPr>
          <w:trHeight w:val="207"/>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2,462,580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33"/>
        </w:trPr>
        <w:tc>
          <w:tcPr>
            <w:tcW w:w="10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Continuing Operations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89,415,798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64,932,937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48,938,593</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(58,296,097)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(41,178,356)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(31,277,255)</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31,119,701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3,059,877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2,179,029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2,225,702</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10,436,975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7,978,883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7,837,873</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16,343,936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17,384,393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5,871,622</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29,840,788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27,542,305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15,935,197</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from operation</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1,278,913</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(3,787,724)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1,726,141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779,508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960,784</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(84,155)</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Income (loss) before income tax and share of loss in equity investees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3,707,459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(3,100,645)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2,602,770</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(benefits) for income taxes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835,444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186,615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(112,128)</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Income (loss) before share of income (loss) in equity investees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2,872,015</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(3,287,260</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2,714,898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income (loss) in equity investees, net of tax</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207,363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line="201"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3,079,378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(3,432,589)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2,714,898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280,435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320" w:type="dxa"/>
            <w:vAlign w:val="bottom"/>
            <w:vMerge w:val="continue"/>
          </w:tcPr>
          <w:p>
            <w:pPr>
              <w:spacing w:after="0"/>
              <w:rPr>
                <w:sz w:val="23"/>
                <w:szCs w:val="23"/>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2,938,239</w:t>
            </w:r>
          </w:p>
        </w:tc>
        <w:tc>
          <w:tcPr>
            <w:tcW w:w="1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(3,269,776</w:t>
            </w:r>
          </w:p>
        </w:tc>
        <w:tc>
          <w:tcPr>
            <w:tcW w:w="120" w:type="dxa"/>
            <w:vAlign w:val="bottom"/>
            <w:vMerge w:val="continue"/>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2,434,463</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14,689,224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13,843,764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11,517,123</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Diluted earnings (loss) per common shar</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14,692,299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13,843,764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11,636,367</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Non-GAAP income before income tax</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7,711,539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3,915,444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2,602,770</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3,583,500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2,714,898</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Non-GAAP net income attributable to CLPS Incorporation’s shareholders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6,942,319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3,746,313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2,434,463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basic earnings per common share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14,689,224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13,843,764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11,517,123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common share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14,692,299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13,969,436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11,636,367</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0"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6"/>
          <w:szCs w:val="16"/>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of equity investees, non-GAAP net income attributable to the Company, and basic and diluted non-GAAP net income per share, which are non-GAAP financial measures. Non-GAAP income before income tax and share of loss of equity investees is income before income tax and share of loss of equity investees excluding share-based compensation expenses. Non-GAAP net income attributable to the Company is net income attributable to the Company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023" w:gutter="0" w:footer="0" w:header="0"/>
        </w:sectPr>
      </w:pPr>
    </w:p>
    <w:bookmarkStart w:id="67" w:name="page68"/>
    <w:bookmarkEnd w:id="67"/>
    <w:p>
      <w:pPr>
        <w:jc w:val="both"/>
        <w:ind w:firstLine="631"/>
        <w:spacing w:after="0" w:line="274"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 year</w:t>
            </w:r>
          </w:p>
        </w:tc>
      </w:t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r>
      <w:tr>
        <w:trPr>
          <w:trHeight w:val="239"/>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58,296,097</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14,110</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cost of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58,281,987</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3,059,877</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211,573</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selling and marketing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2,848,304</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16,343,936</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share-based compensation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3,778,397</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general and administrative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12,565,539</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120" w:type="dxa"/>
            <w:vAlign w:val="bottom"/>
          </w:tcPr>
          <w:p>
            <w:pPr>
              <w:jc w:val="right"/>
              <w:spacing w:after="0"/>
              <w:rPr>
                <w:sz w:val="20"/>
                <w:szCs w:val="20"/>
                <w:color w:val="auto"/>
              </w:rPr>
            </w:pPr>
            <w:r>
              <w:rPr>
                <w:rFonts w:ascii="Arial" w:cs="Arial" w:eastAsia="Arial" w:hAnsi="Arial"/>
                <w:sz w:val="18"/>
                <w:szCs w:val="18"/>
                <w:color w:val="auto"/>
              </w:rPr>
              <w:t>3,707,459</w:t>
            </w:r>
          </w:p>
        </w:tc>
        <w:tc>
          <w:tcPr>
            <w:tcW w:w="100" w:type="dxa"/>
            <w:vAlign w:val="bottom"/>
          </w:tcPr>
          <w:p>
            <w:pPr>
              <w:spacing w:after="0"/>
              <w:rPr>
                <w:sz w:val="18"/>
                <w:szCs w:val="18"/>
                <w:color w:val="auto"/>
              </w:rPr>
            </w:pPr>
          </w:p>
        </w:tc>
      </w:tr>
      <w:tr>
        <w:trPr>
          <w:trHeight w:val="23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4,004,080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income before income tax and share of income of equity investees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7,711,539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3,079,378</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 share-based compensation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4,004,080</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7,083,458</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Net income attributable to CLPS Incorporation’s shareholders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2,938,239</w:t>
            </w:r>
          </w:p>
        </w:tc>
        <w:tc>
          <w:tcPr>
            <w:tcW w:w="100" w:type="dxa"/>
            <w:vAlign w:val="bottom"/>
          </w:tcPr>
          <w:p>
            <w:pPr>
              <w:spacing w:after="0"/>
              <w:rPr>
                <w:sz w:val="18"/>
                <w:szCs w:val="18"/>
                <w:color w:val="auto"/>
              </w:rPr>
            </w:pPr>
          </w:p>
        </w:tc>
      </w:tr>
      <w:tr>
        <w:trPr>
          <w:trHeight w:val="23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4,004,080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6,942,319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GAAP and non-GAAP basic earnings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14,689,224</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GAAP basic earnings per common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1120" w:type="dxa"/>
            <w:vAlign w:val="bottom"/>
          </w:tcPr>
          <w:p>
            <w:pPr>
              <w:jc w:val="right"/>
              <w:spacing w:after="0"/>
              <w:rPr>
                <w:sz w:val="20"/>
                <w:szCs w:val="20"/>
                <w:color w:val="auto"/>
              </w:rPr>
            </w:pPr>
            <w:r>
              <w:rPr>
                <w:rFonts w:ascii="Arial" w:cs="Arial" w:eastAsia="Arial" w:hAnsi="Arial"/>
                <w:sz w:val="18"/>
                <w:szCs w:val="18"/>
                <w:color w:val="auto"/>
              </w:rPr>
              <w:t>14,692,299</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14,692,299</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GAAP diluted earnings per common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For the Years Ended June 30, 2020 and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9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8"/>
                <w:szCs w:val="18"/>
                <w:b w:val="1"/>
                <w:bCs w:val="1"/>
                <w:color w:val="auto"/>
                <w:w w:val="89"/>
              </w:rPr>
              <w:t>For the Year ended June 30,</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 of 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 of total</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87"/>
              </w:rPr>
              <w:t>Variance</w:t>
            </w: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Revenue</w:t>
            </w:r>
          </w:p>
        </w:tc>
        <w:tc>
          <w:tcPr>
            <w:tcW w:w="1000" w:type="dxa"/>
            <w:vAlign w:val="bottom"/>
            <w:gridSpan w:val="2"/>
          </w:tcPr>
          <w:p>
            <w:pPr>
              <w:jc w:val="right"/>
              <w:ind w:right="191"/>
              <w:spacing w:after="0"/>
              <w:rPr>
                <w:sz w:val="20"/>
                <w:szCs w:val="20"/>
                <w:color w:val="auto"/>
              </w:rPr>
            </w:pPr>
            <w:r>
              <w:rPr>
                <w:rFonts w:ascii="Arial" w:cs="Arial" w:eastAsia="Arial" w:hAnsi="Arial"/>
                <w:sz w:val="18"/>
                <w:szCs w:val="18"/>
                <w:b w:val="1"/>
                <w:bCs w:val="1"/>
                <w:color w:val="auto"/>
                <w:w w:val="93"/>
              </w:rPr>
              <w:t>Revenue</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Revenue</w:t>
            </w:r>
          </w:p>
        </w:tc>
        <w:tc>
          <w:tcPr>
            <w:tcW w:w="1080" w:type="dxa"/>
            <w:vAlign w:val="bottom"/>
            <w:gridSpan w:val="2"/>
          </w:tcPr>
          <w:p>
            <w:pPr>
              <w:jc w:val="right"/>
              <w:ind w:right="291"/>
              <w:spacing w:after="0"/>
              <w:rPr>
                <w:sz w:val="20"/>
                <w:szCs w:val="20"/>
                <w:color w:val="auto"/>
              </w:rPr>
            </w:pPr>
            <w:r>
              <w:rPr>
                <w:rFonts w:ascii="Arial" w:cs="Arial" w:eastAsia="Arial" w:hAnsi="Arial"/>
                <w:sz w:val="18"/>
                <w:szCs w:val="18"/>
                <w:b w:val="1"/>
                <w:bCs w:val="1"/>
                <w:color w:val="auto"/>
                <w:w w:val="90"/>
              </w:rPr>
              <w:t>Revenue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Variance</w:t>
            </w: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22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$87,136,754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$61,755,355</w:t>
            </w:r>
          </w:p>
        </w:tc>
        <w:tc>
          <w:tcPr>
            <w:tcW w:w="10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$25,381,399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2260" w:type="dxa"/>
            <w:vAlign w:val="bottom"/>
            <w:gridSpan w:val="3"/>
          </w:tcPr>
          <w:p>
            <w:pPr>
              <w:jc w:val="right"/>
              <w:ind w:right="260"/>
              <w:spacing w:after="0"/>
              <w:rPr>
                <w:sz w:val="20"/>
                <w:szCs w:val="20"/>
                <w:color w:val="auto"/>
              </w:rPr>
            </w:pPr>
            <w:r>
              <w:rPr>
                <w:rFonts w:ascii="Arial" w:cs="Arial" w:eastAsia="Arial" w:hAnsi="Arial"/>
                <w:sz w:val="18"/>
                <w:szCs w:val="18"/>
                <w:color w:val="auto"/>
              </w:rPr>
              <w:t>1,844,891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3,041,482</w:t>
            </w:r>
          </w:p>
        </w:tc>
        <w:tc>
          <w:tcPr>
            <w:tcW w:w="280" w:type="dxa"/>
            <w:vAlign w:val="bottom"/>
          </w:tcPr>
          <w:p>
            <w:pPr>
              <w:spacing w:after="0"/>
              <w:rPr>
                <w:sz w:val="18"/>
                <w:szCs w:val="18"/>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(1,196,591)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434,153</w:t>
            </w:r>
          </w:p>
        </w:tc>
        <w:tc>
          <w:tcPr>
            <w:tcW w:w="26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28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298,053</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line="20" w:lineRule="exact"/>
              <w:rPr>
                <w:sz w:val="1"/>
                <w:szCs w:val="1"/>
                <w:color w:val="auto"/>
              </w:rPr>
            </w:pPr>
          </w:p>
        </w:tc>
      </w:tr>
      <w:tr>
        <w:trPr>
          <w:trHeight w:val="234"/>
        </w:trPr>
        <w:tc>
          <w:tcPr>
            <w:tcW w:w="34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89,415,798</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64,932,937</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24,482,861</w:t>
            </w: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9" w:name="page70"/>
    <w:bookmarkEnd w:id="69"/>
    <w:p>
      <w:pPr>
        <w:jc w:val="both"/>
        <w:ind w:firstLine="640"/>
        <w:spacing w:after="0" w:line="258" w:lineRule="auto"/>
        <w:rPr>
          <w:sz w:val="20"/>
          <w:szCs w:val="20"/>
          <w:color w:val="auto"/>
        </w:rPr>
      </w:pPr>
      <w:r>
        <w:rPr>
          <w:rFonts w:ascii="Arial" w:cs="Arial" w:eastAsia="Arial" w:hAnsi="Arial"/>
          <w:sz w:val="18"/>
          <w:szCs w:val="18"/>
          <w:color w:val="auto"/>
        </w:rPr>
        <w:t>Our total revenues increased by approximately $24.5 million, or 37.7%, to approximately $89.4 million for the fiscal year ended June 30, 2020 from approximately $64.9 million for the fiscal year ended June 30, 2019. The overall growth in our revenues reflects an increase in revenues from our IT consulting services and derived primarily from existing customers.</w:t>
      </w:r>
    </w:p>
    <w:p>
      <w:pPr>
        <w:spacing w:after="0" w:line="186"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For the year ended June 30, 2020, revenue derived from our IT consulting services increased by 41.1% to $87.1 million from $61.8 million in fiscal 2019, primarily reflecting the increasing demands for our IT consulting services from banks and other financial institutions. For fiscal 2020 and 2019, 40.0% and 47.5% of our IT consulting services revenue were from international banks, respectively. In fiscal 2020, we strengthened our expertise in the financial industry to leverage our existing industry knowledge and grew our customer base of local Chinese financial institutions.</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Revenue from customized IT solution services decreased by $1.2 million, or 39.3%, to $1.8 million for the year ended June 30, 2020, from $3.0 million in the same period of the previous year. The decrease was primarily due to decreasing demand from existing clients.</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Revenue from other services increased by $0.3 million, or 219.0%, to $0.4 million for the year ended June 30, 2020, from $0.1 million in the prior year period.</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number of clients increased by 53, or 30%, to 227 for the year ended June 30, 2020 from 174 in the prior year period. Revenues from top five clients accounted for 47.3% and 50.7% of the Company’s total revenues for fiscal 2020 and 2019, respectively, which reflects decreased in revenue dependence from major clients.</w:t>
      </w:r>
    </w:p>
    <w:p>
      <w:pPr>
        <w:spacing w:after="0" w:line="186" w:lineRule="exact"/>
        <w:rPr>
          <w:sz w:val="20"/>
          <w:szCs w:val="20"/>
          <w:color w:val="auto"/>
        </w:rPr>
      </w:pPr>
    </w:p>
    <w:p>
      <w:pPr>
        <w:jc w:val="both"/>
        <w:ind w:firstLine="587"/>
        <w:spacing w:after="0" w:line="333" w:lineRule="auto"/>
        <w:rPr>
          <w:sz w:val="20"/>
          <w:szCs w:val="20"/>
          <w:color w:val="auto"/>
        </w:rPr>
      </w:pPr>
      <w:r>
        <w:rPr>
          <w:rFonts w:ascii="Arial" w:cs="Arial" w:eastAsia="Arial" w:hAnsi="Arial"/>
          <w:sz w:val="16"/>
          <w:szCs w:val="16"/>
          <w:color w:val="auto"/>
        </w:rPr>
        <w:t>Revenue generated outside of mainland China for the year ended June 30, 2020 accounted for 11.8% of total revenue compared to 7.0% in the prior year period. The increase in revenue generated outside of mainland China reflects the Company’s successful and continuous global expansion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Our cost of revenues mainly consisted of compensation benefit expenses for our IT professionals, travel expenses and material costs. Our cost of revenues increased by $17.1 million or 41.6% to approximately $58.3 million in fiscal 2020 from approximately $41.2 million in fiscal 2019 primarily as a result of increased revenue, therefore resulting in increased headcount, expanded office facilities and increase of depreciation and amortization expenses to enable and match the growth of our business revenue. As a percentage of revenues, our cost of revenues was 65.2% and 63.4% for fiscal 2020 and 2019, respectively. Our total number of employees grew from 2,085 employees as of June 30, 2019 to 2,746 employees as of June 30,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Our gross profit increased by $7.3 million, or 31.0%, to approximately $31.1 million in fiscal 2020 from approximately $23.8 million in fiscal 2019. The higher gross profit in fiscal 2020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decreased to 34.8% in fiscal 2020 from 36.6% for the same period of last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Selling and marketing expenses increased by $0.9 million or 40.4% from $2.2 million in fiscal 2019 to $3.1 million in fiscal 2020. Accordingly, as a percentage of sales, our selling expenses were 3.4% of revenues in fiscal 2020 same as 3.4% in fiscal 2019. We expect our selling and marketing expenses to increase as we continue our business expansion, we expect these expenses to remain relatively steady as a percentage of our net revenues to support our business growth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R&amp;D expenses primarily consisted of compensation and benefit expenses relating to our research and development personnel as well as office overhead and other expenses relating to our R&amp;D activities. Our R&amp;D expenses were $10.4 million in fiscal 2020, which increased by $2.4 million or 30.8% compared to $8.0 million in fiscal 2019, representing 11.7% and 12.3% of our total revenues for fiscal 2020 and 2019, respectively. We expect to keep our investment in research and development relatively stable to enhance our industry knowledge, improve our competitiveness and enable us to identify attractive market opportunities for new and enhanced services and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6" w:lineRule="exact"/>
        <w:rPr>
          <w:sz w:val="20"/>
          <w:szCs w:val="20"/>
          <w:color w:val="auto"/>
        </w:rPr>
      </w:pPr>
    </w:p>
    <w:p>
      <w:pPr>
        <w:jc w:val="both"/>
        <w:ind w:firstLine="631"/>
        <w:spacing w:after="0" w:line="253" w:lineRule="auto"/>
        <w:rPr>
          <w:sz w:val="20"/>
          <w:szCs w:val="20"/>
          <w:color w:val="auto"/>
        </w:rPr>
      </w:pPr>
      <w:r>
        <w:rPr>
          <w:rFonts w:ascii="Arial" w:cs="Arial" w:eastAsia="Arial" w:hAnsi="Arial"/>
          <w:sz w:val="18"/>
          <w:szCs w:val="18"/>
          <w:color w:val="auto"/>
        </w:rPr>
        <w:t>General and administrative expenses decreased by $1.1 million, or 6.0%, to $16.3 million in fiscal 2020 from $17.4 million in the prior year. After the deduction of $3.8 million non-cash share-based compensation expenses related to the grants under the 2017 and 2019 Incentive Compensation Plan, non-GAAP general and administrative expenses increased by $2.1 million, or 20.5%, to $12.6 million in fiscal 2020 from $10.4 million in the same period of the previous year. The increase in non-GAAP administrative expenses was primarily due to an increase in administrative personnel and M&amp;A related expenses as a result of business expansion.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 net</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Subsidies and other income, net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$1.8 million and $0.7 million for the years ended June 30, 2020 and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 and share of income (loss) in equity investees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Income (loss) before income taxes and share of income (loss) in equity investees increased by $6.8 million to a $3.7 million income in fiscal 2020 from a loss of $3.1 million in fiscal 2019. After the deduction of non-cash share-based compensation expenses, non-GAAP income before income taxes and share of income in equity investees increased by $3.8 million, or 97%, to $7.7 million in fiscal 2020 from $3.9 million in the same period of the previous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(benefits) for income taxes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provision for income taxes in fiscal 2020 increased by $0.6 million to $0.8 million from $0.2 million benefit for income taxes in fiscal 2019, mainly due to the increase of Company’s income before tax and the reversal of the beginning balances of deferred tax assets related to the net operating losses for some of the Company’s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income (loss) in equity investees, net of tax</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share of income in equity investees, net of tax in fiscal 2020 was net equity investment income of Lihong and EMIT. The share of loss in equity investees, net of tax in fiscal 2019 was equity investment loss of Huanyu, Lihong and EMIT.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0" w:lineRule="exact"/>
        <w:rPr>
          <w:sz w:val="20"/>
          <w:szCs w:val="20"/>
          <w:color w:val="auto"/>
        </w:rPr>
      </w:pPr>
    </w:p>
    <w:p>
      <w:pPr>
        <w:jc w:val="both"/>
        <w:ind w:firstLine="630"/>
        <w:spacing w:after="0" w:line="258" w:lineRule="auto"/>
        <w:rPr>
          <w:sz w:val="20"/>
          <w:szCs w:val="20"/>
          <w:color w:val="auto"/>
        </w:rPr>
      </w:pPr>
      <w:r>
        <w:rPr>
          <w:rFonts w:ascii="Arial" w:cs="Arial" w:eastAsia="Arial" w:hAnsi="Arial"/>
          <w:sz w:val="18"/>
          <w:szCs w:val="18"/>
          <w:color w:val="auto"/>
        </w:rPr>
        <w:t>Net income increased by $6.5 million to an income of $3.1 million in fiscal 2020 from a loss of $3.4 million in fiscal 2019. After the deduction of $4.0 million non-cash share-based compensation expenses, non-GAAP net income increased by $3.5 million, or 97.7%, to $7.1 million in fiscal 2020 from $3.6 million in the previous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Foreign currency translation adjustments amounted to loss of $0.5 and $0.4 million for the years ended June 30, 2020 and 2019, respectively. The balance sheet amounts with the exception of equity as of June 30, 2020 were translated at 7.0651 RMB to 1.00 USD as compared to 6.8650 RMB to 1.00 USD as of June 30, 2019. The equity accounts were stated at their historical rate. The average translation rates applied to the income statements accounts for the years ended June 30, 2020 and 2019 were 7.0309 RMB to 1.00 USD and 6.8211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2019 and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which are billed on a fixed-price basis, and (iii) other revenue from product and third-party software sales.</w:t>
      </w:r>
    </w:p>
    <w:p>
      <w:pPr>
        <w:spacing w:after="0" w:line="188"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fiscal 2019 and 2018, most of our time-and-expense contracts were generated by our IT consulting services for clients in the financial industry.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In comparison, all of our fixed-price contracts were generated by our customized IT solution business for clients in the financial industry and others.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8"/>
                <w:szCs w:val="18"/>
                <w:b w:val="1"/>
                <w:bCs w:val="1"/>
                <w:color w:val="auto"/>
                <w:w w:val="89"/>
              </w:rPr>
              <w:t>For the Year ended June 30,</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 of 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 of total</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87"/>
              </w:rPr>
              <w:t>Variance</w:t>
            </w: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Revenue</w:t>
            </w:r>
          </w:p>
        </w:tc>
        <w:tc>
          <w:tcPr>
            <w:tcW w:w="1000" w:type="dxa"/>
            <w:vAlign w:val="bottom"/>
            <w:gridSpan w:val="2"/>
          </w:tcPr>
          <w:p>
            <w:pPr>
              <w:jc w:val="right"/>
              <w:ind w:right="191"/>
              <w:spacing w:after="0"/>
              <w:rPr>
                <w:sz w:val="20"/>
                <w:szCs w:val="20"/>
                <w:color w:val="auto"/>
              </w:rPr>
            </w:pPr>
            <w:r>
              <w:rPr>
                <w:rFonts w:ascii="Arial" w:cs="Arial" w:eastAsia="Arial" w:hAnsi="Arial"/>
                <w:sz w:val="18"/>
                <w:szCs w:val="18"/>
                <w:b w:val="1"/>
                <w:bCs w:val="1"/>
                <w:color w:val="auto"/>
                <w:w w:val="93"/>
              </w:rPr>
              <w:t>Revenue</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Revenue</w:t>
            </w:r>
          </w:p>
        </w:tc>
        <w:tc>
          <w:tcPr>
            <w:tcW w:w="1080" w:type="dxa"/>
            <w:vAlign w:val="bottom"/>
            <w:gridSpan w:val="2"/>
          </w:tcPr>
          <w:p>
            <w:pPr>
              <w:jc w:val="right"/>
              <w:ind w:right="291"/>
              <w:spacing w:after="0"/>
              <w:rPr>
                <w:sz w:val="20"/>
                <w:szCs w:val="20"/>
                <w:color w:val="auto"/>
              </w:rPr>
            </w:pPr>
            <w:r>
              <w:rPr>
                <w:rFonts w:ascii="Arial" w:cs="Arial" w:eastAsia="Arial" w:hAnsi="Arial"/>
                <w:sz w:val="18"/>
                <w:szCs w:val="18"/>
                <w:b w:val="1"/>
                <w:bCs w:val="1"/>
                <w:color w:val="auto"/>
                <w:w w:val="90"/>
              </w:rPr>
              <w:t>Revenue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Variance</w:t>
            </w: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22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$61,755,355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$47,159,651</w:t>
            </w:r>
          </w:p>
        </w:tc>
        <w:tc>
          <w:tcPr>
            <w:tcW w:w="10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$14,595,704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2260" w:type="dxa"/>
            <w:vAlign w:val="bottom"/>
            <w:gridSpan w:val="3"/>
          </w:tcPr>
          <w:p>
            <w:pPr>
              <w:jc w:val="right"/>
              <w:ind w:right="260"/>
              <w:spacing w:after="0"/>
              <w:rPr>
                <w:sz w:val="20"/>
                <w:szCs w:val="20"/>
                <w:color w:val="auto"/>
              </w:rPr>
            </w:pPr>
            <w:r>
              <w:rPr>
                <w:rFonts w:ascii="Arial" w:cs="Arial" w:eastAsia="Arial" w:hAnsi="Arial"/>
                <w:sz w:val="18"/>
                <w:szCs w:val="18"/>
                <w:color w:val="auto"/>
              </w:rPr>
              <w:t>3,041,482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1,634,100</w:t>
            </w:r>
          </w:p>
        </w:tc>
        <w:tc>
          <w:tcPr>
            <w:tcW w:w="280" w:type="dxa"/>
            <w:vAlign w:val="bottom"/>
          </w:tcPr>
          <w:p>
            <w:pPr>
              <w:spacing w:after="0"/>
              <w:rPr>
                <w:sz w:val="18"/>
                <w:szCs w:val="18"/>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8"/>
                <w:szCs w:val="18"/>
                <w:color w:val="auto"/>
              </w:rPr>
              <w:t>3.3%</w:t>
            </w:r>
          </w:p>
        </w:tc>
        <w:tc>
          <w:tcPr>
            <w:tcW w:w="920" w:type="dxa"/>
            <w:vAlign w:val="bottom"/>
          </w:tcPr>
          <w:p>
            <w:pPr>
              <w:jc w:val="right"/>
              <w:spacing w:after="0"/>
              <w:rPr>
                <w:sz w:val="20"/>
                <w:szCs w:val="20"/>
                <w:color w:val="auto"/>
              </w:rPr>
            </w:pPr>
            <w:r>
              <w:rPr>
                <w:rFonts w:ascii="Arial" w:cs="Arial" w:eastAsia="Arial" w:hAnsi="Arial"/>
                <w:sz w:val="18"/>
                <w:szCs w:val="18"/>
                <w:color w:val="auto"/>
              </w:rPr>
              <w:t>1,407,382</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26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144,842</w:t>
            </w:r>
          </w:p>
        </w:tc>
        <w:tc>
          <w:tcPr>
            <w:tcW w:w="28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line="20" w:lineRule="exact"/>
              <w:rPr>
                <w:sz w:val="1"/>
                <w:szCs w:val="1"/>
                <w:color w:val="auto"/>
              </w:rPr>
            </w:pPr>
          </w:p>
        </w:tc>
      </w:tr>
      <w:tr>
        <w:trPr>
          <w:trHeight w:val="234"/>
        </w:trPr>
        <w:tc>
          <w:tcPr>
            <w:tcW w:w="34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64,932,937</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48,938,593</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15,994,344</w:t>
            </w: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2" w:name="page73"/>
    <w:bookmarkEnd w:id="72"/>
    <w:p>
      <w:pPr>
        <w:jc w:val="both"/>
        <w:ind w:firstLine="640"/>
        <w:spacing w:after="0" w:line="258" w:lineRule="auto"/>
        <w:rPr>
          <w:sz w:val="20"/>
          <w:szCs w:val="20"/>
          <w:color w:val="auto"/>
        </w:rPr>
      </w:pPr>
      <w:r>
        <w:rPr>
          <w:rFonts w:ascii="Arial" w:cs="Arial" w:eastAsia="Arial" w:hAnsi="Arial"/>
          <w:sz w:val="18"/>
          <w:szCs w:val="18"/>
          <w:color w:val="auto"/>
        </w:rPr>
        <w:t>Our total revenues increased by approximately $16.0 million, or 32.7%, to approximately $64.9 million for the fiscal year ended June 30, 2019 from approximately $48.9 million for the fiscal year ended June 30, 2018. The overall growth in our revenues reflects an increase in revenues from our IT consulting services and derived primarily from existing customers.</w:t>
      </w:r>
    </w:p>
    <w:p>
      <w:pPr>
        <w:spacing w:after="0" w:line="186"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For the year ended June 30, 2019, revenue derived from our IT consulting services increased by 30.9% to $61.8 million from $47.2 million in fiscal 2018, primarily reflecting the increasing demands for our IT consulting services from banks and other financial institutions. For fiscal 2019 and 2018, 47.5% and 46.8% of our IT consulting services revenue were from international banks. In fiscal 2019, we strengthened our expertise in the financial industry to leverage our existing industry knowledge and grew our customer base of local Chinese financial institutions.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Our cost of revenues mainly consisted of compensation benefit expenses for our IT professionals, travel expenses and material costs. Our cost of revenues increased by $9.9 million or 31.7% to approximately $41.2 million in fiscal 2019 from approximately $31.3 million in fiscal 2018 primarily as a result of increased revenue, therefore resulting in increased headcount, expanded office facilities and increase of depreciation and amortization expenses to enable and match the growth of our business revenue. As a percentage of revenues, our cost of revenues was 63.4% and 63.9% for fiscal 2019 and 2018, respectively. Our total number of employees grew from 1,655 employees as of June 30, 2018 to 2,085 employees as of June 30,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Our gross profit increased by $6.1 million, or 34.5%, to approximately $23.8 million in fiscal 2019 from approximately $17.7 million in fiscal 2018. The higher gross profit in fiscal 2019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increased to 36.6% in fiscal 2019 from 36.1% for the same period of last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Selling and marketing expenses decreased by $0.05 million or 2.1% from $2.23 million in fiscal 2018 to $2.18 million in fiscal 2019. Accordingly, as a percentage of sales, our selling expenses were 3.4% of revenues in fiscal 2019 as compared to 4.5% in fiscal 2018. While we expect our selling and marketing expenses to increase as we continue our business expansion, we expect these expenses to remain relatively steady as a percentage of our net revenues to support our business growth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R&amp;D expenses primarily consisted of compensation and benefit expenses relating to our research and development personnel as well as office overhead and other expenses relating to our R&amp;D activities. Our R&amp;D expenses were $8.0 million in fiscal 2019, which was stable compared to $7.8 million in fiscal 2018, representing 12.3% and 16.0% of our total revenues for fiscal 2019 and 2018, respectively. We expect to increase our investment in research and development to enhance our industry knowledge, improve our competitiveness and enable us to identify attractive market opportunities for new and enhanced services and solutions.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6"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General and administrative expenses increased by $11.5 million, or 196.1%, to $17.4 million in fiscal 2019 from $5.9 million in the prior year. The increase was primarily due to an addition of $7.0 million non-cash share-based compensation expenses related to the grants under the 2017 Incentive Compensation Plan. After the deduction of non-cash share-based compensation expenses, non-GAAP general and administrative expenses increased by $4.5 million, or 77.5%, to $10.4 million in fiscal 2019 from $5.9 million in the same period of the previous year. The increase in Non-GAAP general and administrative expenses was primarily due to routine expenses incurred after going public and due to a year-over-year increase in salary and compensation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 net</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Subsidies and other income, net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$0.7 million and $0.9 million for the years ended June 30, 2019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 and share of loss in equity investees</w:t>
      </w:r>
    </w:p>
    <w:p>
      <w:pPr>
        <w:spacing w:after="0" w:line="22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Income (loss) before income taxes and share of loss in equity investees decreased by $5.7 million to a $3.1 million loss in fiscal 2019 from an income of $2.6 million in fiscal 2018. After the deduction of non-cash share-based compensation expenses, non-GAAP income before income taxes and share of loss in equity investees increased by $1.3 million, or 50.4%, to $3.9 million in fiscal 2019 from $2.6 million in the same period of the previous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(benefits) for income taxes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provision for income taxes in fiscal 2019 increased by $0.3 million to $0.2 million from $0.1 million benefit for income taxes in fiscal 2018, mainly due to the Company’s reversal of the beginning balances of deferred tax assets related to the net operating losses for some of the Company’s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 in equity investees, net of tax</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of loss in equity investees, net of tax in fiscal 2019 was equity investment loss of Huanyu, Lihong and EMIT.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Net income decreased by $6.1million to a loss of $3.4 million in fiscal 2019 from an income of $2.7 million in fiscal 2018. The decrease in net income was due to the increase in non-cash share-based compensation expenses. After the deduction of non-cash share-based compensation expenses, non-GAAP net income increased by $0.9 million, or 32.0%, to $3.6 million in fiscal 2019 from $2.7 million in the previous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4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Foreign currency translation adjustments amounted to a loss of $0.4 million and a gain of $0.06 million for the years ended June 30, 2019 and 2018, respectively. The balance sheet amounts with the exception of equity as of June 30, 2019 were translated at 6.8650 RMB to 1.00 USD as compared to 6.6171 RMB to 1.00 USD as of June 30, 2018. The equity accounts were stated at their historical rate. The average translation rates applied to the income statements accounts for the years ended June 30, 2019 and 2018 were 6.8211 RMB to 1.00 USD and 6.5023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As of June 30, 2020, we had cash and cash equivalents of approximately $12.7 million. Our current assets were approximately $40.5 million, and our current liabilities were approximately $16.5 million. Total shareholders’ equity as of June 30, 2020 was approximately $28.6 million. We believe that we will have sufficient working capital to operate our business for the next 12 months from the issuance date of this report.</w:t>
      </w:r>
    </w:p>
    <w:p>
      <w:pPr>
        <w:spacing w:after="0" w:line="87"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2020, cash and cash equivalents of approximately $11,027,764, $940,854, $8,350, $516,816, $1,496, $58,789 and $98,051 were held by the Company and its subsidiaries in Mainland China, Singapore, Australia, Hong Kong, India, Malaysia and Japan,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13"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positive for the year ended June 30, 2020.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ind w:left="640"/>
              <w:spacing w:after="0"/>
              <w:rPr>
                <w:sz w:val="20"/>
                <w:szCs w:val="20"/>
                <w:color w:val="auto"/>
              </w:rPr>
            </w:pPr>
            <w:r>
              <w:rPr>
                <w:rFonts w:ascii="Arial" w:cs="Arial" w:eastAsia="Arial" w:hAnsi="Arial"/>
                <w:sz w:val="18"/>
                <w:szCs w:val="18"/>
                <w:color w:val="auto"/>
              </w:rPr>
              <w:t>The following table sets forth summary of our cash flows for the periods indicated: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8"/>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For the Years Ended June 30,</w:t>
            </w:r>
          </w:p>
        </w:tc>
      </w:tr>
      <w:tr>
        <w:trPr>
          <w:trHeight w:val="234"/>
        </w:trPr>
        <w:tc>
          <w:tcPr>
            <w:tcW w:w="7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(4,772,610)</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173,229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(3,862,360)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(492,672)</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466,782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10,103,240</w:t>
            </w: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(178,930)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(147,080)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90,360</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6,050,785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(3,141,551)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6,601,335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9,742,886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4,814,568</w:t>
            </w:r>
          </w:p>
        </w:tc>
        <w:tc>
          <w:tcPr>
            <w:tcW w:w="100" w:type="dxa"/>
            <w:vAlign w:val="bottom"/>
            <w:tcBorders>
              <w:bottom w:val="single" w:sz="8" w:color="CCEEFF"/>
            </w:tcBorders>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12,652,120</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6,601,335</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9,742,886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Net cash provided by operating activities was approximately $5.9 million in fiscal 2020, including net income of $3.1 million, adjusted for non-cash items of $4.4 million and negative adjustments for changes in operating assets and liabilities of $1.6 million. The adjustments for changes in operating assets and liabilities mainly included the increase in accounts receivable of $6.6 million due to increased sales in fiscal 2020. During fiscal 2020, our accounts receivable turnover was 91 days, stable with 99 days in fiscal 2019. The adjustments for changes in operating assets and liabilities also included offset with an increase in salaries and benefits payable of $3.6 million due to unpaid employee compensation and benefits, and an increase in accounts payable and other payables of $0.1 million in fiscal 2020.</w:t>
      </w:r>
    </w:p>
    <w:p>
      <w:pPr>
        <w:spacing w:after="0" w:line="11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Net cash provided by operating activities was approximately $0.4 million in fiscal 2019, including net loss of $3.4 million, adjusted for non-cash items of $7.6 million and negative adjustments for changes in operating assets and liabilities of $3.8 million. The adjustments for changes in operating assets and liabilities mainly included an increase in accounts receivable of $3.1 million in fiscal 2019. During fiscal 2019, our accounts receivable turnover was 99 days, increased from 84 days in fiscal 2018 due to the longer payment approval process of the major customers compared with payment time of fiscal 2018. The adjustments for changes in operating assets and liabilities also included offset with an increase in salaries and benefits payable of $0.6 million due to unpaid employee compensation and benefits, and a decrease in accounts payable and other payables of $0.8 million in fiscal 2019.</w:t>
      </w:r>
    </w:p>
    <w:p>
      <w:pPr>
        <w:spacing w:after="0" w:line="85"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Net cash used in operating activities was approximately $4.8 million in fiscal 2018, including net income of $2.7 million, adjusted for non-cash items of $0.1 million and negative adjustments for changes in operating assets and liabilities of $7.6 million. The adjustments for changes in operating assets and liabilities mainly included an increase in accounts receivable of $9.8 million due to increased sales in fiscal 2018. During fiscal 2018, our accounts receivable turnover was 84 days, increased from 65 days in fiscal 2017 due to the longer payment approval process of the major customers compared with payment time of fiscal 2017. The adjustments for changes in operating assets and liabilities also included offset with an increase in salaries and benefits payable of $1.8 million due to unpaid employee compensation and benefits, an increase in prepayments and other assets of $0.6 million and an increase in tax payable of $0.3 million due to increased revenue in fiscal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Net cash provided by investing activities was approximately $0.2 million in fiscal 2020, primarily due to our purchase of office equipment and furniture of $0.2 million, disposition of long term investment of $1.0 million, our business acquisition of $1.6 million and short-term investments of $1.1 million in fiscal 2020, to better manage opportunities and capitalize on the growth potential in the human resource related industry. In fiscal 2020, we paid $1,844,380 (2,496,000 Singapore dollars) and the Company’s common shares valued at $461,096 (624,000 Singapore dollars) for an 80% of equity interest in Ridik Pte. The Company also injected $0.14 million (RMB 1,000,000) in EMIT. The Company sold an 18.42% equity interest in CLPS Lihong for the consideration of $995,605 (RMB 7 million) to the third party.</w:t>
      </w:r>
    </w:p>
    <w:p>
      <w:pPr>
        <w:spacing w:after="0" w:line="19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Net cash used in investing activities was approximately $3.9 million in fiscal 2019, primarily due to our purchase of office equipment and furniture of $0.5 million, long term investment of $1.1 million, our business acquisition of $0.4 million and short-term investments of $1.8 million in fiscal 2019, to better manage opportunities and capitalize on the growth potential in the human resource related industry. In fiscal 2019, we paid $0.07 million (RMB 462,000) for a 70% of equity interest in Huanyu, and $0.4 million (576,000 Singapore dollars) for an 80% of equity interest in Infogain, respectively. The Company also injected $0.07 million (RMB 500,000) in EMIT and $1.0 million (RMB 7,000,000) in CLPS Lihong, respectively.</w:t>
      </w:r>
    </w:p>
    <w:p>
      <w:pPr>
        <w:spacing w:after="0" w:line="162"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Net cash used in investing activities was approximately $0.5 million in fiscal 2018, primarily due to our purchase of office equipment and furniture of $0.2 million, our acquisition of Judge China of $0.1 million (RMB 700,000) and our acquisition of Tianjin Huanyu Qinshang Network Technology Co., Ltd. (“Huanyu”) of $0.15 million (RMB 1,000,000) in fiscal 2018, to better manage opportunities and capitalize on the growth potential in the human resource related industry in China. On September 27, 2017, the Company and a non-controlling interest shareholder of CLPS Beijing incorporated Huanyu. The Company paid $0.15 million (RMB 1,000,000) for a 30% of equity interest in Huanyu in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Net cash provided by financing activities was approximately $0.1 million in fiscal 2020. During the fiscal 2020, we had bank loans of approximately $3.8 million, repaid loans of approximately $3.9 million, and received the over-allotment proceeds of $0.2 million.</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Net cash provided by financing activities was approximately $0.5 million in fiscal 2019. During the fiscal 2019, we had bank loans of approximately $3.6 million, repaid loans of approximately $3.9 million, and received the over-allotment proceeds of $1.5 million and paid $0.6 million for purchase of non-controlling interests in CLPS Beijing.</w:t>
      </w:r>
    </w:p>
    <w:p>
      <w:pPr>
        <w:spacing w:after="0" w:line="186"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Net cash provided by financing activities was approximately $10.1 million in fiscal 2018. During the fiscal 2018, we had bank loans of approximately $5.7 million, repaid loans of approximately $3.1 million, and paid $0.6 million of dividends to our existing shareholders. On May 24, 2018, CLPS consummated its initial public offering, or IPO, of 2,000,000 shares, $0.0001 par value per share. The units were sold at an offering price of $5.25 per unit, generating total gross proceeds of $10.5 million. Net proceeds from the IPO were $9.5 million. On June 8, 2018, CLPS closed on the over-allotment option on the additional 300,000 common shares at the IPO price of $5.25 per share. As a result, the Company raised additional gross proceeds of approximately $1.58 million, in addition to the IPO gross proceeds of approximately $10.5 million, or combined gross proceeds in this IPO of approximately $12.08 million, before underwriting discounts and commissions and offering expenses. Net proceeds from the IPO and the over-allotment were approximately $11.0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 made capital expenditures of $0.2 million, $0.5 million and $0.2 million for the years ended June 30, 2020, 2019 and 2018, respectively. In these periods, our capital expenditures were mainly used for purchases of office equipment. The Company will continue to make capital expenditures to meet the expected growth of its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2.1% in 2019 and 1.9% in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$944,645, $827,593 and $730,705 for the years ended June 30, 2020, 2019 and 2018, respectively. The following table sets forth our contractual obligations and commercial commitments as of June 30,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Payment Due by Period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1"/>
              <w:spacing w:after="0" w:line="19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9"/>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1 Year</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3 Years</w:t>
            </w:r>
          </w:p>
        </w:tc>
      </w:tr>
      <w:tr>
        <w:trPr>
          <w:trHeight w:val="213"/>
        </w:trPr>
        <w:tc>
          <w:tcPr>
            <w:tcW w:w="5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957,245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775,891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2,183,793</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2,161,239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3,141,038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2,937,130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063"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July 27, 2020, the Company and a third-party company incorporated CLPS Guangdong Zhichuang Software Technology Co., Ltd. (“CLPS Guangdong Zhichuang”) in Shenzhen. The Company holds 10% of equity interest in CLPS Guangdong Zhichuang for $0.14 million (RMB 1,000,000). On August 13, 2020, the Company injected $28,571 (RMB 200,000) to CLPS Guangdong Zhichuang.</w:t>
      </w:r>
    </w:p>
    <w:p>
      <w:pPr>
        <w:spacing w:after="0" w:line="1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August 28, 2020, the Company, the Chairman of the Company and a third-party incorporated CLPS Shenzhen Robotics Co. Ltd (“CLPS Shenzhen Robotics”) in Shenzhen. The Company holds 10% of equity interest in CLPS Shenzhen Robotics for $0.14 million (RMB 1,000,000). On September 15, 2020, the Company injected $147,451 (RMB1,000,000) to CLPS Shenzhen Robotics.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57"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We prepare our consolidated financial statements in conformity with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9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 xml:space="preserve">Effective July 1, 2019, the Company adopted </w:t>
      </w:r>
      <w:r>
        <w:rPr>
          <w:rFonts w:ascii="Arial" w:cs="Arial" w:eastAsia="Arial" w:hAnsi="Arial"/>
          <w:sz w:val="17"/>
          <w:szCs w:val="17"/>
          <w:i w:val="1"/>
          <w:iCs w:val="1"/>
          <w:color w:val="auto"/>
        </w:rPr>
        <w:t>Accounting Standards Update (ASU) 2014-09, 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(“ASC 606”) </w:t>
      </w:r>
      <w:r>
        <w:rPr>
          <w:rFonts w:ascii="Arial" w:cs="Arial" w:eastAsia="Arial" w:hAnsi="Arial"/>
          <w:sz w:val="17"/>
          <w:szCs w:val="17"/>
          <w:color w:val="auto"/>
        </w:rPr>
        <w:t>using the modified retrospective approach, which requires the recognition of a cumulative-effect adjustment to retained earnings as of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adoption and applies the adoption only to contracts not completed as of July 1, 2019. Prior periods were not retrospectively adjusted.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7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 provides a comprehensive range of IT services and solutions, which primarily are on a time-and-expense basis, or fixed-price basis. Commencing on July 1, 2019, revenue is recognized when control of promised goods or services is transferred to the Company’s customers in an amount of consideration to which an entity expects to be entitled to in exchange for those services.</w:t>
      </w:r>
    </w:p>
    <w:p>
      <w:pPr>
        <w:spacing w:after="0" w:line="1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cumulative effect of initially applying the new revenue standard resulted in a decrease to opening retained earnings of $138,644, with the impact primarily related to the Company’s customized IT solution services. Under ASC 605, the IT solution services were recognized using the percentage of completion method of accounting; while under ASC 606, the IT solution services are recognized at a point in time when the control of service is obtained by the customer represented by the customer acceptance received by the Company. Whereas the Company has the enforceable right to payment for performance completed to date, revenue is recognized over time, using the output method.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153"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Prior to the adoption of ASC 606, revenues is considered realizable and earned in accordance with ASC 605 when all of the following criteria are met: persuasive evidence of a sales arrangement exists; delivery has occurred or services have been rendered; the price is fixed or determinable; and collectability is reasonably assured. Accordingly, revenues from time-and-expense basis contracts are recognized as the related services are rendered assuming all other basic revenue recognition criteria are met. The Company is reimbursed for actual hours incurred at pre-agreed negotiated hourly billing rates. Customers may terminate the contracts at any time before the work is completed but are obligated to pay the actual service hours incurred through the termination date at the contract billing rates. Under ASC 606, the series of IT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Fixed-price basis contracts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2"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Prior to the adoption of ASC 606, the Company recognizes revenue proportionally over the term of the contract in accordance with ASC 605. Revenue is recognized as the service is performed using the percentage of completion method of accounting, under which the total value of revenue is recognized on the basis of the percentage that total labor cost to date bears to the total expected labor costs. Under ASC 606, there are two performance obligations identified in the fixed-price basis contracts: the delivery of customized IT solution service and the completion of the PCS. The transaction price is allocated between the two performance obligations based on the relative standalone selling price, estimated using the cost plus method.</w:t>
      </w:r>
    </w:p>
    <w:p>
      <w:pPr>
        <w:spacing w:after="0" w:line="162"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5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will be recognized upon the recognition of the related revenues.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Revenue includes reimbursements of travel and out-of-pocket expense, with equivalent amounts of expense recorded in cost of revenues.</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 xml:space="preserve">The Company accounts for all business combinations under the purchase method of accounting in accordance with ASC 805, Business Combinations.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earnings. The Company adopted Accounting Standards Update (“ASU”) No. 2017-01, </w:t>
      </w:r>
      <w:r>
        <w:rPr>
          <w:rFonts w:ascii="Arial" w:cs="Arial" w:eastAsia="Arial" w:hAnsi="Arial"/>
          <w:sz w:val="16"/>
          <w:szCs w:val="16"/>
          <w:i w:val="1"/>
          <w:iCs w:val="1"/>
          <w:color w:val="auto"/>
        </w:rPr>
        <w:t>Business Combinations (Topic 802)</w:t>
      </w:r>
      <w:r>
        <w:rPr>
          <w:rFonts w:ascii="Arial" w:cs="Arial" w:eastAsia="Arial" w:hAnsi="Arial"/>
          <w:sz w:val="16"/>
          <w:szCs w:val="16"/>
          <w:color w:val="auto"/>
        </w:rPr>
        <w:t>: Clarifying the Definition of a Business, in determining whether it has acquired a business from July 1, 2019 on a prospective basis and there was no material impact on the consolidated financial statements.</w:t>
      </w:r>
    </w:p>
    <w:p>
      <w:pPr>
        <w:spacing w:after="0" w:line="167"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had only one reporting unit (that also represented the Company’s single operating segment) as of June 30, 2020 and 2019. Goodwill was allocated 100% to the single reporting unit as of June 30, 2020 and 2019. The Company has the option to assess qualitative factors first to determine whether it is necessary to perform the two-step test in accordance with ASC 350-20,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the Company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68"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the Company is not required to perform further testing. If the carrying value of the reporting unit exceeds the fair value of the reporting unit, then the Company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impairment loss was provided for the years ended June 30, 2020, 2019 and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impairment loss was provided for the years ended June 30, 2020, 2019 and 2018.</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8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The Company accounts for uncertainties in income taxes in accordance with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(loss) in the period incurred. No significant penalties or interest relating to income taxes have been incurred during the years ended June 30, 2020, 2019 and 2018. All of the tax returns of the Company’s subsidiaries in China remain subject to examination by the tax authorities for five years from the date of filing through year 2024, and the examination period was extended to 10 years for entities qualified as High and New Technology Enterprises (“HNTEs”) in 2018 and thereafter.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Company issued warrants to certain consultants and underwriters in May 2018 in connection with the closing of the IPO. The warrants carry a term of five years expiring in May 2023 and are exercisable during the five-year period. The warrants are classified as equity contracts and measured at the grant date fair value. Subsequent changes in fair value are not recognized as long as the contract continues to be classified in equity. The Company, with the assistance of an independent third 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8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A change in any of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7"/>
          <w:szCs w:val="17"/>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The Company has adopted the extended transition period.</w:t>
      </w:r>
    </w:p>
    <w:p>
      <w:pPr>
        <w:spacing w:after="0" w:line="167"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For detailed discussion on recent accounting pronouncements, please see Note 2 to our consolidated financial statements included elsewhere in this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0" w:name="page81"/>
    <w:bookmarkEnd w:id="80"/>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DIRECTORS, SENIOR MANAGEMENT AND EMPLOYEES</w:t>
      </w:r>
    </w:p>
    <w:p>
      <w:pPr>
        <w:spacing w:after="0" w:line="220" w:lineRule="exact"/>
        <w:rPr>
          <w:sz w:val="20"/>
          <w:szCs w:val="20"/>
          <w:color w:val="auto"/>
        </w:rPr>
      </w:pPr>
    </w:p>
    <w:p>
      <w:pPr>
        <w:ind w:left="1280" w:hanging="633"/>
        <w:spacing w:after="0"/>
        <w:tabs>
          <w:tab w:leader="none" w:pos="1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executive officers and directors, their ages and the positions held by them, as of the date of this Annual Report: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3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3"/>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3"/>
        </w:trPr>
        <w:tc>
          <w:tcPr>
            <w:tcW w:w="372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3"/>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Yang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Acting Chief Financial Officer</w:t>
            </w:r>
          </w:p>
        </w:tc>
      </w:tr>
      <w:tr>
        <w:trPr>
          <w:trHeight w:val="213"/>
        </w:trPr>
        <w:tc>
          <w:tcPr>
            <w:tcW w:w="3720" w:type="dxa"/>
            <w:vAlign w:val="bottom"/>
            <w:gridSpan w:val="2"/>
          </w:tcPr>
          <w:p>
            <w:pPr>
              <w:spacing w:after="0"/>
              <w:rPr>
                <w:sz w:val="20"/>
                <w:szCs w:val="20"/>
                <w:color w:val="auto"/>
              </w:rPr>
            </w:pPr>
            <w:r>
              <w:rPr>
                <w:rFonts w:ascii="Arial" w:cs="Arial" w:eastAsia="Arial" w:hAnsi="Arial"/>
                <w:sz w:val="18"/>
                <w:szCs w:val="18"/>
                <w:color w:val="auto"/>
              </w:rPr>
              <w:t>Li Li</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54"/>
        </w:trPr>
        <w:tc>
          <w:tcPr>
            <w:tcW w:w="372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Jin He Shao</w:t>
            </w:r>
            <w:r>
              <w:rPr>
                <w:rFonts w:ascii="Arial" w:cs="Arial" w:eastAsia="Arial" w:hAnsi="Arial"/>
                <w:sz w:val="29"/>
                <w:szCs w:val="29"/>
                <w:color w:val="auto"/>
                <w:vertAlign w:val="superscript"/>
              </w:rPr>
              <w:t>(1)(4)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54"/>
        </w:trPr>
        <w:tc>
          <w:tcPr>
            <w:tcW w:w="3720" w:type="dxa"/>
            <w:vAlign w:val="bottom"/>
            <w:gridSpan w:val="2"/>
          </w:tcPr>
          <w:p>
            <w:pPr>
              <w:spacing w:after="0" w:line="253" w:lineRule="exact"/>
              <w:rPr>
                <w:sz w:val="20"/>
                <w:szCs w:val="20"/>
                <w:color w:val="auto"/>
              </w:rPr>
            </w:pPr>
            <w:r>
              <w:rPr>
                <w:rFonts w:ascii="Arial" w:cs="Arial" w:eastAsia="Arial" w:hAnsi="Arial"/>
                <w:sz w:val="18"/>
                <w:szCs w:val="18"/>
                <w:color w:val="auto"/>
              </w:rPr>
              <w:t>Zhao Hui Feng</w:t>
            </w:r>
            <w:r>
              <w:rPr>
                <w:rFonts w:ascii="Arial" w:cs="Arial" w:eastAsia="Arial" w:hAnsi="Arial"/>
                <w:sz w:val="29"/>
                <w:szCs w:val="29"/>
                <w:color w:val="auto"/>
                <w:vertAlign w:val="superscript"/>
              </w:rPr>
              <w:t>(3)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2"/>
                <w:szCs w:val="22"/>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54"/>
        </w:trPr>
        <w:tc>
          <w:tcPr>
            <w:tcW w:w="372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Kee Chong Seng</w:t>
            </w:r>
            <w:r>
              <w:rPr>
                <w:rFonts w:ascii="Arial" w:cs="Arial" w:eastAsia="Arial" w:hAnsi="Arial"/>
                <w:sz w:val="29"/>
                <w:szCs w:val="29"/>
                <w:color w:val="auto"/>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shd w:val="clear" w:color="auto" w:fill="CCEEFF"/>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199" w:lineRule="exact"/>
        <w:rPr>
          <w:sz w:val="20"/>
          <w:szCs w:val="20"/>
          <w:color w:val="auto"/>
        </w:rPr>
      </w:pPr>
    </w:p>
    <w:p>
      <w:pPr>
        <w:ind w:left="320" w:hanging="313"/>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1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Xiao Feng Yang </w:t>
      </w:r>
      <w:r>
        <w:rPr>
          <w:rFonts w:ascii="Arial" w:cs="Arial" w:eastAsia="Arial" w:hAnsi="Arial"/>
          <w:sz w:val="17"/>
          <w:szCs w:val="17"/>
          <w:color w:val="auto"/>
        </w:rPr>
        <w:t>is the chairman of the board of the Company. Mr. Yang has over 20 years of executive management and operational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73" w:lineRule="exact"/>
        <w:rPr>
          <w:sz w:val="20"/>
          <w:szCs w:val="20"/>
          <w:color w:val="auto"/>
        </w:rPr>
      </w:pPr>
    </w:p>
    <w:p>
      <w:pPr>
        <w:jc w:val="both"/>
        <w:ind w:firstLine="640"/>
        <w:spacing w:after="0" w:line="290"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60"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Rui Yang </w:t>
      </w:r>
      <w:r>
        <w:rPr>
          <w:rFonts w:ascii="Arial" w:cs="Arial" w:eastAsia="Arial" w:hAnsi="Arial"/>
          <w:sz w:val="17"/>
          <w:szCs w:val="17"/>
          <w:color w:val="auto"/>
        </w:rPr>
        <w:t>Ms. Yang has over 10 years of financial experiences in the financial and IT industry. Ms. Yang joined the Company in August 2015 as</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spacing w:after="0" w:line="173"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Li Li </w:t>
      </w:r>
      <w:r>
        <w:rPr>
          <w:rFonts w:ascii="Arial" w:cs="Arial" w:eastAsia="Arial" w:hAnsi="Arial"/>
          <w:sz w:val="17"/>
          <w:szCs w:val="17"/>
          <w:color w:val="auto"/>
        </w:rPr>
        <w:t>is the chief operating officer of the Company. Mr. Li was appointed as the COO in June 2019. Mr. Li has 20 years of professional and IT</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financial and IT industry. From June 2017 to June 2019, Mr. Li served as Director, Head of Business Analysis &amp; Quality Engineering at a major credit card payment processing company in China. From July 2013 to June 2017, Mr. Li served as Executive Manager, Head of Business Solution and Quality Assurance at Commonwealth Bank of Australia China. Mr. Li graduated from Tianjin University, Tianjin China, with a Bachelor’s degree in Computer Science. Mr. Li holds MSE degree from Fu Dan University, Shanghai China.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 been a partner at Shanghai Huajin Accounting</w:t>
      </w:r>
    </w:p>
    <w:p>
      <w:pPr>
        <w:spacing w:after="0" w:line="46" w:lineRule="exact"/>
        <w:rPr>
          <w:sz w:val="20"/>
          <w:szCs w:val="20"/>
          <w:color w:val="auto"/>
        </w:rPr>
      </w:pPr>
    </w:p>
    <w:p>
      <w:pPr>
        <w:jc w:val="both"/>
        <w:ind w:firstLine="7"/>
        <w:spacing w:after="0" w:line="250"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Zhao Hui Feng </w:t>
      </w:r>
      <w:r>
        <w:rPr>
          <w:rFonts w:ascii="Arial" w:cs="Arial" w:eastAsia="Arial" w:hAnsi="Arial"/>
          <w:sz w:val="17"/>
          <w:szCs w:val="17"/>
          <w:color w:val="auto"/>
        </w:rPr>
        <w:t>is an independent director of the Company. From March 2017 to present, Mr. Feng has been the general manager at Dalian Wanda</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w:t>
      </w:r>
    </w:p>
    <w:p>
      <w:pPr>
        <w:spacing w:after="0" w:line="173"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 xml:space="preserve">Kee Chong Seng </w:t>
      </w:r>
      <w:r>
        <w:rPr>
          <w:rFonts w:ascii="Arial" w:cs="Arial" w:eastAsia="Arial" w:hAnsi="Arial"/>
          <w:sz w:val="18"/>
          <w:szCs w:val="18"/>
          <w:color w:val="auto"/>
        </w:rPr>
        <w:t>is an independent director of the Company. Mr. Kee spent a career in the information technology industry, most recently as 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manager at Citibank from 2003 until his full retirement in 2015.</w:t>
      </w:r>
    </w:p>
    <w:p>
      <w:pPr>
        <w:spacing w:after="0" w:line="17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Liability and Other Indemnification Matters</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640"/>
              <w:spacing w:after="0"/>
              <w:rPr>
                <w:sz w:val="20"/>
                <w:szCs w:val="20"/>
                <w:color w:val="auto"/>
              </w:rPr>
            </w:pPr>
            <w:r>
              <w:rPr>
                <w:rFonts w:ascii="Arial" w:cs="Arial" w:eastAsia="Arial" w:hAnsi="Arial"/>
                <w:sz w:val="18"/>
                <w:szCs w:val="18"/>
                <w:b w:val="1"/>
                <w:bCs w:val="1"/>
                <w:color w:val="auto"/>
              </w:rPr>
              <w:t>B.</w:t>
            </w:r>
          </w:p>
        </w:tc>
        <w:tc>
          <w:tcPr>
            <w:tcW w:w="2940" w:type="dxa"/>
            <w:vAlign w:val="bottom"/>
          </w:tcPr>
          <w:p>
            <w:pPr>
              <w:ind w:left="240"/>
              <w:spacing w:after="0"/>
              <w:rPr>
                <w:sz w:val="20"/>
                <w:szCs w:val="20"/>
                <w:color w:val="auto"/>
              </w:rPr>
            </w:pPr>
            <w:r>
              <w:rPr>
                <w:rFonts w:ascii="Arial" w:cs="Arial" w:eastAsia="Arial" w:hAnsi="Arial"/>
                <w:sz w:val="18"/>
                <w:szCs w:val="18"/>
                <w:b w:val="1"/>
                <w:bCs w:val="1"/>
                <w:color w:val="auto"/>
              </w:rPr>
              <w:t>Compensation</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380" w:type="dxa"/>
            <w:vAlign w:val="bottom"/>
            <w:gridSpan w:val="7"/>
          </w:tcPr>
          <w:p>
            <w:pPr>
              <w:ind w:left="700"/>
              <w:spacing w:after="0"/>
              <w:rPr>
                <w:sz w:val="20"/>
                <w:szCs w:val="20"/>
                <w:color w:val="auto"/>
              </w:rPr>
            </w:pPr>
            <w:r>
              <w:rPr>
                <w:rFonts w:ascii="Arial" w:cs="Arial" w:eastAsia="Arial" w:hAnsi="Arial"/>
                <w:sz w:val="18"/>
                <w:szCs w:val="18"/>
                <w:b w:val="1"/>
                <w:bCs w:val="1"/>
                <w:color w:val="auto"/>
              </w:rPr>
              <w:t>Executive Compensation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840" w:type="dxa"/>
            <w:vAlign w:val="bottom"/>
            <w:gridSpan w:val="13"/>
          </w:tcPr>
          <w:p>
            <w:pPr>
              <w:jc w:val="right"/>
              <w:spacing w:after="0"/>
              <w:rPr>
                <w:sz w:val="20"/>
                <w:szCs w:val="20"/>
                <w:color w:val="auto"/>
              </w:rPr>
            </w:pPr>
            <w:r>
              <w:rPr>
                <w:rFonts w:ascii="Arial" w:cs="Arial" w:eastAsia="Arial" w:hAnsi="Arial"/>
                <w:sz w:val="18"/>
                <w:szCs w:val="18"/>
                <w:color w:val="auto"/>
                <w:w w:val="95"/>
              </w:rPr>
              <w:t>The following table shows the annual compensation paid by us for the years ended June 30, 2020, 2019, and 2018.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Name/principal position</w:t>
            </w: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Salary</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2"/>
              </w:rPr>
              <w:t>Total Paid</w:t>
            </w:r>
          </w:p>
        </w:tc>
        <w:tc>
          <w:tcPr>
            <w:tcW w:w="100" w:type="dxa"/>
            <w:vAlign w:val="bottom"/>
            <w:tcBorders>
              <w:bottom w:val="single" w:sz="8" w:color="CCEEFF"/>
            </w:tcBorders>
          </w:tcPr>
          <w:p>
            <w:pPr>
              <w:spacing w:after="0"/>
              <w:rPr>
                <w:sz w:val="20"/>
                <w:szCs w:val="20"/>
                <w:color w:val="auto"/>
              </w:rPr>
            </w:pPr>
          </w:p>
        </w:tc>
      </w:tr>
      <w:tr>
        <w:trPr>
          <w:trHeight w:val="254"/>
        </w:trPr>
        <w:tc>
          <w:tcPr>
            <w:tcW w:w="3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Xiao Feng Yang, Chairman of the Board</w:t>
            </w:r>
            <w:r>
              <w:rPr>
                <w:rFonts w:ascii="Arial" w:cs="Arial" w:eastAsia="Arial" w:hAnsi="Arial"/>
                <w:sz w:val="29"/>
                <w:szCs w:val="29"/>
                <w:color w:val="auto"/>
                <w:vertAlign w:val="superscript"/>
              </w:rPr>
              <w:t>(1)</w:t>
            </w:r>
          </w:p>
        </w:tc>
        <w:tc>
          <w:tcPr>
            <w:tcW w:w="10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112,762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112,762</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102,827</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76,338</w:t>
            </w:r>
          </w:p>
        </w:tc>
      </w:tr>
      <w:tr>
        <w:trPr>
          <w:trHeight w:val="213"/>
        </w:trPr>
        <w:tc>
          <w:tcPr>
            <w:tcW w:w="3980" w:type="dxa"/>
            <w:vAlign w:val="bottom"/>
            <w:gridSpan w:val="2"/>
          </w:tcPr>
          <w:p>
            <w:pPr>
              <w:spacing w:after="0"/>
              <w:rPr>
                <w:sz w:val="18"/>
                <w:szCs w:val="18"/>
                <w:color w:val="auto"/>
              </w:rPr>
            </w:pPr>
          </w:p>
        </w:tc>
        <w:tc>
          <w:tcPr>
            <w:tcW w:w="18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3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Raymond Ming Hui Lin, CEO and Director</w:t>
            </w:r>
            <w:r>
              <w:rPr>
                <w:rFonts w:ascii="Arial" w:cs="Arial" w:eastAsia="Arial" w:hAnsi="Arial"/>
                <w:sz w:val="29"/>
                <w:szCs w:val="29"/>
                <w:color w:val="auto"/>
                <w:vertAlign w:val="superscript"/>
              </w:rPr>
              <w:t>(2)</w:t>
            </w:r>
          </w:p>
        </w:tc>
        <w:tc>
          <w:tcPr>
            <w:tcW w:w="10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112,449</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112,449</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104,718</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57,225</w:t>
            </w:r>
          </w:p>
        </w:tc>
      </w:tr>
      <w:tr>
        <w:trPr>
          <w:trHeight w:val="213"/>
        </w:trPr>
        <w:tc>
          <w:tcPr>
            <w:tcW w:w="3980" w:type="dxa"/>
            <w:vAlign w:val="bottom"/>
            <w:gridSpan w:val="2"/>
          </w:tcPr>
          <w:p>
            <w:pPr>
              <w:spacing w:after="0"/>
              <w:rPr>
                <w:sz w:val="18"/>
                <w:szCs w:val="18"/>
                <w:color w:val="auto"/>
              </w:rPr>
            </w:pPr>
          </w:p>
        </w:tc>
        <w:tc>
          <w:tcPr>
            <w:tcW w:w="18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3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Rui Yang, Acting CFO</w:t>
            </w:r>
            <w:r>
              <w:rPr>
                <w:rFonts w:ascii="Arial" w:cs="Arial" w:eastAsia="Arial" w:hAnsi="Arial"/>
                <w:sz w:val="29"/>
                <w:szCs w:val="29"/>
                <w:color w:val="auto"/>
                <w:vertAlign w:val="superscript"/>
              </w:rPr>
              <w:t>(3)</w:t>
            </w:r>
          </w:p>
        </w:tc>
        <w:tc>
          <w:tcPr>
            <w:tcW w:w="10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64,839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64,839</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3980" w:type="dxa"/>
            <w:vAlign w:val="bottom"/>
            <w:gridSpan w:val="2"/>
          </w:tcPr>
          <w:p>
            <w:pPr>
              <w:spacing w:after="0"/>
              <w:rPr>
                <w:sz w:val="18"/>
                <w:szCs w:val="18"/>
                <w:color w:val="auto"/>
              </w:rPr>
            </w:pPr>
          </w:p>
        </w:tc>
        <w:tc>
          <w:tcPr>
            <w:tcW w:w="18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3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Li Li, Chief Operating Officer</w:t>
            </w:r>
            <w:r>
              <w:rPr>
                <w:rFonts w:ascii="Arial" w:cs="Arial" w:eastAsia="Arial" w:hAnsi="Arial"/>
                <w:sz w:val="29"/>
                <w:szCs w:val="29"/>
                <w:color w:val="auto"/>
                <w:vertAlign w:val="superscript"/>
              </w:rPr>
              <w:t>(4)</w:t>
            </w:r>
          </w:p>
        </w:tc>
        <w:tc>
          <w:tcPr>
            <w:tcW w:w="10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150,594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150,594</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1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Chairman effective as of December 9, 2017 and President effective from December 9, 2017 to August 19, 2020.</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Acting Chief Financial Officer effective as of November 1, 2019.</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Chief Operating Officer effective as of June 2019.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jc w:val="both"/>
        <w:ind w:firstLine="640"/>
        <w:spacing w:after="0" w:line="253"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Incentive Awards at Fiscal Year-End</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We have adopted a 2017 Equity Incentive Plan (the “2017 Plan”). The 2017 Plan is a stock-based compensation plan that provides for discretionary grants of, among others, stock options, stock awards and stock unit awards to key employees and directors of the Company. The purpose of the 2017 Plan is to recognize contributions made to our company and its subsidiaries by such individuals and to provide them with additional incentive to achieve the objectives of our Company. The Company granted an aggregate of 671,469 restricted shares (“RSUs”) to key employees and directors under the 2017 Plan on July 12, 2018. No grants were made in fiscal 2018. The following is a summary of the 2017 Plan and is qualified by the full text of the 2017 Plan.</w:t>
      </w:r>
    </w:p>
    <w:p>
      <w:pPr>
        <w:spacing w:after="0" w:line="16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2017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2017 Plan as the “Committee”).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2017 Plan is 2,210,000.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2017 Plan may be authorized but unissued shares or treasury shares. If there is a lapse, forfeiture, expiration, termination or cancellation of any award made under the 2017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2017 Plan. The number of common shares issuable under the 2017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2017 Plan may be transferred, except by will, the laws of descent and distribution.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3" w:name="page84"/>
    <w:bookmarkEnd w:id="83"/>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2017 Plan.</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2017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2017 Plan.</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 options to participants and to set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8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2017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167"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i w:val="1"/>
          <w:iCs w:val="1"/>
          <w:color w:val="auto"/>
        </w:rPr>
        <w:t>Amendment of Award Agreements; Amendment and Termination of the Plan; Term of the Plan</w:t>
      </w:r>
      <w:r>
        <w:rPr>
          <w:rFonts w:ascii="Arial" w:cs="Arial" w:eastAsia="Arial" w:hAnsi="Arial"/>
          <w:sz w:val="17"/>
          <w:szCs w:val="17"/>
          <w:color w:val="auto"/>
        </w:rPr>
        <w:t>. The Committee may amend any award agreement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2017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2017 Plan on or after the tenth anniversary of the effective date of the 2017 Plan.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4" w:name="page85"/>
    <w:bookmarkEnd w:id="84"/>
    <w:p>
      <w:pPr>
        <w:jc w:val="both"/>
        <w:ind w:firstLine="640"/>
        <w:spacing w:after="0" w:line="287" w:lineRule="auto"/>
        <w:rPr>
          <w:sz w:val="20"/>
          <w:szCs w:val="20"/>
          <w:color w:val="auto"/>
        </w:rPr>
      </w:pPr>
      <w:r>
        <w:rPr>
          <w:rFonts w:ascii="Arial" w:cs="Arial" w:eastAsia="Arial" w:hAnsi="Arial"/>
          <w:sz w:val="16"/>
          <w:szCs w:val="16"/>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Our 2017 Plan was automatically terminated upon the 2020 Plan’s taking effect.</w:t>
      </w:r>
    </w:p>
    <w:p>
      <w:pPr>
        <w:spacing w:after="0" w:line="16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have adopted a 2019 Equity Incentive Plan (the “2019 Plan”). The 2019 Plan is a stock-based compensation plan that provides for discretionary grants of, among others, stock options, stock awards and stock unit awards to key employees and directors of the Company. The purpose of the 2019 Plan is to recognize contributions made to our company and its subsidiaries by such individuals and to provide them with additional incentive to achieve the objectives of our Company. The Company has granted no shares under the 2019 Plan yet. The following is a summary of the 2019 Plan and is qualified by the full text of the 2019 Plan.</w:t>
      </w:r>
    </w:p>
    <w:p>
      <w:pPr>
        <w:spacing w:after="0" w:line="19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2019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Plan as the “Committee”).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2019 Plan is 2,200,000.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2019 Plan may be authorized but unissued shares or treasury shares. If there is a lapse, forfeiture, expiration, termination or cancellation of any award made under the 2019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2019 Plan. No award granted under the 2019 Plan may be transferred, except by will, the laws of descent and distribution.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Selected employees, directors, and consultants of the Company are eligible to receive awards under the 2019 Plan.</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2019 Plan provides for discretionary awards of, among others, stock options, stock awards, stock unit awards, or SAR</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Each award made under the 2019 Plan will be evidenced by a written award agreement specifying the terms and conditions of the award as determined by the Committee in its sole discretion, consistent with the terms of the 2019 Plan.</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 options to participants and to set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200,000, except that the aggregate maximum number of shares as to which a Key Employee may receive Stock Options and Stock Appreciation Rights in the calendar year in which such Key Employee begins employment with the Company or its Subsidiaries is 350,000.</w:t>
      </w:r>
    </w:p>
    <w:p>
      <w:pPr>
        <w:spacing w:after="0" w:line="180"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2019 Plan will be effective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85" w:name="page86"/>
    <w:bookmarkEnd w:id="85"/>
    <w:p>
      <w:pPr>
        <w:jc w:val="both"/>
        <w:ind w:firstLine="640"/>
        <w:spacing w:after="0" w:line="269" w:lineRule="auto"/>
        <w:rPr>
          <w:sz w:val="20"/>
          <w:szCs w:val="20"/>
          <w:color w:val="auto"/>
        </w:rPr>
      </w:pPr>
      <w:r>
        <w:rPr>
          <w:rFonts w:ascii="Arial" w:cs="Arial" w:eastAsia="Arial" w:hAnsi="Arial"/>
          <w:sz w:val="17"/>
          <w:szCs w:val="17"/>
          <w:i w:val="1"/>
          <w:iCs w:val="1"/>
          <w:color w:val="auto"/>
        </w:rPr>
        <w:t>Stock Unit Awards</w:t>
      </w:r>
      <w:r>
        <w:rPr>
          <w:rFonts w:ascii="Arial" w:cs="Arial" w:eastAsia="Arial" w:hAnsi="Arial"/>
          <w:sz w:val="17"/>
          <w:szCs w:val="17"/>
          <w:color w:val="auto"/>
        </w:rPr>
        <w:t>. The Committee has the discretion to grant stock unit awards to participants. Each stock unit award shall entitle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on the date or the occurrence of an event (including the attainment of performance goals), a share or cash equal to the fair market value of a share on the date of such event as provided in the stock unit award agreement. The number of share unit awards awarded to each participant, and the restrictions, terms and conditions of the award, will be at the discretion of the Committee.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w:t>
      </w:r>
    </w:p>
    <w:p>
      <w:pPr>
        <w:spacing w:after="0" w:line="18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Committee may grant SARs to participants. Upon exercise, an SAR entitles the participant to receive from the Company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w:t>
      </w:r>
    </w:p>
    <w:p>
      <w:pPr>
        <w:spacing w:after="0" w:line="16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i w:val="1"/>
          <w:iCs w:val="1"/>
          <w:color w:val="auto"/>
        </w:rPr>
        <w:t>Amendment of Award Agreements; Amendment and Termination of the Plan; Term of the Plan</w:t>
      </w:r>
      <w:r>
        <w:rPr>
          <w:rFonts w:ascii="Arial" w:cs="Arial" w:eastAsia="Arial" w:hAnsi="Arial"/>
          <w:sz w:val="16"/>
          <w:szCs w:val="16"/>
          <w:color w:val="auto"/>
        </w:rPr>
        <w:t>. The Committee may amend any award agreement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2019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2019 Plan on or after the tenth anniversary of the effective date of the 2019 Plan. Our 2019 Plan was automatically terminated upon the 2020 Plan’s taking effect.</w:t>
      </w:r>
    </w:p>
    <w:p>
      <w:pPr>
        <w:spacing w:after="0" w:line="171"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1,119,750 restricted shares have been granted under the 2020 Plan as of today.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6" w:name="page87"/>
    <w:bookmarkEnd w:id="86"/>
    <w:p>
      <w:pPr>
        <w:jc w:val="both"/>
        <w:ind w:firstLine="640"/>
        <w:spacing w:after="0" w:line="255" w:lineRule="auto"/>
        <w:rPr>
          <w:sz w:val="20"/>
          <w:szCs w:val="20"/>
          <w:color w:val="auto"/>
        </w:rPr>
      </w:pPr>
      <w:r>
        <w:rPr>
          <w:rFonts w:ascii="Arial" w:cs="Arial" w:eastAsia="Arial" w:hAnsi="Arial"/>
          <w:sz w:val="18"/>
          <w:szCs w:val="18"/>
          <w:color w:val="auto"/>
        </w:rPr>
        <w:t>The 2020 Plan is a stock-based compensation plan that provides for discretionary grants of, among others, stock options, stock awards and stock unit awards to employees, directors and consultants of the Company. The purpose of the 2020 Plan is to recognize contributions made to our company and its subsidiaries by such individuals and to provide them with additional incentive to achieve the objectives of our Company. The following is a summary of the 2020 Plan and is qualified by the full text of the 2020 Plan.</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2020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2020 Plan as the “Committee”).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i w:val="1"/>
          <w:iCs w:val="1"/>
          <w:color w:val="auto"/>
        </w:rPr>
        <w:t xml:space="preserve">Number of Shares of Common Shares. </w:t>
      </w:r>
      <w:r>
        <w:rPr>
          <w:rFonts w:ascii="Arial" w:cs="Arial" w:eastAsia="Arial" w:hAnsi="Arial"/>
          <w:sz w:val="16"/>
          <w:szCs w:val="16"/>
          <w:color w:val="auto"/>
        </w:rPr>
        <w:t>The number of common shares that may be issued under the 2020 Plan is 11,011,663.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2020 Plan may be authorized but unissued shares or treasury shares. If there is a lapse, forfeiture, expiration, termination or cancellation of any award made under the 2020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2020 Plan. The number of common shares issuable under the 2020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2020 Plan. No award granted under the 2020 Plan may be transferred, except by will, the laws of descent and distribution.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employees, directors, and consultants of the Company are eligible to receive awards under the 2020 Plan.</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i w:val="1"/>
          <w:iCs w:val="1"/>
          <w:color w:val="auto"/>
        </w:rPr>
        <w:t xml:space="preserve">Awards to Participants. </w:t>
      </w:r>
      <w:r>
        <w:rPr>
          <w:rFonts w:ascii="Arial" w:cs="Arial" w:eastAsia="Arial" w:hAnsi="Arial"/>
          <w:sz w:val="17"/>
          <w:szCs w:val="17"/>
          <w:color w:val="auto"/>
        </w:rPr>
        <w:t>The Plan provides for discretionary awards of, among others, stock options, stock awards, stock unit awards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to participants. Each award made under the 2020 Plan will be evidenced by a written award agreement specifying the terms and conditions of the award as determined by the Committee in its sole discretion, consistent with the terms of the 2020 Plan.</w:t>
      </w:r>
    </w:p>
    <w:p>
      <w:pPr>
        <w:spacing w:after="0" w:line="167"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an Employee may receive Stock Options and Stock Appreciation Rights in any calendar year is 800,000, except that the aggregate maximum number of shares as to which an Employee may receive Stock Options and Stock Appreciation Rights in the calendar year in which such Employee begins employment with the Company or its Subsidiaries is 1,000,000.</w:t>
      </w:r>
    </w:p>
    <w:p>
      <w:pPr>
        <w:spacing w:after="0" w:line="19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Committee has the discretion to grant stock awards to participants. Shares granted under the 2020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800,000 or, in the event the award is settled in cash, an amount equal to the fair market value of such number of shares on the date on which the award is settled.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7" w:name="page88"/>
    <w:bookmarkEnd w:id="87"/>
    <w:p>
      <w:pPr>
        <w:jc w:val="both"/>
        <w:ind w:firstLine="640"/>
        <w:spacing w:after="0" w:line="306" w:lineRule="auto"/>
        <w:rPr>
          <w:sz w:val="20"/>
          <w:szCs w:val="20"/>
          <w:color w:val="auto"/>
        </w:rPr>
      </w:pPr>
      <w:r>
        <w:rPr>
          <w:rFonts w:ascii="Arial" w:cs="Arial" w:eastAsia="Arial" w:hAnsi="Arial"/>
          <w:sz w:val="16"/>
          <w:szCs w:val="16"/>
          <w:i w:val="1"/>
          <w:iCs w:val="1"/>
          <w:color w:val="auto"/>
        </w:rPr>
        <w:t xml:space="preserve">Stock Unit Awards. </w:t>
      </w:r>
      <w:r>
        <w:rPr>
          <w:rFonts w:ascii="Arial" w:cs="Arial" w:eastAsia="Arial" w:hAnsi="Arial"/>
          <w:sz w:val="16"/>
          <w:szCs w:val="16"/>
          <w:color w:val="auto"/>
        </w:rPr>
        <w:t>The Committee may, in its discretion, grant stock unit awards to any participant. Each stock unit subject to the Award shall</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5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i w:val="1"/>
          <w:iCs w:val="1"/>
          <w:color w:val="auto"/>
        </w:rPr>
        <w:t xml:space="preserve">Stock Appreciation Rights or SAR. </w:t>
      </w:r>
      <w:r>
        <w:rPr>
          <w:rFonts w:ascii="Arial" w:cs="Arial" w:eastAsia="Arial" w:hAnsi="Arial"/>
          <w:sz w:val="16"/>
          <w:szCs w:val="16"/>
          <w:color w:val="auto"/>
        </w:rPr>
        <w:t>The Committee may grant SARs to participants. Upon exercise, an SAR entitles the participant to receive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65"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i w:val="1"/>
          <w:iCs w:val="1"/>
          <w:color w:val="auto"/>
        </w:rPr>
        <w:t xml:space="preserve">Payment for Stock Options and Withholding Taxes. </w:t>
      </w:r>
      <w:r>
        <w:rPr>
          <w:rFonts w:ascii="Arial" w:cs="Arial" w:eastAsia="Arial" w:hAnsi="Arial"/>
          <w:sz w:val="17"/>
          <w:szCs w:val="17"/>
          <w:color w:val="auto"/>
        </w:rPr>
        <w:t>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i w:val="1"/>
          <w:iCs w:val="1"/>
          <w:color w:val="auto"/>
        </w:rPr>
        <w:t xml:space="preserve">Amendment of Award Agreements; Amendment and Termination of the 2020 Plan; Term of the 2020 Plan. </w:t>
      </w:r>
      <w:r>
        <w:rPr>
          <w:rFonts w:ascii="Arial" w:cs="Arial" w:eastAsia="Arial" w:hAnsi="Arial"/>
          <w:sz w:val="17"/>
          <w:szCs w:val="17"/>
          <w:color w:val="auto"/>
        </w:rPr>
        <w:t>The Committee may amend any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2020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2020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2020 Plan on or after the tenth anniversary of the effective date of the 2020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Employment Agreements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ind w:left="640"/>
        <w:spacing w:after="0"/>
        <w:rPr>
          <w:sz w:val="20"/>
          <w:szCs w:val="20"/>
          <w:color w:val="auto"/>
        </w:rPr>
      </w:pPr>
      <w:r>
        <w:rPr>
          <w:rFonts w:ascii="Arial" w:cs="Arial" w:eastAsia="Arial" w:hAnsi="Arial"/>
          <w:sz w:val="18"/>
          <w:szCs w:val="18"/>
          <w:i w:val="1"/>
          <w:iCs w:val="1"/>
          <w:color w:val="auto"/>
        </w:rPr>
        <w:t>Rui Yang Employment Agreement</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On November 1, 2019, we entered into an employment agreement with Rui Yang pursuant to which she agreed to serve as our Acting Chief Financial Officer.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 Li Employment Agreement</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On June 2019, we entered into an employment agreement with Li Li pursuant to which he agreed to serve as our Chief Operating Officer. The agreement provides an annual salary of RMB 360,000 and HK$273,600 (approximately US$85,200) and 12,000 shares of common stock to be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168" w:lineRule="exact"/>
        <w:rPr>
          <w:sz w:val="20"/>
          <w:szCs w:val="20"/>
          <w:color w:val="auto"/>
        </w:rPr>
      </w:pPr>
    </w:p>
    <w:p>
      <w:pPr>
        <w:ind w:left="1280" w:hanging="633"/>
        <w:spacing w:after="0"/>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8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 However, notwithstanding the foregoing, we intend to hold such annual meetings to, among other things, elect our directors. We plan to hold our next annual shareholders meeting on the first quarter of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0" w:name="page91"/>
    <w:bookmarkEnd w:id="90"/>
    <w:p>
      <w:pPr>
        <w:jc w:val="both"/>
        <w:ind w:firstLine="640"/>
        <w:spacing w:after="0" w:line="306"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spacing w:after="0" w:line="15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Director Independence</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Zhao Hui Feng, Jin He Shao, and Kee Chong Seng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Board Committees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0" w:lineRule="exact"/>
        <w:rPr>
          <w:sz w:val="20"/>
          <w:szCs w:val="20"/>
          <w:color w:val="auto"/>
        </w:rPr>
      </w:pPr>
    </w:p>
    <w:p>
      <w:pPr>
        <w:ind w:left="960" w:hanging="31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1" w:name="page92"/>
    <w:bookmarkEnd w:id="91"/>
    <w:p>
      <w:pPr>
        <w:ind w:left="960" w:hanging="313"/>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Audit Committee consists of Zhao Hui Feng, Jin He Shao, and Kee Chong Seng,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0" w:lineRule="exact"/>
        <w:rPr>
          <w:sz w:val="20"/>
          <w:szCs w:val="20"/>
          <w:color w:val="auto"/>
        </w:rPr>
      </w:pPr>
    </w:p>
    <w:p>
      <w:pPr>
        <w:ind w:left="960" w:hanging="313"/>
        <w:spacing w:after="0" w:line="270"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Compensation Committee consists of Zhao Hui Feng, Jin He Shao, and Kee Chong Seng,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0" w:lineRule="exact"/>
        <w:rPr>
          <w:sz w:val="20"/>
          <w:szCs w:val="20"/>
          <w:color w:val="auto"/>
        </w:rPr>
      </w:pPr>
    </w:p>
    <w:p>
      <w:pPr>
        <w:ind w:left="960" w:hanging="31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Nominating Committee consists of consists of Zhao Hui Feng, Jin He Shao, and Kee Chong Seng, with Mr. Feng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2" w:name="page93"/>
    <w:bookmarkEnd w:id="92"/>
    <w:p>
      <w:pPr>
        <w:ind w:left="640"/>
        <w:spacing w:after="0"/>
        <w:rPr>
          <w:sz w:val="20"/>
          <w:szCs w:val="20"/>
          <w:color w:val="auto"/>
        </w:rPr>
      </w:pPr>
      <w:r>
        <w:rPr>
          <w:rFonts w:ascii="Arial" w:cs="Arial" w:eastAsia="Arial" w:hAnsi="Arial"/>
          <w:sz w:val="18"/>
          <w:szCs w:val="18"/>
          <w:i w:val="1"/>
          <w:iCs w:val="1"/>
          <w:color w:val="auto"/>
        </w:rPr>
        <w:t>Duties of Directors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88" w:lineRule="exact"/>
        <w:rPr>
          <w:sz w:val="20"/>
          <w:szCs w:val="20"/>
          <w:color w:val="auto"/>
        </w:rPr>
      </w:pPr>
    </w:p>
    <w:p>
      <w:pPr>
        <w:ind w:left="960" w:hanging="313"/>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authorizing the payment of donations to religious, charitable, public or other bodies, clubs, funds or associations as deemed advisable;</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16" w:lineRule="exact"/>
        <w:rPr>
          <w:sz w:val="20"/>
          <w:szCs w:val="20"/>
          <w:color w:val="auto"/>
        </w:rPr>
      </w:pPr>
    </w:p>
    <w:p>
      <w:pPr>
        <w:ind w:left="1280" w:hanging="633"/>
        <w:spacing w:after="0"/>
        <w:tabs>
          <w:tab w:leader="none" w:pos="1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1280" w:hanging="633"/>
        <w:spacing w:after="0"/>
        <w:tabs>
          <w:tab w:leader="none" w:pos="1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7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3" w:name="page94"/>
    <w:bookmarkEnd w:id="93"/>
    <w:p>
      <w:pPr>
        <w:spacing w:after="0"/>
        <w:tabs>
          <w:tab w:leader="none" w:pos="12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0" w:lineRule="exact"/>
        <w:rPr>
          <w:sz w:val="20"/>
          <w:szCs w:val="20"/>
          <w:color w:val="auto"/>
        </w:rPr>
      </w:pPr>
    </w:p>
    <w:p>
      <w:pPr>
        <w:ind w:left="1280" w:hanging="633"/>
        <w:spacing w:after="0"/>
        <w:tabs>
          <w:tab w:leader="none" w:pos="1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0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16,093,248 common shares outstanding as of October 15, 2020. Unless otherwise indicated, the address of each beneficial owner listed in the table below is c/o CLPS Incorporation, c/o Unit 702, 7th Floor, Millennium City II, 378 Kwun Tong Road, Kwun Tong, Kowloon, Hong Kong SAR.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Ownership%</w:t>
            </w:r>
          </w:p>
        </w:tc>
      </w:tr>
      <w:tr>
        <w:trPr>
          <w:trHeight w:val="239"/>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20" w:type="dxa"/>
            <w:vAlign w:val="bottom"/>
          </w:tcPr>
          <w:p>
            <w:pPr>
              <w:jc w:val="right"/>
              <w:ind w:right="37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r>
      <w:tr>
        <w:trPr>
          <w:trHeight w:val="213"/>
        </w:trPr>
        <w:tc>
          <w:tcPr>
            <w:tcW w:w="8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(2)(7)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5,343,773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Raymond Ming Hui Lin (3)(6)(7)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5,664,595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35.24%</w:t>
            </w: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Yang (4)(6)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67,793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Li Li(6)(8)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136,178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 He Shao (5)(7)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3"/>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11,215,339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69.69%</w:t>
            </w:r>
          </w:p>
        </w:tc>
      </w:tr>
      <w:tr>
        <w:trPr>
          <w:trHeight w:val="213"/>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Qinrui Ltd. (2)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4,976,000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30.92%</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Qinhui Ltd. (3)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4,999,996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r>
      <w:tr>
        <w:trPr>
          <w:trHeight w:val="213"/>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9,975,996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61.99%</w:t>
            </w:r>
          </w:p>
        </w:tc>
      </w:tr>
      <w:tr>
        <w:trPr>
          <w:trHeight w:val="409"/>
        </w:trPr>
        <w:tc>
          <w:tcPr>
            <w:tcW w:w="86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ind w:left="320" w:hanging="313"/>
        <w:spacing w:after="0" w:line="270"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108" w:lineRule="exact"/>
        <w:rPr>
          <w:rFonts w:ascii="Arial" w:cs="Arial" w:eastAsia="Arial" w:hAnsi="Arial"/>
          <w:sz w:val="18"/>
          <w:szCs w:val="18"/>
          <w:color w:val="auto"/>
        </w:rPr>
      </w:pPr>
    </w:p>
    <w:p>
      <w:pPr>
        <w:jc w:val="both"/>
        <w:ind w:left="320" w:hanging="313"/>
        <w:spacing w:after="0" w:line="252"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w:t>
      </w:r>
    </w:p>
    <w:p>
      <w:pPr>
        <w:spacing w:after="0" w:line="123" w:lineRule="exact"/>
        <w:rPr>
          <w:rFonts w:ascii="Arial" w:cs="Arial" w:eastAsia="Arial" w:hAnsi="Arial"/>
          <w:sz w:val="18"/>
          <w:szCs w:val="18"/>
          <w:color w:val="auto"/>
        </w:rPr>
      </w:pPr>
    </w:p>
    <w:p>
      <w:pPr>
        <w:jc w:val="both"/>
        <w:ind w:left="320" w:hanging="313"/>
        <w:spacing w:after="0" w:line="252"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w:t>
      </w:r>
    </w:p>
    <w:p>
      <w:pPr>
        <w:spacing w:after="0" w:line="123"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17,793 shares, which she purchased prior to the Company’s IPO, and the vested portion of the restricted stock granted dated as of May 6, 2020. The total grant of 50,000 common shares vests in whole immediately on the grant date of award.</w:t>
      </w:r>
    </w:p>
    <w:p>
      <w:pPr>
        <w:spacing w:after="0" w:line="108" w:lineRule="exact"/>
        <w:rPr>
          <w:rFonts w:ascii="Arial" w:cs="Arial" w:eastAsia="Arial" w:hAnsi="Arial"/>
          <w:sz w:val="18"/>
          <w:szCs w:val="18"/>
          <w:color w:val="auto"/>
        </w:rPr>
      </w:pPr>
    </w:p>
    <w:p>
      <w:pPr>
        <w:ind w:left="320" w:hanging="313"/>
        <w:spacing w:after="0" w:line="300"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spacing w:after="0" w:line="85" w:lineRule="exact"/>
        <w:rPr>
          <w:rFonts w:ascii="Arial" w:cs="Arial" w:eastAsia="Arial" w:hAnsi="Arial"/>
          <w:sz w:val="17"/>
          <w:szCs w:val="17"/>
          <w:color w:val="auto"/>
        </w:rPr>
      </w:pPr>
    </w:p>
    <w:p>
      <w:pPr>
        <w:ind w:left="320" w:hanging="313"/>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153" w:lineRule="exact"/>
        <w:rPr>
          <w:rFonts w:ascii="Arial" w:cs="Arial" w:eastAsia="Arial" w:hAnsi="Arial"/>
          <w:sz w:val="18"/>
          <w:szCs w:val="18"/>
          <w:color w:val="auto"/>
        </w:rPr>
      </w:pPr>
    </w:p>
    <w:p>
      <w:pPr>
        <w:ind w:left="320" w:hanging="313"/>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w:t>
      </w:r>
    </w:p>
    <w:p>
      <w:pPr>
        <w:spacing w:after="0" w:line="153" w:lineRule="exact"/>
        <w:rPr>
          <w:rFonts w:ascii="Arial" w:cs="Arial" w:eastAsia="Arial" w:hAnsi="Arial"/>
          <w:sz w:val="18"/>
          <w:szCs w:val="18"/>
          <w:color w:val="auto"/>
        </w:rPr>
      </w:pPr>
    </w:p>
    <w:p>
      <w:pPr>
        <w:jc w:val="both"/>
        <w:ind w:left="320" w:hanging="313"/>
        <w:spacing w:after="0" w:line="306"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24,178 shares of the Company’s common stock owning by his wife prior to his joining the Company and the vested portion of the restricted stock granted dated as of June 11, 2019. The total grant of 12,000 common shares vests in one year after the date of award. Represents vested portion of the restricted stock granted dated as of May 6, 2020. The total grant of 100,000 common shares vests in whole immediately on the grant date of award.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064" w:gutter="0" w:footer="0" w:header="0"/>
        </w:sectPr>
      </w:pPr>
    </w:p>
    <w:bookmarkStart w:id="94" w:name="page95"/>
    <w:bookmarkEnd w:id="94"/>
    <w:p>
      <w:pPr>
        <w:jc w:val="both"/>
        <w:ind w:firstLine="640"/>
        <w:spacing w:after="0" w:line="292" w:lineRule="auto"/>
        <w:rPr>
          <w:sz w:val="20"/>
          <w:szCs w:val="20"/>
          <w:color w:val="auto"/>
        </w:rPr>
      </w:pPr>
      <w:r>
        <w:rPr>
          <w:rFonts w:ascii="Arial" w:cs="Arial" w:eastAsia="Arial" w:hAnsi="Arial"/>
          <w:sz w:val="16"/>
          <w:szCs w:val="16"/>
          <w:color w:val="auto"/>
        </w:rPr>
        <w:t>As of October 15, 2020, there were 12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91" w:lineRule="exact"/>
        <w:rPr>
          <w:sz w:val="20"/>
          <w:szCs w:val="20"/>
          <w:color w:val="auto"/>
        </w:rPr>
      </w:pPr>
    </w:p>
    <w:p>
      <w:pPr>
        <w:ind w:left="1280" w:hanging="633"/>
        <w:spacing w:after="0"/>
        <w:tabs>
          <w:tab w:leader="none" w:pos="1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ended June 30, 2019 and 2018,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15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44" w:lineRule="exact"/>
        <w:rPr>
          <w:sz w:val="20"/>
          <w:szCs w:val="20"/>
          <w:color w:val="auto"/>
        </w:rPr>
      </w:pPr>
    </w:p>
    <w:p>
      <w:pPr>
        <w:ind w:left="640" w:hanging="63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Related party balances</w:t>
      </w:r>
    </w:p>
    <w:p>
      <w:pPr>
        <w:spacing w:after="0" w:line="21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balances due to and due from related parties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Judge Asia</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212,736</w:t>
            </w:r>
          </w:p>
        </w:tc>
        <w:tc>
          <w:tcPr>
            <w:tcW w:w="0" w:type="dxa"/>
            <w:vAlign w:val="bottom"/>
          </w:tcPr>
          <w:p>
            <w:pPr>
              <w:spacing w:after="0"/>
              <w:rPr>
                <w:sz w:val="1"/>
                <w:szCs w:val="1"/>
                <w:color w:val="auto"/>
              </w:rPr>
            </w:pPr>
          </w:p>
        </w:tc>
      </w:tr>
      <w:tr>
        <w:trPr>
          <w:trHeight w:val="227"/>
        </w:trPr>
        <w:tc>
          <w:tcPr>
            <w:tcW w:w="8660" w:type="dxa"/>
            <w:vAlign w:val="bottom"/>
          </w:tcPr>
          <w:p>
            <w:pPr>
              <w:ind w:left="160"/>
              <w:spacing w:after="0"/>
              <w:rPr>
                <w:sz w:val="20"/>
                <w:szCs w:val="20"/>
                <w:color w:val="auto"/>
              </w:rPr>
            </w:pPr>
            <w:r>
              <w:rPr>
                <w:rFonts w:ascii="Arial" w:cs="Arial" w:eastAsia="Arial" w:hAnsi="Arial"/>
                <w:sz w:val="18"/>
                <w:szCs w:val="18"/>
                <w:color w:val="auto"/>
              </w:rPr>
              <w:t>Mr. Raymond Ming Hui Lin</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169,185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169,185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230,540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Due from related parties mainly represents the expenses paid on behalf of the non-controlling interest shareholder of Judge China and advances to the Company’s CEO.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5" w:name="page96"/>
    <w:bookmarkEnd w:id="95"/>
    <w:p>
      <w:pPr>
        <w:ind w:left="640" w:hanging="63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rPr>
              <w:t>For the year ended,</w:t>
            </w:r>
          </w:p>
        </w:tc>
        <w:tc>
          <w:tcPr>
            <w:tcW w:w="900" w:type="dxa"/>
            <w:vAlign w:val="bottom"/>
            <w:tcBorders>
              <w:bottom w:val="single" w:sz="8" w:color="auto"/>
            </w:tcBorders>
          </w:tcPr>
          <w:p>
            <w:pPr>
              <w:spacing w:after="0"/>
              <w:rPr>
                <w:sz w:val="20"/>
                <w:szCs w:val="20"/>
                <w:color w:val="auto"/>
              </w:rPr>
            </w:pPr>
          </w:p>
        </w:tc>
      </w:tr>
      <w:tr>
        <w:trPr>
          <w:trHeight w:val="220"/>
        </w:trPr>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r>
      <w:tr>
        <w:trPr>
          <w:trHeight w:val="426"/>
        </w:trPr>
        <w:tc>
          <w:tcPr>
            <w:tcW w:w="360" w:type="dxa"/>
            <w:vAlign w:val="bottom"/>
          </w:tcPr>
          <w:p>
            <w:pPr>
              <w:spacing w:after="0"/>
              <w:rPr>
                <w:sz w:val="20"/>
                <w:szCs w:val="20"/>
                <w:color w:val="auto"/>
              </w:rPr>
            </w:pPr>
            <w:r>
              <w:rPr>
                <w:rFonts w:ascii="Arial" w:cs="Arial" w:eastAsia="Arial" w:hAnsi="Arial"/>
                <w:sz w:val="18"/>
                <w:szCs w:val="18"/>
                <w:b w:val="1"/>
                <w:bCs w:val="1"/>
                <w:color w:val="auto"/>
              </w:rPr>
              <w:t>a)</w:t>
            </w:r>
          </w:p>
        </w:tc>
        <w:tc>
          <w:tcPr>
            <w:tcW w:w="5580" w:type="dxa"/>
            <w:vAlign w:val="bottom"/>
          </w:tcPr>
          <w:p>
            <w:pPr>
              <w:ind w:left="200"/>
              <w:spacing w:after="0"/>
              <w:rPr>
                <w:sz w:val="20"/>
                <w:szCs w:val="20"/>
                <w:color w:val="auto"/>
              </w:rPr>
            </w:pPr>
            <w:r>
              <w:rPr>
                <w:rFonts w:ascii="Arial" w:cs="Arial" w:eastAsia="Arial" w:hAnsi="Arial"/>
                <w:sz w:val="18"/>
                <w:szCs w:val="18"/>
                <w:b w:val="1"/>
                <w:bCs w:val="1"/>
                <w:color w:val="auto"/>
              </w:rPr>
              <w:t>Consulting services provided to the related parties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1"/>
        </w:trPr>
        <w:tc>
          <w:tcPr>
            <w:tcW w:w="360" w:type="dxa"/>
            <w:vAlign w:val="bottom"/>
            <w:shd w:val="clear" w:color="auto" w:fill="CCEEFF"/>
          </w:tcPr>
          <w:p>
            <w:pPr>
              <w:spacing w:after="0"/>
              <w:rPr>
                <w:sz w:val="20"/>
                <w:szCs w:val="20"/>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CareerWin Executive Search Co., Ltd (“CareerWin”)</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165,161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560" w:hanging="553"/>
        <w:spacing w:after="0"/>
        <w:tabs>
          <w:tab w:leader="none" w:pos="5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 provided by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35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CareerWin</w:t>
            </w:r>
          </w:p>
        </w:tc>
        <w:tc>
          <w:tcPr>
            <w:tcW w:w="18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195,817</w:t>
            </w:r>
          </w:p>
        </w:tc>
        <w:tc>
          <w:tcPr>
            <w:tcW w:w="72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EMIT</w:t>
            </w: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Beijing Bright Technology Co., Ltd (“Beijing Bright”)</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114,052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w:t>
            </w:r>
          </w:p>
        </w:tc>
        <w:tc>
          <w:tcPr>
            <w:tcW w:w="5620" w:type="dxa"/>
            <w:vAlign w:val="bottom"/>
            <w:tcBorders>
              <w:top w:val="single" w:sz="8" w:color="CCEEFF"/>
            </w:tcBorders>
            <w:vMerge w:val="restart"/>
          </w:tcPr>
          <w:p>
            <w:pPr>
              <w:ind w:left="200"/>
              <w:spacing w:after="0"/>
              <w:rPr>
                <w:sz w:val="20"/>
                <w:szCs w:val="20"/>
                <w:color w:val="auto"/>
              </w:rPr>
            </w:pPr>
            <w:r>
              <w:rPr>
                <w:rFonts w:ascii="Arial" w:cs="Arial" w:eastAsia="Arial" w:hAnsi="Arial"/>
                <w:sz w:val="18"/>
                <w:szCs w:val="18"/>
                <w:b w:val="1"/>
                <w:bCs w:val="1"/>
                <w:color w:val="auto"/>
              </w:rPr>
              <w:t>Purchase of software from the related parties</w:t>
            </w: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0" w:type="dxa"/>
            <w:vAlign w:val="bottom"/>
            <w:tcBorders>
              <w:top w:val="single" w:sz="8" w:color="CCEEFF"/>
            </w:tcBorders>
            <w:vMerge w:val="continue"/>
          </w:tcPr>
          <w:p>
            <w:pPr>
              <w:spacing w:after="0"/>
              <w:rPr>
                <w:sz w:val="17"/>
                <w:szCs w:val="17"/>
                <w:color w:val="auto"/>
              </w:rPr>
            </w:pPr>
          </w:p>
        </w:tc>
        <w:tc>
          <w:tcPr>
            <w:tcW w:w="5620" w:type="dxa"/>
            <w:vAlign w:val="bottom"/>
            <w:tcBorders>
              <w:top w:val="single" w:sz="8" w:color="CCEEFF"/>
            </w:tcBorders>
            <w:vMerge w:val="continue"/>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Beijing Bright</w:t>
            </w:r>
          </w:p>
        </w:tc>
        <w:tc>
          <w:tcPr>
            <w:tcW w:w="1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50,988</w:t>
            </w:r>
          </w:p>
        </w:tc>
        <w:tc>
          <w:tcPr>
            <w:tcW w:w="720" w:type="dxa"/>
            <w:vAlign w:val="bottom"/>
            <w:gridSpan w:val="2"/>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EMIT</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553"/>
        <w:spacing w:after="0"/>
        <w:tabs>
          <w:tab w:leader="none" w:pos="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Loans provided to the related parties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CLPS Lihong</w:t>
            </w:r>
          </w:p>
        </w:tc>
        <w:tc>
          <w:tcPr>
            <w:tcW w:w="33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149,341</w:t>
            </w:r>
          </w:p>
        </w:tc>
        <w:tc>
          <w:tcPr>
            <w:tcW w:w="4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820,982</w:t>
            </w:r>
          </w:p>
        </w:tc>
        <w:tc>
          <w:tcPr>
            <w:tcW w:w="6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540" w:type="dxa"/>
            <w:vAlign w:val="bottom"/>
          </w:tcPr>
          <w:p>
            <w:pPr>
              <w:ind w:left="560"/>
              <w:spacing w:after="0"/>
              <w:rPr>
                <w:sz w:val="20"/>
                <w:szCs w:val="20"/>
                <w:color w:val="auto"/>
              </w:rPr>
            </w:pPr>
            <w:r>
              <w:rPr>
                <w:rFonts w:ascii="Arial" w:cs="Arial" w:eastAsia="Arial" w:hAnsi="Arial"/>
                <w:sz w:val="18"/>
                <w:szCs w:val="18"/>
                <w:color w:val="auto"/>
              </w:rPr>
              <w:t>EMIT</w:t>
            </w: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540" w:type="dxa"/>
            <w:vAlign w:val="bottom"/>
            <w:tcBorders>
              <w:top w:val="single" w:sz="8" w:color="CCEEFF"/>
              <w:bottom w:val="single" w:sz="8" w:color="CCEEFF"/>
            </w:tcBorders>
            <w:shd w:val="clear" w:color="auto" w:fill="CCEEFF"/>
          </w:tcPr>
          <w:p>
            <w:pPr>
              <w:spacing w:after="0"/>
              <w:rPr>
                <w:sz w:val="20"/>
                <w:szCs w:val="20"/>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ind w:left="560" w:hanging="553"/>
        <w:spacing w:after="0"/>
        <w:tabs>
          <w:tab w:leader="none" w:pos="5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loans from the related parties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shd w:val="clear" w:color="auto" w:fill="CCEEFF"/>
          </w:tcPr>
          <w:p>
            <w:pPr>
              <w:spacing w:after="0"/>
              <w:rPr>
                <w:sz w:val="17"/>
                <w:szCs w:val="17"/>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CLPS Lihong</w:t>
            </w:r>
          </w:p>
        </w:tc>
        <w:tc>
          <w:tcPr>
            <w:tcW w:w="20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149,341</w:t>
            </w: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820,982</w:t>
            </w:r>
          </w:p>
        </w:tc>
        <w:tc>
          <w:tcPr>
            <w:tcW w:w="6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EMIT</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w:t>
            </w:r>
          </w:p>
        </w:tc>
        <w:tc>
          <w:tcPr>
            <w:tcW w:w="55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Interest income received from the related party</w:t>
            </w: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vMerge w:val="continue"/>
          </w:tcPr>
          <w:p>
            <w:pPr>
              <w:spacing w:after="0"/>
              <w:rPr>
                <w:sz w:val="17"/>
                <w:szCs w:val="17"/>
                <w:color w:val="auto"/>
              </w:rPr>
            </w:pPr>
          </w:p>
        </w:tc>
        <w:tc>
          <w:tcPr>
            <w:tcW w:w="55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0" w:type="dxa"/>
            <w:vAlign w:val="bottom"/>
            <w:shd w:val="clear" w:color="auto" w:fill="CCEEFF"/>
          </w:tcPr>
          <w:p>
            <w:pPr>
              <w:spacing w:after="0"/>
              <w:rPr>
                <w:sz w:val="20"/>
                <w:szCs w:val="20"/>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CLPS Lihong</w:t>
            </w:r>
          </w:p>
        </w:tc>
        <w:tc>
          <w:tcPr>
            <w:tcW w:w="20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33,096</w:t>
            </w:r>
          </w:p>
        </w:tc>
        <w:tc>
          <w:tcPr>
            <w:tcW w:w="6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CEO, the wife of the CEO, Chairman, and the wife of Chairman of the Company provided joint guarantee to the revolving credit facility entered by the Company with China Merchants Bank on June 22, 2018 and December 17, 2019.</w:t>
      </w:r>
    </w:p>
    <w:p>
      <w:pPr>
        <w:spacing w:after="0" w:line="175"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Srustijeet Mishra, the non-controlling interest shareholder of Ridik Pte provided guarantee to a credit facility up to $86,071 (SGD 120,000) entered by the Company with Development Bank of Singapore on April 20, 2018.</w:t>
      </w:r>
    </w:p>
    <w:p>
      <w:pPr>
        <w:spacing w:after="0" w:line="171" w:lineRule="exact"/>
        <w:rPr>
          <w:sz w:val="20"/>
          <w:szCs w:val="20"/>
          <w:color w:val="auto"/>
        </w:rPr>
      </w:pPr>
    </w:p>
    <w:p>
      <w:pPr>
        <w:ind w:left="1280" w:hanging="633"/>
        <w:spacing w:after="0"/>
        <w:tabs>
          <w:tab w:leader="none" w:pos="1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0" w:lineRule="exact"/>
        <w:rPr>
          <w:sz w:val="20"/>
          <w:szCs w:val="20"/>
          <w:color w:val="auto"/>
        </w:rPr>
      </w:pPr>
    </w:p>
    <w:p>
      <w:pPr>
        <w:ind w:left="1280" w:hanging="633"/>
        <w:spacing w:after="0"/>
        <w:tabs>
          <w:tab w:leader="none" w:pos="1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18 for our audited consolidated financial statements.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6" w:lineRule="exact"/>
        <w:rPr>
          <w:sz w:val="20"/>
          <w:szCs w:val="20"/>
          <w:color w:val="auto"/>
        </w:rPr>
      </w:pPr>
    </w:p>
    <w:p>
      <w:pPr>
        <w:ind w:left="1280" w:hanging="633"/>
        <w:spacing w:after="0"/>
        <w:tabs>
          <w:tab w:leader="none" w:pos="1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623" w:gutter="0" w:footer="0" w:header="0"/>
        </w:sectPr>
      </w:pPr>
    </w:p>
    <w:bookmarkStart w:id="96" w:name="page97"/>
    <w:bookmarkEnd w:id="96"/>
    <w:p>
      <w:pPr>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0" w:lineRule="exact"/>
        <w:rPr>
          <w:sz w:val="20"/>
          <w:szCs w:val="20"/>
          <w:color w:val="auto"/>
        </w:rPr>
      </w:pPr>
    </w:p>
    <w:p>
      <w:pPr>
        <w:ind w:left="1280" w:hanging="633"/>
        <w:spacing w:after="0"/>
        <w:tabs>
          <w:tab w:leader="none" w:pos="1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4" w:lineRule="exact"/>
        <w:rPr>
          <w:sz w:val="20"/>
          <w:szCs w:val="20"/>
          <w:color w:val="auto"/>
        </w:rPr>
      </w:pPr>
    </w:p>
    <w:p>
      <w:pPr>
        <w:ind w:right="20" w:firstLine="640"/>
        <w:spacing w:after="0" w:line="300" w:lineRule="auto"/>
        <w:rPr>
          <w:sz w:val="20"/>
          <w:szCs w:val="20"/>
          <w:color w:val="auto"/>
        </w:rPr>
      </w:pPr>
      <w:r>
        <w:rPr>
          <w:rFonts w:ascii="Arial" w:cs="Arial" w:eastAsia="Arial" w:hAnsi="Arial"/>
          <w:sz w:val="17"/>
          <w:szCs w:val="17"/>
          <w:color w:val="auto"/>
        </w:rPr>
        <w:t>The following table sets forth, for the calendar months indicated and through June 30, 2020, the monthly high and low sale prices for our shares, as reported on NASDAQ Stock Market. The closing price for the Company’s securities on October 15, 2020 was $3.09 per share.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Shares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8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1"/>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June 2020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3"/>
        </w:trPr>
        <w:tc>
          <w:tcPr>
            <w:tcW w:w="8900" w:type="dxa"/>
            <w:vAlign w:val="bottom"/>
          </w:tcPr>
          <w:p>
            <w:pPr>
              <w:spacing w:after="0"/>
              <w:rPr>
                <w:sz w:val="20"/>
                <w:szCs w:val="20"/>
                <w:color w:val="auto"/>
              </w:rPr>
            </w:pPr>
            <w:r>
              <w:rPr>
                <w:rFonts w:ascii="Arial" w:cs="Arial" w:eastAsia="Arial" w:hAnsi="Arial"/>
                <w:sz w:val="18"/>
                <w:szCs w:val="18"/>
                <w:color w:val="auto"/>
              </w:rPr>
              <w:t>July 2020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3"/>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August 2020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26"/>
        </w:trPr>
        <w:tc>
          <w:tcPr>
            <w:tcW w:w="8900" w:type="dxa"/>
            <w:vAlign w:val="bottom"/>
          </w:tcPr>
          <w:p>
            <w:pPr>
              <w:spacing w:after="0"/>
              <w:rPr>
                <w:sz w:val="20"/>
                <w:szCs w:val="20"/>
                <w:color w:val="auto"/>
              </w:rPr>
            </w:pPr>
            <w:r>
              <w:rPr>
                <w:rFonts w:ascii="Arial" w:cs="Arial" w:eastAsia="Arial" w:hAnsi="Arial"/>
                <w:sz w:val="18"/>
                <w:szCs w:val="18"/>
                <w:color w:val="auto"/>
              </w:rPr>
              <w:t>September 2020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bl>
    <w:p>
      <w:pPr>
        <w:spacing w:after="0" w:line="182" w:lineRule="exact"/>
        <w:rPr>
          <w:sz w:val="20"/>
          <w:szCs w:val="20"/>
          <w:color w:val="auto"/>
        </w:rPr>
      </w:pPr>
    </w:p>
    <w:p>
      <w:pPr>
        <w:ind w:left="1280" w:hanging="633"/>
        <w:spacing w:after="0"/>
        <w:tabs>
          <w:tab w:leader="none" w:pos="1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Our shares have been listed on the NASDAQ Stock Market under the symbol CLPS since May 24, 2018 following the completion of our initial public offering.</w:t>
      </w:r>
    </w:p>
    <w:p>
      <w:pPr>
        <w:spacing w:after="0" w:line="171" w:lineRule="exact"/>
        <w:rPr>
          <w:sz w:val="20"/>
          <w:szCs w:val="20"/>
          <w:color w:val="auto"/>
        </w:rPr>
      </w:pPr>
    </w:p>
    <w:p>
      <w:pPr>
        <w:ind w:left="1280" w:hanging="633"/>
        <w:spacing w:after="0"/>
        <w:tabs>
          <w:tab w:leader="none" w:pos="1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0" w:lineRule="exact"/>
        <w:rPr>
          <w:sz w:val="20"/>
          <w:szCs w:val="20"/>
          <w:color w:val="auto"/>
        </w:rPr>
      </w:pPr>
    </w:p>
    <w:p>
      <w:pPr>
        <w:ind w:left="1280" w:hanging="633"/>
        <w:spacing w:after="0"/>
        <w:tabs>
          <w:tab w:leader="none" w:pos="1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82" w:lineRule="exact"/>
        <w:rPr>
          <w:sz w:val="20"/>
          <w:szCs w:val="20"/>
          <w:color w:val="auto"/>
        </w:rPr>
      </w:pPr>
    </w:p>
    <w:p>
      <w:pPr>
        <w:ind w:left="1280" w:hanging="633"/>
        <w:spacing w:after="0"/>
        <w:tabs>
          <w:tab w:leader="none" w:pos="12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information required by Item 10.B of Form 20-F is included in the sections titled “Our Business,” “Directors and Executive Officers,” “Related Party Transactions,” and “Underwriting” in our Registration Statement on Form F-1 initially filed with the SEC on March 27, 2018, and subsequently updated (File No.: 333-223956), which section is incorporated herein by reference.</w:t>
      </w:r>
    </w:p>
    <w:p>
      <w:pPr>
        <w:spacing w:after="0" w:line="182" w:lineRule="exact"/>
        <w:rPr>
          <w:sz w:val="20"/>
          <w:szCs w:val="20"/>
          <w:color w:val="auto"/>
        </w:rPr>
      </w:pPr>
    </w:p>
    <w:p>
      <w:pPr>
        <w:ind w:left="1280" w:hanging="633"/>
        <w:spacing w:after="0"/>
        <w:tabs>
          <w:tab w:leader="none" w:pos="12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ind w:left="1280" w:hanging="633"/>
        <w:spacing w:after="0"/>
        <w:tabs>
          <w:tab w:leader="none" w:pos="12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4"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4"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3"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6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6" w:lineRule="exact"/>
        <w:rPr>
          <w:sz w:val="20"/>
          <w:szCs w:val="20"/>
          <w:color w:val="auto"/>
        </w:rPr>
      </w:pPr>
    </w:p>
    <w:p>
      <w:pPr>
        <w:ind w:left="960" w:hanging="313"/>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19" w:lineRule="exact"/>
        <w:rPr>
          <w:rFonts w:ascii="Arial" w:cs="Arial" w:eastAsia="Arial" w:hAnsi="Arial"/>
          <w:sz w:val="18"/>
          <w:szCs w:val="18"/>
          <w:color w:val="auto"/>
        </w:rPr>
      </w:pPr>
    </w:p>
    <w:p>
      <w:pPr>
        <w:jc w:val="both"/>
        <w:ind w:left="960" w:hanging="313"/>
        <w:spacing w:after="0" w:line="258"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8" w:lineRule="exact"/>
        <w:rPr>
          <w:sz w:val="20"/>
          <w:szCs w:val="20"/>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ind w:left="960" w:hanging="313"/>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8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62"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0" w:name="page101"/>
    <w:bookmarkEnd w:id="100"/>
    <w:p>
      <w:pPr>
        <w:jc w:val="both"/>
        <w:ind w:firstLine="640"/>
        <w:spacing w:after="0" w:line="255"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4"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8" w:lineRule="exact"/>
        <w:rPr>
          <w:sz w:val="20"/>
          <w:szCs w:val="20"/>
          <w:color w:val="auto"/>
        </w:rPr>
      </w:pPr>
    </w:p>
    <w:p>
      <w:pPr>
        <w:ind w:left="960" w:hanging="313"/>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19" w:lineRule="exact"/>
        <w:rPr>
          <w:rFonts w:ascii="Arial" w:cs="Arial" w:eastAsia="Arial" w:hAnsi="Arial"/>
          <w:sz w:val="18"/>
          <w:szCs w:val="18"/>
          <w:color w:val="auto"/>
        </w:rPr>
      </w:pPr>
    </w:p>
    <w:p>
      <w:pPr>
        <w:jc w:val="both"/>
        <w:ind w:left="960" w:hanging="313"/>
        <w:spacing w:after="0" w:line="281"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these rules,</w:t>
      </w:r>
    </w:p>
    <w:p>
      <w:pPr>
        <w:spacing w:after="0" w:line="220" w:lineRule="exact"/>
        <w:rPr>
          <w:sz w:val="20"/>
          <w:szCs w:val="20"/>
          <w:color w:val="auto"/>
        </w:rPr>
      </w:pPr>
    </w:p>
    <w:p>
      <w:pPr>
        <w:ind w:left="960" w:hanging="313"/>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U.S. Holder’s gain or excess distribution will be allocated ratably over the U.S. Holder’s holding period for the common shares;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1" w:name="page102"/>
    <w:bookmarkEnd w:id="101"/>
    <w:p>
      <w:pPr>
        <w:jc w:val="both"/>
        <w:ind w:left="960" w:hanging="313"/>
        <w:spacing w:after="0" w:line="258"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86" w:lineRule="exact"/>
        <w:rPr>
          <w:rFonts w:ascii="Arial" w:cs="Arial" w:eastAsia="Arial" w:hAnsi="Arial"/>
          <w:sz w:val="18"/>
          <w:szCs w:val="18"/>
          <w:color w:val="auto"/>
        </w:rPr>
      </w:pPr>
    </w:p>
    <w:p>
      <w:pPr>
        <w:ind w:left="960" w:right="20" w:hanging="313"/>
        <w:spacing w:after="0" w:line="270"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93"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82"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2" w:name="page103"/>
    <w:bookmarkEnd w:id="102"/>
    <w:p>
      <w:pPr>
        <w:jc w:val="both"/>
        <w:ind w:firstLine="640"/>
        <w:spacing w:after="0" w:line="285" w:lineRule="auto"/>
        <w:rPr>
          <w:sz w:val="20"/>
          <w:szCs w:val="20"/>
          <w:color w:val="auto"/>
        </w:rPr>
      </w:pPr>
      <w:r>
        <w:rPr>
          <w:rFonts w:ascii="Arial" w:cs="Arial" w:eastAsia="Arial" w:hAnsi="Arial"/>
          <w:sz w:val="16"/>
          <w:szCs w:val="16"/>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6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18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8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62"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3" w:name="page104"/>
    <w:bookmarkEnd w:id="103"/>
    <w:p>
      <w:pPr>
        <w:jc w:val="both"/>
        <w:ind w:firstLine="640"/>
        <w:spacing w:after="0" w:line="255"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84" w:lineRule="exact"/>
        <w:rPr>
          <w:sz w:val="20"/>
          <w:szCs w:val="20"/>
          <w:color w:val="auto"/>
        </w:rPr>
      </w:pPr>
    </w:p>
    <w:p>
      <w:pPr>
        <w:ind w:left="1280" w:hanging="633"/>
        <w:spacing w:after="0"/>
        <w:tabs>
          <w:tab w:leader="none" w:pos="12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ind w:left="1280" w:hanging="633"/>
        <w:spacing w:after="0"/>
        <w:tabs>
          <w:tab w:leader="none" w:pos="1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ind w:left="1280" w:hanging="633"/>
        <w:spacing w:after="0"/>
        <w:tabs>
          <w:tab w:leader="none" w:pos="12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Documents concerning us that are referred to in this document may be inspected at c/o Unit 702, 7th Floor, Millennium City II, 378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178" w:lineRule="exact"/>
        <w:rPr>
          <w:sz w:val="20"/>
          <w:szCs w:val="20"/>
          <w:color w:val="auto"/>
        </w:rPr>
      </w:pPr>
    </w:p>
    <w:p>
      <w:pPr>
        <w:ind w:left="1280" w:hanging="633"/>
        <w:spacing w:after="0"/>
        <w:tabs>
          <w:tab w:leader="none" w:pos="12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9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appreciated by 2.4% in fiscal 2018, depreciated by 3.7% in fiscal 2019 and depreciated by 2.9% in fiscal 2020,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9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has been no default of any indebtedness nor is there any arrearage in the payment of dividends.</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MATERIAL MODIFICATIONS TO THE RIGHTS OF SECURITY HOLDERS AND USE OF PROCEEDS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4"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Our management, with the participation of our Chief Executive Officer and Acting Chief Financial Officer, has performed an evaluation of the effectiveness of the design and operation of our “disclosure controls and procedures” (as defined in the Securities Exchange Act of 1934 (“Exchange Act”) Rules 13a-15(e) or 15d-15(e)) as of June 30, 2019 as required by paragraph (b) of Exchange Act Rules 13a-15 or 15d-15.</w:t>
      </w:r>
    </w:p>
    <w:p>
      <w:pPr>
        <w:spacing w:after="0" w:line="167"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Based on that evaluation, management, including our Chief Executive Officer and Acting Chief Financial Officer, has concluded as of June 30, 2020,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Acting Chief Financial Officer,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under the supervision of our Chief Executive Officer and Acting Chief Financial Officer to provide reasonable assurance regarding the reliability of financial reporting and the preparation of our consolidated financial statements for external reporting purposes in accordance with U.S. generally accepted accounting principles.</w:t>
      </w:r>
    </w:p>
    <w:p>
      <w:pPr>
        <w:spacing w:after="0" w:line="188"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Management assessed the effectiveness of our internal control over financial reporting as of June 30, 2020.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During our preparation of the financial statements for the fiscal year ended June 30, 2018, we identified one material weakness in internal control over financial reporting, which was we lacked the necessary controls and procedures that need to be in place to monitor, capture, report and disclose certain subsequent events. In order to address the matter as it was identified, we immediately designated a “point” person within the Company’s accounting and finance reporting structure to whom all information relating to material transactions after the balance sheet closing date was and continues to be reported to ensure that such information is then properly and timely disclosed in the Company’s consolidated financial statements. We concluded that the material weakness was remediated as of June 30, 2019.</w:t>
      </w:r>
    </w:p>
    <w:p>
      <w:pPr>
        <w:spacing w:after="0" w:line="19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During the year ended June 30, 2019, we identified another material weakness in internal control over financial reporting, which is that the Company lacks sufficient financial accounting and reporting personnel with requisite knowledge and experience in the application of the United States generally accepted accounting principles (“U.S. GAAP”) and Securities and Exchange Commission (“SEC”) rules and lacks sufficient controls and procedures that are commensurate with U.S. GAAP and SEC reporting requirements.</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To remediate our identified material weakness and improve our internal control over financial reporting, we have implemented a number of measures to address the material weakness. These measures include the following:</w:t>
      </w:r>
    </w:p>
    <w:p>
      <w:pPr>
        <w:spacing w:after="0" w:line="175" w:lineRule="exact"/>
        <w:rPr>
          <w:sz w:val="20"/>
          <w:szCs w:val="20"/>
          <w:color w:val="auto"/>
        </w:rPr>
      </w:pPr>
    </w:p>
    <w:p>
      <w:pPr>
        <w:ind w:left="960" w:hanging="313"/>
        <w:spacing w:after="0" w:line="270"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hired additional qualified accounting and financial reporting personal with U.S. GAAP and SEC reporting experience to strengthen our financial reporting capability;</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sent our accounting and financial reporting personnel to continuous training and education in the accounting and reporting requirements under U.S. GAAP, and SEC rules and regulations;</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developed, communicated and implemented an accounting policy manual for its accounting and financial reporting personnel for recurring transactions and period-end closing processes;</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established effective monitoring and oversight controls for non-recurring and complex transactions to ensure the accuracy and completeness of the Company’s consolidated financial statements and related disclosures</w:t>
      </w:r>
    </w:p>
    <w:p>
      <w:pPr>
        <w:spacing w:after="0" w:line="175" w:lineRule="exact"/>
        <w:rPr>
          <w:sz w:val="20"/>
          <w:szCs w:val="20"/>
          <w:color w:val="auto"/>
        </w:rPr>
      </w:pPr>
    </w:p>
    <w:p>
      <w:pPr>
        <w:ind w:firstLine="640"/>
        <w:spacing w:after="0" w:line="300" w:lineRule="auto"/>
        <w:rPr>
          <w:sz w:val="20"/>
          <w:szCs w:val="20"/>
          <w:color w:val="auto"/>
        </w:rPr>
      </w:pPr>
      <w:r>
        <w:rPr>
          <w:rFonts w:ascii="Arial" w:cs="Arial" w:eastAsia="Arial" w:hAnsi="Arial"/>
          <w:sz w:val="17"/>
          <w:szCs w:val="17"/>
          <w:color w:val="auto"/>
        </w:rPr>
        <w:t>As of June 30, 2020, based on an assessment performed by our management on the performance of the remediation measures described above, we determined that the material weakness previously identified in our internal control over financial reporting had been remediated.</w:t>
      </w:r>
    </w:p>
    <w:p>
      <w:pPr>
        <w:spacing w:after="0" w:line="152"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during the year ended June 30, 2020, that have materially affected, or are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6" w:name="page107"/>
    <w:bookmarkEnd w:id="106"/>
    <w:p>
      <w:pPr>
        <w:spacing w:after="0"/>
        <w:tabs>
          <w:tab w:leader="none" w:pos="12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Board of Directors has determined that Jin He Shao is an audit committee financial expert as that term is defined in Item 16A(b) of Form 20-F, and “independent” as that term is defined in the NASDAQ listing standards.</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the approximate aggregate fees for services billed by Friedman LLP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39"/>
        </w:trPr>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0"/>
        </w:trPr>
        <w:tc>
          <w:tcPr>
            <w:tcW w:w="8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3"/>
              </w:rPr>
              <w:t>USD’000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3"/>
              </w:rPr>
              <w:t>USD’000</w:t>
            </w:r>
          </w:p>
        </w:tc>
        <w:tc>
          <w:tcPr>
            <w:tcW w:w="100" w:type="dxa"/>
            <w:vAlign w:val="bottom"/>
            <w:tcBorders>
              <w:bottom w:val="single" w:sz="8" w:color="CCEEFF"/>
            </w:tcBorders>
          </w:tcPr>
          <w:p>
            <w:pPr>
              <w:spacing w:after="0"/>
              <w:rPr>
                <w:sz w:val="19"/>
                <w:szCs w:val="19"/>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Ernst &amp; Young Hua Ming LLP (“EY”) has been appointed as the successor auditor, effective from December 21, 2018. The appointment of EY as the successor auditor has been approved by the chair of the Audit Committee of the Company’s Board of Directors.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represents the approximate aggregate fees for services billed by Ernst &amp; Young Hua Ming LLP for the period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39"/>
        </w:trPr>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0"/>
        </w:trPr>
        <w:tc>
          <w:tcPr>
            <w:tcW w:w="8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3"/>
              </w:rPr>
              <w:t>USD’000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3"/>
              </w:rPr>
              <w:t>USD’000</w:t>
            </w:r>
          </w:p>
        </w:tc>
        <w:tc>
          <w:tcPr>
            <w:tcW w:w="100" w:type="dxa"/>
            <w:vAlign w:val="bottom"/>
            <w:tcBorders>
              <w:bottom w:val="single" w:sz="8" w:color="CCEEFF"/>
            </w:tcBorders>
          </w:tcPr>
          <w:p>
            <w:pPr>
              <w:spacing w:after="0"/>
              <w:rPr>
                <w:sz w:val="19"/>
                <w:szCs w:val="19"/>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Audit Committee evaluated and approved in advance the scope and cost of the engagement of an auditor before the auditor rendered its audit and non-audit services.</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7" w:name="page108"/>
    <w:bookmarkEnd w:id="107"/>
    <w:p>
      <w:pPr>
        <w:spacing w:after="0"/>
        <w:tabs>
          <w:tab w:leader="none" w:pos="12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4" w:lineRule="exact"/>
        <w:rPr>
          <w:sz w:val="20"/>
          <w:szCs w:val="20"/>
          <w:color w:val="auto"/>
        </w:rPr>
      </w:pPr>
    </w:p>
    <w:p>
      <w:pPr>
        <w:jc w:val="center"/>
        <w:ind w:right="4920"/>
        <w:spacing w:after="0"/>
        <w:rPr>
          <w:sz w:val="20"/>
          <w:szCs w:val="20"/>
          <w:color w:val="auto"/>
        </w:rPr>
      </w:pPr>
      <w:r>
        <w:rPr>
          <w:rFonts w:ascii="Arial" w:cs="Arial" w:eastAsia="Arial" w:hAnsi="Arial"/>
          <w:sz w:val="18"/>
          <w:szCs w:val="18"/>
          <w:color w:val="auto"/>
        </w:rPr>
        <w:t>No purchase of our securities was made by us or our affiliates in 2020.</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7"/>
          <w:szCs w:val="17"/>
          <w:b w:val="1"/>
          <w:bCs w:val="1"/>
          <w:color w:val="auto"/>
        </w:rPr>
        <w:t>CHANGES IN REGISTRANT’S CERTIFYING ACCOUNTANT.</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December 21, 2018, Friedman LLP was dismissed as our independent registered public accounting firm (“Friedman”), effective as of the same date. Effective from December 21, 2018, we engaged Ernst &amp; Young Hua Ming LLP as our independent registered public accounting firm. The change of our independent registered public accounting firm was approved by the audit committee of our board on December 10, 2018. The decision was not made due to any disagreements between the Company and Friedman.</w:t>
      </w:r>
    </w:p>
    <w:p>
      <w:pPr>
        <w:spacing w:after="0" w:line="188"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The reports of Friedman on the Company’s consolidated financial statements as of June 30, 2018 and for the fiscal years ended June 30, 2018, did not contain an adverse opinion or a disclaimer of opinion and were not qualified or modified as to uncertainty, audit scope or accounting principle.</w:t>
      </w:r>
    </w:p>
    <w:p>
      <w:pPr>
        <w:spacing w:after="0" w:line="13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During the fiscal year ended June 30, 2018 and the subsequent interim period through December 5, 2018, there were no (i) disagreements between us and Friedman on any matter of accounting principles or practices, financial statement disclosure, or auditing scope or procedure, which disagreements if not resolved to the satisfaction of Friedman would have caused them to make reference thereto in their reports on the consolidated financial statements for such years, or (ii) reportable events as defined in Form 20-F Item 16F (a)(1)(v) other than the material weakness reported in our 2018 annual report on Form 20-F filed with the U.S. Securities and Exchange of Commission on September 25, 2018. Specifically, the material weaknesses identified as of June 30, 2018 were as follows:</w:t>
      </w:r>
    </w:p>
    <w:p>
      <w:pPr>
        <w:spacing w:after="0" w:line="190"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The material weakness related to the Company’s lack of controls and procedures in place to monitor, capture, report and disclose subsequent events that occurred after the balance sheet date, specifically relating to certain revolving credit facilities that were put in place by the Company following such date.</w:t>
      </w:r>
    </w:p>
    <w:p>
      <w:pPr>
        <w:spacing w:after="0" w:line="13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provided Friedman with a copy of the disclosures from the first paragraph to the fourth paragraph under this Item 16F and Friedman agreed with such disclosures.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During the year ended June 30, 2018 and the subsequent interim period through December 21, 2018, neither we nor anyone on behalf of us has consulted with Ernst &amp; Young Hua Ming LLP regarding (i) the application of accounting principles to a specific transaction, either completed or proposed, or the type of audit opinion that might be rendered on our consolidated financial statements, and neither a written report nor oral advice was provided to us that Ernst &amp; Young Hua Ming LLP concluded was an important factor considered by us in reaching a decision as to any accounting, auditing, or financial reporting issue, (ii) any matter that was the subject of a disagreement pursuant to Item 16F(a)(1)(iv) of the instructions to Form 20-F, or (iii) any reportable event pursuant to Item 16F(a)(1)(v) of the instructions to Form 20-F.</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7"/>
          <w:szCs w:val="17"/>
          <w:b w:val="1"/>
          <w:bCs w:val="1"/>
          <w:color w:val="auto"/>
        </w:rPr>
        <w:t>MINE SAFETY DISCLOSURE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ind w:left="5260"/>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financial statements are filed as part of this Annual Report beginning on page F-1.</w:t>
      </w: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YEARS ENDED JUNE 30, 2020, 2019 AND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10120" w:type="dxa"/>
            <w:vAlign w:val="bottom"/>
          </w:tcPr>
          <w:p>
            <w:pPr>
              <w:ind w:left="4600"/>
              <w:spacing w:after="0"/>
              <w:rPr>
                <w:sz w:val="20"/>
                <w:szCs w:val="20"/>
                <w:color w:val="auto"/>
              </w:rPr>
            </w:pPr>
            <w:r>
              <w:rPr>
                <w:rFonts w:ascii="Arial" w:cs="Arial" w:eastAsia="Arial" w:hAnsi="Arial"/>
                <w:sz w:val="18"/>
                <w:szCs w:val="18"/>
                <w:b w:val="1"/>
                <w:bCs w:val="1"/>
                <w:color w:val="auto"/>
              </w:rPr>
              <w:t>CLPS INCORPORATION</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12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01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6"/>
        </w:trPr>
        <w:tc>
          <w:tcPr>
            <w:tcW w:w="10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Report of Independent Registered Public Accounting Firm</w:t>
              </w:r>
            </w:hyperlink>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3"/>
        </w:trPr>
        <w:tc>
          <w:tcPr>
            <w:tcW w:w="1012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Report of Independent Registered Public Accounting Firm</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3"/>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Consolidated Balance Sheets as of June 30, 2020 and 2019</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F-5</w:t>
            </w:r>
          </w:p>
        </w:tc>
        <w:tc>
          <w:tcPr>
            <w:tcW w:w="0" w:type="dxa"/>
            <w:vAlign w:val="bottom"/>
          </w:tcPr>
          <w:p>
            <w:pPr>
              <w:spacing w:after="0"/>
              <w:rPr>
                <w:sz w:val="1"/>
                <w:szCs w:val="1"/>
                <w:color w:val="auto"/>
              </w:rPr>
            </w:pPr>
          </w:p>
        </w:tc>
      </w:tr>
      <w:tr>
        <w:trPr>
          <w:trHeight w:val="213"/>
        </w:trPr>
        <w:tc>
          <w:tcPr>
            <w:tcW w:w="1012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Comprehensive (Loss) Income for the Years Ended June 30, 2020, 2019 and 2018</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3"/>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Consolidated Statements of Changes in Shareholders’ Equity for the Years Ended June 30, 2020, 2019 and 2018</w:t>
              </w:r>
            </w:hyperlink>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3"/>
        </w:trPr>
        <w:tc>
          <w:tcPr>
            <w:tcW w:w="1012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Consolidated Statements of Cash Flows for the Years Ended June 30, 2020, 2019 and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F-8</w:t>
            </w:r>
          </w:p>
        </w:tc>
        <w:tc>
          <w:tcPr>
            <w:tcW w:w="620" w:type="dxa"/>
            <w:vAlign w:val="bottom"/>
          </w:tcPr>
          <w:p>
            <w:pPr>
              <w:ind w:left="20"/>
              <w:spacing w:after="0"/>
              <w:rPr>
                <w:sz w:val="20"/>
                <w:szCs w:val="20"/>
                <w:color w:val="auto"/>
              </w:rPr>
            </w:pPr>
            <w:r>
              <w:rPr>
                <w:rFonts w:ascii="Arial" w:cs="Arial" w:eastAsia="Arial" w:hAnsi="Arial"/>
                <w:sz w:val="18"/>
                <w:szCs w:val="18"/>
                <w:color w:val="auto"/>
              </w:rPr>
              <w:t>– F-9</w:t>
            </w:r>
          </w:p>
        </w:tc>
        <w:tc>
          <w:tcPr>
            <w:tcW w:w="0" w:type="dxa"/>
            <w:vAlign w:val="bottom"/>
          </w:tcPr>
          <w:p>
            <w:pPr>
              <w:spacing w:after="0"/>
              <w:rPr>
                <w:sz w:val="1"/>
                <w:szCs w:val="1"/>
                <w:color w:val="auto"/>
              </w:rPr>
            </w:pPr>
          </w:p>
        </w:tc>
      </w:tr>
      <w:tr>
        <w:trPr>
          <w:trHeight w:val="213"/>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Notes to Consolidated Financial Statements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F-10</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CLPS Incorporation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CLPS Incorporation (the “Company”) as of June 30, 2020 and 2019, the related consolidated statements of comprehensive income (loss), changes in shareholders’ equity and cash flows for each of the two years in the period ended June 30, 2020, and the related notes (collectively referred to as the “consolidated financial statements”). In our opinion, the consolidated financial statements present fairly, in all material respects, the financial position of the Company at June 30, 2020 and 2019, and the results of its operations and its cash flows for each of the two years in the period ended June 30, 2020,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October 22,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3168650" cy="559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3168650" cy="559435"/>
                    </a:xfrm>
                    <a:prstGeom prst="rect">
                      <a:avLst/>
                    </a:prstGeom>
                    <a:noFill/>
                  </pic:spPr>
                </pic:pic>
              </a:graphicData>
            </a:graphic>
          </wp:anchor>
        </w:drawing>
      </w:r>
    </w:p>
    <w:p>
      <w:pPr>
        <w:spacing w:after="0" w:line="35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audited the accompanying consolidated balance sheets of CLPS Incorporation and Subsidiaries (collectively, the “Company”) as of June 30, 2018 and 2017, and the related consolidated statements of income and comprehensive income, changes in shareholders’ equity and cash flows for each of the years in the three-year period ended June 30, 2018, and the related notes (collectively referred to as the financial statements). In our opinion, the consolidated financial statements referred to above present fairly, in all material respects, the financial position of CLPS Incorporation and Subsidiaries as of June 30, 2018 and 2017, and the results of their operations and their cash flows for each of the years in the three-year period ended June 30, 2018,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7"/>
          </w:tcPr>
          <w:p>
            <w:pPr>
              <w:ind w:left="48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7540" w:type="dxa"/>
            <w:vAlign w:val="bottom"/>
          </w:tcPr>
          <w:p>
            <w:pPr>
              <w:spacing w:after="0"/>
              <w:rPr>
                <w:sz w:val="20"/>
                <w:szCs w:val="20"/>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9"/>
        </w:trPr>
        <w:tc>
          <w:tcPr>
            <w:tcW w:w="7540" w:type="dxa"/>
            <w:vAlign w:val="bottom"/>
          </w:tcPr>
          <w:p>
            <w:pPr>
              <w:spacing w:after="0" w:line="199" w:lineRule="exact"/>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12,652,120</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6,601,335</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636,934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1,791,697</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25,753,856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19,263,584</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Escrow receivable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1,280,967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1,028,154</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Prepaid income tax</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15,780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630,790</w:t>
            </w:r>
          </w:p>
        </w:tc>
        <w:tc>
          <w:tcPr>
            <w:tcW w:w="80" w:type="dxa"/>
            <w:vAlign w:val="bottom"/>
          </w:tcPr>
          <w:p>
            <w:pPr>
              <w:spacing w:after="0"/>
              <w:rPr>
                <w:sz w:val="18"/>
                <w:szCs w:val="18"/>
                <w:color w:val="auto"/>
              </w:rPr>
            </w:pPr>
          </w:p>
        </w:tc>
      </w:tr>
      <w:tr>
        <w:trPr>
          <w:trHeight w:val="247"/>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169,185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230,540</w:t>
            </w:r>
          </w:p>
        </w:tc>
        <w:tc>
          <w:tcPr>
            <w:tcW w:w="80" w:type="dxa"/>
            <w:vAlign w:val="bottom"/>
            <w:shd w:val="clear" w:color="auto" w:fill="CCEEFF"/>
          </w:tcPr>
          <w:p>
            <w:pPr>
              <w:spacing w:after="0"/>
              <w:rPr>
                <w:sz w:val="21"/>
                <w:szCs w:val="21"/>
                <w:color w:val="auto"/>
              </w:rPr>
            </w:pPr>
          </w:p>
        </w:tc>
      </w:tr>
      <w:tr>
        <w:trPr>
          <w:trHeight w:val="200"/>
        </w:trPr>
        <w:tc>
          <w:tcPr>
            <w:tcW w:w="75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Total Current Assets</w:t>
            </w: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40,508,842</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29,746,100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3"/>
        </w:trPr>
        <w:tc>
          <w:tcPr>
            <w:tcW w:w="7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452,472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566,591</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1,144,579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427,769</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2,118,700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447,790</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680,131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914,006</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244,387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222,507</w:t>
            </w:r>
          </w:p>
        </w:tc>
        <w:tc>
          <w:tcPr>
            <w:tcW w:w="80" w:type="dxa"/>
            <w:vAlign w:val="bottom"/>
          </w:tcPr>
          <w:p>
            <w:pPr>
              <w:spacing w:after="0"/>
              <w:rPr>
                <w:sz w:val="18"/>
                <w:szCs w:val="18"/>
                <w:color w:val="auto"/>
              </w:rPr>
            </w:pPr>
          </w:p>
        </w:tc>
      </w:tr>
      <w:tr>
        <w:trPr>
          <w:trHeight w:val="247"/>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203,247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4"/>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rPr>
                <w:sz w:val="23"/>
                <w:szCs w:val="23"/>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45,352,358</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32,662,984</w:t>
            </w:r>
          </w:p>
        </w:tc>
        <w:tc>
          <w:tcPr>
            <w:tcW w:w="80" w:type="dxa"/>
            <w:vAlign w:val="bottom"/>
          </w:tcPr>
          <w:p>
            <w:pPr>
              <w:spacing w:after="0"/>
              <w:rPr>
                <w:sz w:val="23"/>
                <w:szCs w:val="23"/>
                <w:color w:val="auto"/>
              </w:rPr>
            </w:pPr>
          </w:p>
        </w:tc>
      </w:tr>
      <w:tr>
        <w:trPr>
          <w:trHeight w:val="213"/>
        </w:trPr>
        <w:tc>
          <w:tcPr>
            <w:tcW w:w="7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Short-term bank loans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2,161,239</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2,184,996</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489,043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196,832</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Tax payables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1,426,614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915,629</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109,250</w:t>
            </w:r>
          </w:p>
        </w:tc>
        <w:tc>
          <w:tcPr>
            <w:tcW w:w="8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Deferred revenues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124,192</w:t>
            </w: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755,178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11,522,268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7,735,487</w:t>
            </w:r>
          </w:p>
        </w:tc>
        <w:tc>
          <w:tcPr>
            <w:tcW w:w="80" w:type="dxa"/>
            <w:vAlign w:val="bottom"/>
          </w:tcPr>
          <w:p>
            <w:pPr>
              <w:spacing w:after="0"/>
              <w:rPr>
                <w:sz w:val="20"/>
                <w:szCs w:val="20"/>
                <w:color w:val="auto"/>
              </w:rPr>
            </w:pPr>
          </w:p>
        </w:tc>
      </w:tr>
      <w:tr>
        <w:trPr>
          <w:trHeight w:val="213"/>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16,354,342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11,266,386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7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3"/>
        </w:trPr>
        <w:tc>
          <w:tcPr>
            <w:tcW w:w="75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163,163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3"/>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Pr>
          <w:p>
            <w:pPr>
              <w:spacing w:after="0"/>
              <w:rPr>
                <w:sz w:val="20"/>
                <w:szCs w:val="20"/>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16,734,998</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11,266,386</w:t>
            </w:r>
          </w:p>
        </w:tc>
        <w:tc>
          <w:tcPr>
            <w:tcW w:w="8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754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3"/>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7540" w:type="dxa"/>
            <w:vAlign w:val="bottom"/>
          </w:tcPr>
          <w:p>
            <w:pPr>
              <w:spacing w:after="0" w:line="199" w:lineRule="exact"/>
              <w:rPr>
                <w:sz w:val="20"/>
                <w:szCs w:val="20"/>
                <w:color w:val="auto"/>
              </w:rPr>
            </w:pPr>
            <w:r>
              <w:rPr>
                <w:rFonts w:ascii="Arial" w:cs="Arial" w:eastAsia="Arial" w:hAnsi="Arial"/>
                <w:sz w:val="18"/>
                <w:szCs w:val="18"/>
                <w:color w:val="auto"/>
                <w:w w:val="95"/>
              </w:rPr>
              <w:t>Common stock, $0.0001 par value, 100,000,000 shares authorized; 15,930,330 shares issued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7540" w:type="dxa"/>
            <w:vAlign w:val="bottom"/>
          </w:tcPr>
          <w:p>
            <w:pPr>
              <w:ind w:left="180"/>
              <w:spacing w:after="0"/>
              <w:rPr>
                <w:sz w:val="20"/>
                <w:szCs w:val="20"/>
                <w:color w:val="auto"/>
              </w:rPr>
            </w:pPr>
            <w:r>
              <w:rPr>
                <w:rFonts w:ascii="Arial" w:cs="Arial" w:eastAsia="Arial" w:hAnsi="Arial"/>
                <w:sz w:val="18"/>
                <w:szCs w:val="18"/>
                <w:color w:val="auto"/>
                <w:w w:val="94"/>
              </w:rPr>
              <w:t>outstanding as of June 30, 2020; 13,913,201 shares issued and outstanding as of June 30, 2019*</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28,586,048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24,276,622</w:t>
            </w:r>
          </w:p>
        </w:tc>
        <w:tc>
          <w:tcPr>
            <w:tcW w:w="100" w:type="dxa"/>
            <w:vAlign w:val="bottom"/>
            <w:shd w:val="clear" w:color="auto" w:fill="CCEEFF"/>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8"/>
                <w:szCs w:val="18"/>
                <w:color w:val="auto"/>
              </w:rPr>
              <w:t>Statutory reserves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2,803,811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1,833,802</w:t>
            </w:r>
          </w:p>
        </w:tc>
        <w:tc>
          <w:tcPr>
            <w:tcW w:w="100" w:type="dxa"/>
            <w:vAlign w:val="bottom"/>
          </w:tcPr>
          <w:p>
            <w:pPr>
              <w:spacing w:after="0"/>
              <w:rPr>
                <w:sz w:val="18"/>
                <w:szCs w:val="18"/>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(2,680,143)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(4,509,729)</w:t>
            </w:r>
          </w:p>
        </w:tc>
      </w:tr>
      <w:tr>
        <w:trPr>
          <w:trHeight w:val="234"/>
        </w:trPr>
        <w:tc>
          <w:tcPr>
            <w:tcW w:w="7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(1,362,665)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(813,650)</w:t>
            </w:r>
          </w:p>
        </w:tc>
      </w:tr>
      <w:tr>
        <w:trPr>
          <w:trHeight w:val="213"/>
        </w:trPr>
        <w:tc>
          <w:tcPr>
            <w:tcW w:w="7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27,348,644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20,788,436</w:t>
            </w:r>
          </w:p>
        </w:tc>
        <w:tc>
          <w:tcPr>
            <w:tcW w:w="100" w:type="dxa"/>
            <w:vAlign w:val="bottom"/>
          </w:tcPr>
          <w:p>
            <w:pPr>
              <w:spacing w:after="0"/>
              <w:rPr>
                <w:sz w:val="20"/>
                <w:szCs w:val="20"/>
                <w:color w:val="auto"/>
              </w:rPr>
            </w:pPr>
          </w:p>
        </w:tc>
      </w:tr>
      <w:tr>
        <w:trPr>
          <w:trHeight w:val="213"/>
        </w:trPr>
        <w:tc>
          <w:tcPr>
            <w:tcW w:w="7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1,268,716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608,162</w:t>
            </w:r>
          </w:p>
        </w:tc>
        <w:tc>
          <w:tcPr>
            <w:tcW w:w="100" w:type="dxa"/>
            <w:vAlign w:val="bottom"/>
          </w:tcPr>
          <w:p>
            <w:pPr>
              <w:spacing w:after="0"/>
              <w:rPr>
                <w:sz w:val="20"/>
                <w:szCs w:val="20"/>
                <w:color w:val="auto"/>
              </w:rPr>
            </w:pPr>
          </w:p>
        </w:tc>
      </w:tr>
      <w:tr>
        <w:trPr>
          <w:trHeight w:val="213"/>
        </w:trPr>
        <w:tc>
          <w:tcPr>
            <w:tcW w:w="7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28,617,360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21,396,598</w:t>
            </w:r>
          </w:p>
        </w:tc>
        <w:tc>
          <w:tcPr>
            <w:tcW w:w="100" w:type="dxa"/>
            <w:vAlign w:val="bottom"/>
          </w:tcPr>
          <w:p>
            <w:pPr>
              <w:spacing w:after="0"/>
              <w:rPr>
                <w:sz w:val="20"/>
                <w:szCs w:val="20"/>
                <w:color w:val="auto"/>
              </w:rPr>
            </w:pPr>
          </w:p>
        </w:tc>
      </w:tr>
      <w:tr>
        <w:trPr>
          <w:trHeight w:val="213"/>
        </w:trPr>
        <w:tc>
          <w:tcPr>
            <w:tcW w:w="7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0"/>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45,352,358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32,662,984</w:t>
            </w:r>
          </w:p>
        </w:tc>
        <w:tc>
          <w:tcPr>
            <w:tcW w:w="10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 (Note 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9"/>
          </w:tcPr>
          <w:p>
            <w:pPr>
              <w:jc w:val="right"/>
              <w:ind w:right="92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89,415,798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64,932,937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48,938,593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Less: Cost of revenues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(58,296,097)</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(41,178,356)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(31,277,255)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31,119,701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Selling and marketing expenses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2"/>
              <w:spacing w:after="0"/>
              <w:rPr>
                <w:sz w:val="20"/>
                <w:szCs w:val="20"/>
                <w:color w:val="auto"/>
              </w:rPr>
            </w:pPr>
            <w:r>
              <w:rPr>
                <w:rFonts w:ascii="Arial" w:cs="Arial" w:eastAsia="Arial" w:hAnsi="Arial"/>
                <w:sz w:val="18"/>
                <w:szCs w:val="18"/>
                <w:color w:val="auto"/>
              </w:rPr>
              <w:t>3,059,877</w:t>
            </w:r>
          </w:p>
        </w:tc>
        <w:tc>
          <w:tcPr>
            <w:tcW w:w="180" w:type="dxa"/>
            <w:vAlign w:val="bottom"/>
          </w:tcPr>
          <w:p>
            <w:pPr>
              <w:spacing w:after="0"/>
              <w:rPr>
                <w:sz w:val="18"/>
                <w:szCs w:val="18"/>
                <w:color w:val="auto"/>
              </w:rPr>
            </w:pPr>
          </w:p>
        </w:tc>
        <w:tc>
          <w:tcPr>
            <w:tcW w:w="1060" w:type="dxa"/>
            <w:vAlign w:val="bottom"/>
            <w:gridSpan w:val="2"/>
          </w:tcPr>
          <w:p>
            <w:pPr>
              <w:jc w:val="right"/>
              <w:ind w:right="42"/>
              <w:spacing w:after="0"/>
              <w:rPr>
                <w:sz w:val="20"/>
                <w:szCs w:val="20"/>
                <w:color w:val="auto"/>
              </w:rPr>
            </w:pPr>
            <w:r>
              <w:rPr>
                <w:rFonts w:ascii="Arial" w:cs="Arial" w:eastAsia="Arial" w:hAnsi="Arial"/>
                <w:sz w:val="18"/>
                <w:szCs w:val="18"/>
                <w:color w:val="auto"/>
              </w:rPr>
              <w:t>2,179,029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2,225,702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10,436,975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7,978,883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7,837,873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2"/>
              <w:spacing w:after="0"/>
              <w:rPr>
                <w:sz w:val="20"/>
                <w:szCs w:val="20"/>
                <w:color w:val="auto"/>
              </w:rPr>
            </w:pPr>
            <w:r>
              <w:rPr>
                <w:rFonts w:ascii="Arial" w:cs="Arial" w:eastAsia="Arial" w:hAnsi="Arial"/>
                <w:sz w:val="18"/>
                <w:szCs w:val="18"/>
                <w:color w:val="auto"/>
              </w:rPr>
              <w:t>16,343,936</w:t>
            </w:r>
          </w:p>
        </w:tc>
        <w:tc>
          <w:tcPr>
            <w:tcW w:w="180" w:type="dxa"/>
            <w:vAlign w:val="bottom"/>
          </w:tcPr>
          <w:p>
            <w:pPr>
              <w:spacing w:after="0"/>
              <w:rPr>
                <w:sz w:val="18"/>
                <w:szCs w:val="18"/>
                <w:color w:val="auto"/>
              </w:rPr>
            </w:pPr>
          </w:p>
        </w:tc>
        <w:tc>
          <w:tcPr>
            <w:tcW w:w="1060" w:type="dxa"/>
            <w:vAlign w:val="bottom"/>
            <w:gridSpan w:val="2"/>
          </w:tcPr>
          <w:p>
            <w:pPr>
              <w:jc w:val="right"/>
              <w:ind w:right="42"/>
              <w:spacing w:after="0"/>
              <w:rPr>
                <w:sz w:val="20"/>
                <w:szCs w:val="20"/>
                <w:color w:val="auto"/>
              </w:rPr>
            </w:pPr>
            <w:r>
              <w:rPr>
                <w:rFonts w:ascii="Arial" w:cs="Arial" w:eastAsia="Arial" w:hAnsi="Arial"/>
                <w:sz w:val="18"/>
                <w:szCs w:val="18"/>
                <w:color w:val="auto"/>
              </w:rPr>
              <w:t>17,384,393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29,840,788</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27,542,305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from operations</w:t>
            </w: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1,278,913</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(3,787,724)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1,726,141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2,535,868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779,508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960,784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expenses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2"/>
              <w:spacing w:after="0"/>
              <w:rPr>
                <w:sz w:val="20"/>
                <w:szCs w:val="20"/>
                <w:color w:val="auto"/>
              </w:rPr>
            </w:pPr>
            <w:r>
              <w:rPr>
                <w:rFonts w:ascii="Arial" w:cs="Arial" w:eastAsia="Arial" w:hAnsi="Arial"/>
                <w:sz w:val="18"/>
                <w:szCs w:val="18"/>
                <w:color w:val="auto"/>
              </w:rPr>
              <w:t>(107,322)</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8"/>
              </w:rPr>
              <w:t>Income (loss) before income tax and share of income (loss) in equity investees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2"/>
              <w:spacing w:after="0"/>
              <w:rPr>
                <w:sz w:val="20"/>
                <w:szCs w:val="20"/>
                <w:color w:val="auto"/>
              </w:rPr>
            </w:pPr>
            <w:r>
              <w:rPr>
                <w:rFonts w:ascii="Arial" w:cs="Arial" w:eastAsia="Arial" w:hAnsi="Arial"/>
                <w:sz w:val="18"/>
                <w:szCs w:val="18"/>
                <w:color w:val="auto"/>
              </w:rPr>
              <w:t>3,707,459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(3,100,645)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(benefits) for income taxes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835,444</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186,615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before share of income (loss) in equity investees</w:t>
            </w: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2,872,015</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(3,287,260)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2,714,898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Share of income (loss) in equity investees, net of tax</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207,363</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3,079,378</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(3,432,589)</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2,714,898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141,139</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 attributable to CLPS Incorporation’s shareholders</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6200" w:type="dxa"/>
            <w:vAlign w:val="bottom"/>
            <w:vMerge w:val="continue"/>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2"/>
              <w:spacing w:after="0"/>
              <w:rPr>
                <w:sz w:val="20"/>
                <w:szCs w:val="20"/>
                <w:color w:val="auto"/>
              </w:rPr>
            </w:pPr>
            <w:r>
              <w:rPr>
                <w:rFonts w:ascii="Arial" w:cs="Arial" w:eastAsia="Arial" w:hAnsi="Arial"/>
                <w:sz w:val="18"/>
                <w:szCs w:val="18"/>
                <w:b w:val="1"/>
                <w:bCs w:val="1"/>
                <w:color w:val="auto"/>
              </w:rPr>
              <w:t>2,938,239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(3,269,776</w:t>
            </w:r>
          </w:p>
        </w:tc>
        <w:tc>
          <w:tcPr>
            <w:tcW w:w="120" w:type="dxa"/>
            <w:vAlign w:val="bottom"/>
            <w:vMerge w:val="continue"/>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2,434,463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(loss) gain</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(571,943)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tcPr>
          <w:p>
            <w:pPr>
              <w:ind w:left="140"/>
              <w:spacing w:after="0" w:line="199" w:lineRule="exact"/>
              <w:rPr>
                <w:sz w:val="20"/>
                <w:szCs w:val="20"/>
                <w:color w:val="auto"/>
              </w:rPr>
            </w:pPr>
            <w:r>
              <w:rPr>
                <w:rFonts w:ascii="Arial" w:cs="Arial" w:eastAsia="Arial" w:hAnsi="Arial"/>
                <w:sz w:val="18"/>
                <w:szCs w:val="18"/>
                <w:color w:val="auto"/>
              </w:rPr>
              <w:t>Less: foreign currency translation (loss) gain attributable to non-controlling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interests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2"/>
              <w:spacing w:after="0"/>
              <w:rPr>
                <w:sz w:val="20"/>
                <w:szCs w:val="20"/>
                <w:color w:val="auto"/>
              </w:rPr>
            </w:pPr>
            <w:r>
              <w:rPr>
                <w:rFonts w:ascii="Arial" w:cs="Arial" w:eastAsia="Arial" w:hAnsi="Arial"/>
                <w:sz w:val="18"/>
                <w:szCs w:val="18"/>
                <w:color w:val="auto"/>
              </w:rPr>
              <w:t>(22,928)</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1"/>
              </w:rPr>
              <w:t>Other comprehensive (loss) gain attributable to CLPS Incorporation’s shareholders</w:t>
            </w: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(549,015</w:t>
            </w:r>
          </w:p>
        </w:tc>
        <w:tc>
          <w:tcPr>
            <w:tcW w:w="2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(411,973</w:t>
            </w:r>
          </w:p>
        </w:tc>
        <w:tc>
          <w:tcPr>
            <w:tcW w:w="12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9"/>
              </w:rPr>
              <w:t>Comprehensive income (loss) attributable to CLPS Incorporation shareholders</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2,389,224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(3,681,749)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2"/>
              <w:spacing w:after="0"/>
              <w:rPr>
                <w:sz w:val="20"/>
                <w:szCs w:val="20"/>
                <w:color w:val="auto"/>
              </w:rPr>
            </w:pPr>
            <w:r>
              <w:rPr>
                <w:rFonts w:ascii="Arial" w:cs="Arial" w:eastAsia="Arial" w:hAnsi="Arial"/>
                <w:sz w:val="18"/>
                <w:szCs w:val="18"/>
                <w:color w:val="auto"/>
              </w:rPr>
              <w:t>118,211</w:t>
            </w: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(180,188)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2,507,435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(3,861,937</w:t>
            </w:r>
          </w:p>
        </w:tc>
        <w:tc>
          <w:tcPr>
            <w:tcW w:w="12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2,770,691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3"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200" w:type="dxa"/>
            <w:vAlign w:val="bottom"/>
            <w:tcBorders>
              <w:bottom w:val="single" w:sz="8" w:color="CCEEFF"/>
            </w:tcBorders>
            <w:vMerge w:val="continue"/>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14,689,224</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13,843,764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11,517,123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18"/>
                <w:szCs w:val="18"/>
                <w:color w:val="auto"/>
              </w:rPr>
              <w:t>Diluted earnings (loss) per common share*</w:t>
            </w:r>
          </w:p>
        </w:tc>
        <w:tc>
          <w:tcPr>
            <w:tcW w:w="1020" w:type="dxa"/>
            <w:vAlign w:val="bottom"/>
            <w:tcBorders>
              <w:bottom w:val="single" w:sz="8" w:color="CCEEFF"/>
            </w:tcBorders>
            <w:shd w:val="clear" w:color="auto" w:fill="CCEEFF"/>
          </w:tcPr>
          <w:p>
            <w:pPr>
              <w:jc w:val="center"/>
              <w:spacing w:after="0" w:line="187" w:lineRule="exact"/>
              <w:rPr>
                <w:sz w:val="20"/>
                <w:szCs w:val="20"/>
                <w:color w:val="auto"/>
              </w:rPr>
            </w:pPr>
            <w:r>
              <w:rPr>
                <w:rFonts w:ascii="Arial" w:cs="Arial" w:eastAsia="Arial" w:hAnsi="Arial"/>
                <w:sz w:val="18"/>
                <w:szCs w:val="18"/>
                <w:color w:val="auto"/>
                <w:w w:val="89"/>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14,692,299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13,843,764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11,636,367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 (Note 19).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12700</wp:posOffset>
            </wp:positionV>
            <wp:extent cx="71342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895"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2020, 2019 AND 2018</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rPr>
              <w:t>Common Share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Non-</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5"/>
            <w:vMerge w:val="continue"/>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Statutory</w:t>
            </w:r>
          </w:p>
        </w:tc>
        <w:tc>
          <w:tcPr>
            <w:tcW w:w="1280" w:type="dxa"/>
            <w:vAlign w:val="bottom"/>
            <w:gridSpan w:val="3"/>
          </w:tcPr>
          <w:p>
            <w:pPr>
              <w:jc w:val="right"/>
              <w:ind w:right="102"/>
              <w:spacing w:after="0"/>
              <w:rPr>
                <w:sz w:val="20"/>
                <w:szCs w:val="20"/>
                <w:color w:val="auto"/>
              </w:rPr>
            </w:pPr>
            <w:r>
              <w:rPr>
                <w:rFonts w:ascii="Arial" w:cs="Arial" w:eastAsia="Arial" w:hAnsi="Arial"/>
                <w:sz w:val="18"/>
                <w:szCs w:val="18"/>
                <w:b w:val="1"/>
                <w:bCs w:val="1"/>
                <w:color w:val="auto"/>
                <w:w w:val="95"/>
              </w:rPr>
              <w:t>Accumulated</w:t>
            </w:r>
          </w:p>
        </w:tc>
        <w:tc>
          <w:tcPr>
            <w:tcW w:w="1300" w:type="dxa"/>
            <w:vAlign w:val="bottom"/>
            <w:gridSpan w:val="3"/>
          </w:tcPr>
          <w:p>
            <w:pPr>
              <w:jc w:val="center"/>
              <w:ind w:right="42"/>
              <w:spacing w:after="0"/>
              <w:rPr>
                <w:sz w:val="20"/>
                <w:szCs w:val="20"/>
                <w:color w:val="auto"/>
              </w:rPr>
            </w:pPr>
            <w:r>
              <w:rPr>
                <w:rFonts w:ascii="Arial" w:cs="Arial" w:eastAsia="Arial" w:hAnsi="Arial"/>
                <w:sz w:val="18"/>
                <w:szCs w:val="18"/>
                <w:b w:val="1"/>
                <w:bCs w:val="1"/>
                <w:color w:val="auto"/>
                <w:w w:val="87"/>
              </w:rPr>
              <w:t>Comprehensive</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Controlling</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w:t>
            </w: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Surplus</w:t>
            </w:r>
          </w:p>
        </w:tc>
        <w:tc>
          <w:tcPr>
            <w:tcW w:w="100" w:type="dxa"/>
            <w:vAlign w:val="bottom"/>
          </w:tcPr>
          <w:p>
            <w:pPr>
              <w:spacing w:after="0"/>
              <w:rPr>
                <w:sz w:val="20"/>
                <w:szCs w:val="20"/>
                <w:color w:val="auto"/>
              </w:rPr>
            </w:pPr>
          </w:p>
        </w:tc>
        <w:tc>
          <w:tcPr>
            <w:tcW w:w="1180" w:type="dxa"/>
            <w:vAlign w:val="bottom"/>
            <w:gridSpan w:val="2"/>
          </w:tcPr>
          <w:p>
            <w:pPr>
              <w:jc w:val="right"/>
              <w:ind w:right="322"/>
              <w:spacing w:after="0"/>
              <w:rPr>
                <w:sz w:val="20"/>
                <w:szCs w:val="20"/>
                <w:color w:val="auto"/>
              </w:rPr>
            </w:pPr>
            <w:r>
              <w:rPr>
                <w:rFonts w:ascii="Arial" w:cs="Arial" w:eastAsia="Arial" w:hAnsi="Arial"/>
                <w:sz w:val="18"/>
                <w:szCs w:val="18"/>
                <w:b w:val="1"/>
                <w:bCs w:val="1"/>
                <w:color w:val="auto"/>
              </w:rPr>
              <w:t>Deficits</w:t>
            </w:r>
          </w:p>
        </w:tc>
        <w:tc>
          <w:tcPr>
            <w:tcW w:w="220" w:type="dxa"/>
            <w:vAlign w:val="bottom"/>
          </w:tcPr>
          <w:p>
            <w:pPr>
              <w:spacing w:after="0"/>
              <w:rPr>
                <w:sz w:val="20"/>
                <w:szCs w:val="20"/>
                <w:color w:val="auto"/>
              </w:rPr>
            </w:pPr>
          </w:p>
        </w:tc>
        <w:tc>
          <w:tcPr>
            <w:tcW w:w="108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Interests</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3"/>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7,120,943</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(2,521,285)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(447,270)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477,110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5,311,298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w w:val="99"/>
              </w:rPr>
              <w:t>Net proceeds from Initial</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60"/>
              <w:spacing w:after="0"/>
              <w:rPr>
                <w:sz w:val="20"/>
                <w:szCs w:val="20"/>
                <w:color w:val="auto"/>
              </w:rPr>
            </w:pPr>
            <w:r>
              <w:rPr>
                <w:rFonts w:ascii="Arial" w:cs="Arial" w:eastAsia="Arial" w:hAnsi="Arial"/>
                <w:sz w:val="18"/>
                <w:szCs w:val="18"/>
                <w:color w:val="auto"/>
              </w:rPr>
              <w:t>Public Offering</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60"/>
              <w:spacing w:after="0"/>
              <w:rPr>
                <w:sz w:val="20"/>
                <w:szCs w:val="20"/>
                <w:color w:val="auto"/>
              </w:rPr>
            </w:pPr>
            <w:r>
              <w:rPr>
                <w:rFonts w:ascii="Arial" w:cs="Arial" w:eastAsia="Arial" w:hAnsi="Arial"/>
                <w:sz w:val="18"/>
                <w:szCs w:val="18"/>
                <w:color w:val="auto"/>
              </w:rPr>
              <w:t>(“IPO”), net of</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issuance costs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200</w:t>
            </w:r>
          </w:p>
        </w:tc>
        <w:tc>
          <w:tcPr>
            <w:tcW w:w="920" w:type="dxa"/>
            <w:vAlign w:val="bottom"/>
          </w:tcPr>
          <w:p>
            <w:pPr>
              <w:jc w:val="right"/>
              <w:spacing w:after="0"/>
              <w:rPr>
                <w:sz w:val="20"/>
                <w:szCs w:val="20"/>
                <w:color w:val="auto"/>
              </w:rPr>
            </w:pPr>
            <w:r>
              <w:rPr>
                <w:rFonts w:ascii="Arial" w:cs="Arial" w:eastAsia="Arial" w:hAnsi="Arial"/>
                <w:sz w:val="18"/>
                <w:szCs w:val="18"/>
                <w:color w:val="auto"/>
              </w:rPr>
              <w:t>9,549,319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9,549,519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Net proceeds from over-</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allotment, net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1,472,562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IPO issuance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(362,925)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(362,925)</w:t>
            </w: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6"/>
              </w:rPr>
              <w:t>Purchase of subsidiaries’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from non-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controlling interests</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(494,356)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(91,533)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(585,889)</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Public offering warrants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612,223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612,223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Warrants issued in</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IPO</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(612,223)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(612,223)</w:t>
            </w: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w w:val="99"/>
              </w:rPr>
              <w:t>Non-controlling interests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through an acquisition</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2,434,463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280,435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2,714,898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Appropriation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statutory reserve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437,796</w:t>
            </w:r>
          </w:p>
        </w:tc>
        <w:tc>
          <w:tcPr>
            <w:tcW w:w="1280" w:type="dxa"/>
            <w:vAlign w:val="bottom"/>
            <w:gridSpan w:val="3"/>
          </w:tcPr>
          <w:p>
            <w:pPr>
              <w:jc w:val="right"/>
              <w:ind w:right="42"/>
              <w:spacing w:after="0"/>
              <w:rPr>
                <w:sz w:val="20"/>
                <w:szCs w:val="20"/>
                <w:color w:val="auto"/>
              </w:rPr>
            </w:pPr>
            <w:r>
              <w:rPr>
                <w:rFonts w:ascii="Arial" w:cs="Arial" w:eastAsia="Arial" w:hAnsi="Arial"/>
                <w:sz w:val="18"/>
                <w:szCs w:val="18"/>
                <w:color w:val="auto"/>
              </w:rPr>
              <w:t>(437,796)</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 currency</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translation adjustments</w:t>
            </w: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45,593</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5"/>
              </w:rPr>
              <w:t>Balance at June 30, 2018</w:t>
            </w: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13,590,000</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1,359</w:t>
            </w: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17,285,543</w:t>
            </w: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1,118,467</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(524,618)</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(401,677)</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676,282</w:t>
            </w: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18,155,356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Stock-based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223,821</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7,016,089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7,016,111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Exercise of warrants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99,380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Non-controlling interests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through an acquisition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64,879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Sale of subsidiaries’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60"/>
              <w:spacing w:after="0"/>
              <w:rPr>
                <w:sz w:val="20"/>
                <w:szCs w:val="20"/>
                <w:color w:val="auto"/>
              </w:rPr>
            </w:pPr>
            <w:r>
              <w:rPr>
                <w:rFonts w:ascii="Arial" w:cs="Arial" w:eastAsia="Arial" w:hAnsi="Arial"/>
                <w:sz w:val="18"/>
                <w:szCs w:val="18"/>
                <w:color w:val="auto"/>
              </w:rPr>
              <w:t>shares to non-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controlling interests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47,189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(3,269,776)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(162,813)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(3,432,589)</w:t>
            </w: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Appropriation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statutory reserve</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715,335</w:t>
            </w:r>
          </w:p>
        </w:tc>
        <w:tc>
          <w:tcPr>
            <w:tcW w:w="1280" w:type="dxa"/>
            <w:vAlign w:val="bottom"/>
            <w:gridSpan w:val="3"/>
          </w:tcPr>
          <w:p>
            <w:pPr>
              <w:jc w:val="right"/>
              <w:ind w:right="42"/>
              <w:spacing w:after="0"/>
              <w:rPr>
                <w:sz w:val="20"/>
                <w:szCs w:val="20"/>
                <w:color w:val="auto"/>
              </w:rPr>
            </w:pPr>
            <w:r>
              <w:rPr>
                <w:rFonts w:ascii="Arial" w:cs="Arial" w:eastAsia="Arial" w:hAnsi="Arial"/>
                <w:sz w:val="18"/>
                <w:szCs w:val="18"/>
                <w:color w:val="auto"/>
              </w:rPr>
              <w:t>(715,335)</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 currency</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translation adjustments</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(411,973)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(17,375)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(429,348)</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3"/>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2019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13,913,201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24,276,622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1,833,802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(4,509,729)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(813,650)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608,162</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21,396,598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Cumulative effect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adopting ASC 606</w:t>
            </w:r>
          </w:p>
        </w:tc>
        <w:tc>
          <w:tcPr>
            <w:tcW w:w="480" w:type="dxa"/>
            <w:vAlign w:val="bottom"/>
          </w:tcPr>
          <w:p>
            <w:pPr>
              <w:jc w:val="center"/>
              <w:ind w:right="91"/>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3"/>
          </w:tcPr>
          <w:p>
            <w:pPr>
              <w:jc w:val="right"/>
              <w:ind w:right="42"/>
              <w:spacing w:after="0"/>
              <w:rPr>
                <w:sz w:val="20"/>
                <w:szCs w:val="20"/>
                <w:color w:val="auto"/>
              </w:rPr>
            </w:pPr>
            <w:r>
              <w:rPr>
                <w:rFonts w:ascii="Arial" w:cs="Arial" w:eastAsia="Arial" w:hAnsi="Arial"/>
                <w:sz w:val="18"/>
                <w:szCs w:val="18"/>
                <w:color w:val="auto"/>
              </w:rPr>
              <w:t>(138,644)</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(138,644)</w:t>
            </w: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6"/>
              </w:rPr>
              <w:t>Purchase of subsidiaries’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from non-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controlling interests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4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89"/>
              </w:rPr>
              <w:t>19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130,992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Stock-based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w w:val="91"/>
              </w:rPr>
              <w:t>compensation expenses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4,004,080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4,004,080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5"/>
              </w:rPr>
              <w:t>Exercise of share options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vesting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1,830,514</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Acquisition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480" w:type="dxa"/>
            <w:vAlign w:val="bottom"/>
          </w:tcPr>
          <w:p>
            <w:pPr>
              <w:jc w:val="center"/>
              <w:ind w:right="91"/>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86,615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920" w:type="dxa"/>
            <w:vAlign w:val="bottom"/>
          </w:tcPr>
          <w:p>
            <w:pPr>
              <w:jc w:val="right"/>
              <w:spacing w:after="0"/>
              <w:rPr>
                <w:sz w:val="20"/>
                <w:szCs w:val="20"/>
                <w:color w:val="auto"/>
              </w:rPr>
            </w:pPr>
            <w:r>
              <w:rPr>
                <w:rFonts w:ascii="Arial" w:cs="Arial" w:eastAsia="Arial" w:hAnsi="Arial"/>
                <w:sz w:val="18"/>
                <w:szCs w:val="18"/>
                <w:color w:val="auto"/>
              </w:rPr>
              <w:t>436,531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411,351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847,891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2,938,239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141,139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3,079,378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Appropriation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60"/>
              <w:spacing w:after="0"/>
              <w:rPr>
                <w:sz w:val="20"/>
                <w:szCs w:val="20"/>
                <w:color w:val="auto"/>
              </w:rPr>
            </w:pPr>
            <w:r>
              <w:rPr>
                <w:rFonts w:ascii="Arial" w:cs="Arial" w:eastAsia="Arial" w:hAnsi="Arial"/>
                <w:sz w:val="18"/>
                <w:szCs w:val="18"/>
                <w:color w:val="auto"/>
              </w:rPr>
              <w:t>statutory reserve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970,009</w:t>
            </w:r>
          </w:p>
        </w:tc>
        <w:tc>
          <w:tcPr>
            <w:tcW w:w="1280" w:type="dxa"/>
            <w:vAlign w:val="bottom"/>
            <w:gridSpan w:val="3"/>
          </w:tcPr>
          <w:p>
            <w:pPr>
              <w:jc w:val="right"/>
              <w:ind w:right="42"/>
              <w:spacing w:after="0"/>
              <w:rPr>
                <w:sz w:val="20"/>
                <w:szCs w:val="20"/>
                <w:color w:val="auto"/>
              </w:rPr>
            </w:pPr>
            <w:r>
              <w:rPr>
                <w:rFonts w:ascii="Arial" w:cs="Arial" w:eastAsia="Arial" w:hAnsi="Arial"/>
                <w:sz w:val="18"/>
                <w:szCs w:val="18"/>
                <w:color w:val="auto"/>
              </w:rPr>
              <w:t>(970,009)</w:t>
            </w:r>
          </w:p>
        </w:tc>
        <w:tc>
          <w:tcPr>
            <w:tcW w:w="220" w:type="dxa"/>
            <w:vAlign w:val="bottom"/>
          </w:tcPr>
          <w:p>
            <w:pPr>
              <w:spacing w:after="0"/>
              <w:rPr>
                <w:sz w:val="19"/>
                <w:szCs w:val="19"/>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 currency</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translation adjustments</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(549,015)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(22,928)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(571,943)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w w:val="95"/>
              </w:rPr>
              <w:t>Balance at June 30, 2020</w:t>
            </w: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15,930,330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   1,593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28,586,048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$ 2,803,811</w:t>
            </w:r>
          </w:p>
        </w:tc>
        <w:tc>
          <w:tcPr>
            <w:tcW w:w="10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  (2,680,143</w:t>
            </w:r>
          </w:p>
        </w:tc>
        <w:tc>
          <w:tcPr>
            <w:tcW w:w="180" w:type="dxa"/>
            <w:vAlign w:val="bottom"/>
            <w:vMerge w:val="continue"/>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(1,362,665</w:t>
            </w:r>
          </w:p>
        </w:tc>
        <w:tc>
          <w:tcPr>
            <w:tcW w:w="120" w:type="dxa"/>
            <w:vAlign w:val="bottom"/>
            <w:vMerge w:val="continue"/>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6"/>
              </w:rPr>
              <w:t>$ 1,268,716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28,617,360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 (Note 19).</w:t>
      </w:r>
    </w:p>
    <w:p>
      <w:pPr>
        <w:spacing w:after="0" w:line="8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1" w:right="339" w:bottom="183"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3,079,378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(3,432,589)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2,714,898</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w w:val="93"/>
              </w:rPr>
              <w:t>Adjustments to reconcile net income (loss) to net cash provided by (used in)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7,016,089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593,173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403,700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206,169</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expenses (benefits)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100,109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(208,051)</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Remeasurement loss of the previously held equity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19,682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a long-term investment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Share of (income) loss in equity investees, net of tax</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(207,363)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145,329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8,684</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subsidiaries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Provision (reversal of) for doubtful accounts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231,133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(70,893)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96,904</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disposal of property and equipment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9,689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(6,603,589)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(9,753,685)</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Prepayment, deposits and other assets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206,054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(613,277)</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(442,498)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(33,225)</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146,362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(842,910)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592,477</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Tax payables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408,007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102,408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251,627</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subsidies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(69,241)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102,077</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Salaries and benefits payable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639,024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1,848,890</w:t>
            </w:r>
          </w:p>
        </w:tc>
        <w:tc>
          <w:tcPr>
            <w:tcW w:w="80" w:type="dxa"/>
            <w:vAlign w:val="bottom"/>
            <w:shd w:val="clear" w:color="auto" w:fill="CCEEFF"/>
          </w:tcPr>
          <w:p>
            <w:pPr>
              <w:spacing w:after="0"/>
              <w:rPr>
                <w:sz w:val="18"/>
                <w:szCs w:val="18"/>
                <w:color w:val="auto"/>
              </w:rPr>
            </w:pPr>
          </w:p>
        </w:tc>
      </w:tr>
      <w:tr>
        <w:trPr>
          <w:trHeight w:val="220"/>
        </w:trPr>
        <w:tc>
          <w:tcPr>
            <w:tcW w:w="7320" w:type="dxa"/>
            <w:vAlign w:val="bottom"/>
          </w:tcPr>
          <w:p>
            <w:pPr>
              <w:ind w:left="320"/>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194,939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5,931,124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(4,772,610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13"/>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(167,701)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(499,554)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(231,226)</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intangible assets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Payments for business acquisitions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(2,031,563)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(487,061)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(107,654)</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from acquisitions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85,999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Acquisition of long-term investments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(143,299)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(1,093,274)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(153,792)</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of a long-term investment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995,605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Disposition of subsidiaries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(65,242)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(purchases) of short-term investments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(1,803,228)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Repayments from a related party</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177,787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820,982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provided to a related party</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(177,787)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(820,982)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173,229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(3,862,360</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(492,672</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7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bank loans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3,641,661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5,659,536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Repayments of short-term bank loans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(3,896,240)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(3,918,427)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(3,060,456)</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contributions from IPO and over-allotment,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1,472,592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11,022,111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Escrow receivable</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from underwriters on the over-allotment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(1,472,592)</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Cash paid for issuance cost of IPO</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(283,092)</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non-controlling interests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(582,440)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Amounts due from related parties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to related parties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(936,338)</w:t>
            </w:r>
          </w:p>
        </w:tc>
        <w:tc>
          <w:tcPr>
            <w:tcW w:w="0" w:type="dxa"/>
            <w:vAlign w:val="bottom"/>
          </w:tcPr>
          <w:p>
            <w:pPr>
              <w:spacing w:after="0"/>
              <w:rPr>
                <w:sz w:val="1"/>
                <w:szCs w:val="1"/>
                <w:color w:val="auto"/>
              </w:rPr>
            </w:pPr>
          </w:p>
        </w:tc>
      </w:tr>
      <w:tr>
        <w:trPr>
          <w:trHeight w:val="234"/>
        </w:trPr>
        <w:tc>
          <w:tcPr>
            <w:tcW w:w="7320" w:type="dxa"/>
            <w:vAlign w:val="bottom"/>
          </w:tcPr>
          <w:p>
            <w:pPr>
              <w:ind w:left="160"/>
              <w:spacing w:after="0"/>
              <w:rPr>
                <w:sz w:val="20"/>
                <w:szCs w:val="20"/>
                <w:color w:val="auto"/>
              </w:rPr>
            </w:pPr>
            <w:r>
              <w:rPr>
                <w:rFonts w:ascii="Arial" w:cs="Arial" w:eastAsia="Arial" w:hAnsi="Arial"/>
                <w:sz w:val="18"/>
                <w:szCs w:val="18"/>
                <w:color w:val="auto"/>
              </w:rPr>
              <w:t>Dividend paid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(612,988)</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10,103,240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(147,080)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(3,141,551)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4,928,318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6,601,335</w:t>
            </w:r>
          </w:p>
        </w:tc>
        <w:tc>
          <w:tcPr>
            <w:tcW w:w="14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9,742,886</w:t>
            </w:r>
          </w:p>
        </w:tc>
        <w:tc>
          <w:tcPr>
            <w:tcW w:w="300" w:type="dxa"/>
            <w:vAlign w:val="bottom"/>
            <w:gridSpan w:val="2"/>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4,814,568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Arial" w:cs="Arial" w:eastAsia="Arial" w:hAnsi="Arial"/>
                <w:sz w:val="18"/>
                <w:szCs w:val="18"/>
                <w:color w:val="auto"/>
              </w:rPr>
              <w:t>Cash, cash equivalents at the end of the year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12,652,120</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6,601,335</w:t>
            </w:r>
          </w:p>
        </w:tc>
        <w:tc>
          <w:tcPr>
            <w:tcW w:w="300" w:type="dxa"/>
            <w:vAlign w:val="bottom"/>
            <w:gridSpan w:val="2"/>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9,742,886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1,169,717</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768,956</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325,609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Interest paid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732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Payable for business acquisition and purchase of non-controlling interests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584,040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Payable for a long-term investment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732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151,539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18"/>
                <w:szCs w:val="18"/>
                <w:color w:val="auto"/>
              </w:rPr>
              <w:t>Capital contribution from non-controlling shareholders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Prepaid for issuance costs of IPO in the previous year</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32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 (Note 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CLIVST is a subsidiary of Qinheng. FDT-CL, a former subsidiary of Qinheng ceased operation and deregistered on March 15, 2019. JQ Technology Co., Limited (“JQ”) and JIALIN Technology Limited (“JL”) were subsidiaries of Qiner beginning from October 17, 2017 and were sold in November, 2018. CLPS Dalian Co., Ltd. (“CLPS Dalian”), CLPS Ruicheng Co., Ltd. (“CLPS RC”), CLPS Beijing Hengtong Co., Ltd. (“CLPS Beijing”), CLPS Technology (Singapore) Pte. Ltd. (“CLPS SG”), CLPS Ridik Technology (Australia) Pty Ltd. (“CLPS Ridik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Since the Company and its subsidiaries are controlled by the same group of shareholders before and after the reorganization, the aforementioned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4"/>
          </w:tcPr>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4"/>
        </w:trPr>
        <w:tc>
          <w:tcPr>
            <w:tcW w:w="5300" w:type="dxa"/>
            <w:vAlign w:val="bottom"/>
            <w:gridSpan w:val="2"/>
          </w:tcPr>
          <w:p>
            <w:pPr>
              <w:spacing w:after="0"/>
              <w:rPr>
                <w:sz w:val="20"/>
                <w:szCs w:val="20"/>
                <w:color w:val="auto"/>
              </w:rPr>
            </w:pPr>
            <w:r>
              <w:rPr>
                <w:rFonts w:ascii="Arial" w:cs="Arial" w:eastAsia="Arial" w:hAnsi="Arial"/>
                <w:sz w:val="18"/>
                <w:szCs w:val="18"/>
                <w:color w:val="auto"/>
              </w:rPr>
              <w:t>Details of the subsidiaries of the Company are set out below:</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7"/>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Date of</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Incorporation/</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Place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 of Equity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3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Acquisition</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Incorporation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Activities</w:t>
            </w:r>
          </w:p>
        </w:tc>
      </w:tr>
      <w:tr>
        <w:trPr>
          <w:trHeight w:val="199"/>
        </w:trPr>
        <w:tc>
          <w:tcPr>
            <w:tcW w:w="518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Qiner Co., Limited (“Qiner”)</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0"/>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1"/>
              </w:rPr>
              <w:t>Hong Kong, China</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2"/>
              </w:rPr>
              <w:t>Holding Company</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21, 2017</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Qinheng Co., Limited (“Qinheng”)</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1"/>
              </w:rPr>
              <w:t>Hong Kong,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2"/>
              </w:rPr>
              <w:t>Holding Company</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9, 2017</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CLIVST Ltd. (“CLIVST”)</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6"/>
              </w:rPr>
              <w:t>British Virgin</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Holding</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25,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Islands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w w:val="96"/>
              </w:rPr>
              <w:t>Shanghai Qincheng Information Technology Co., Ltd. (“CLPS QC” or</w:t>
            </w:r>
          </w:p>
        </w:tc>
        <w:tc>
          <w:tcPr>
            <w:tcW w:w="18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8"/>
              </w:rPr>
              <w:t>Shanghai,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2"/>
              </w:rPr>
              <w:t>Holding Company</w:t>
            </w:r>
          </w:p>
        </w:tc>
      </w:tr>
      <w:tr>
        <w:trPr>
          <w:trHeight w:val="227"/>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“WOFE”)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2017</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ChinaLink Professional Service Co., Ltd. (“CLPS Shanghai”)</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8"/>
              </w:rPr>
              <w:t>Shanghai,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30, 2005</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CLPS Dalian Co., Ltd. (“CLPS Dalian”)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Dalian,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25, 2011</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Ruicheng Co., Ltd. (“CLPS RC”)</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8"/>
              </w:rPr>
              <w:t>Shanghai,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June 26, 2013</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CLPS Beijing Hengtong Co., Ltd (“CLPS Beijing”)</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80"/>
              <w:spacing w:after="0" w:line="199" w:lineRule="exact"/>
              <w:rPr>
                <w:sz w:val="20"/>
                <w:szCs w:val="20"/>
                <w:color w:val="auto"/>
              </w:rPr>
            </w:pPr>
            <w:r>
              <w:rPr>
                <w:rFonts w:ascii="Arial" w:cs="Arial" w:eastAsia="Arial" w:hAnsi="Arial"/>
                <w:sz w:val="18"/>
                <w:szCs w:val="18"/>
                <w:color w:val="auto"/>
                <w:w w:val="93"/>
              </w:rPr>
              <w:t>Beijing,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Technology (Singapore) Pte. Ltd.</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80"/>
              <w:spacing w:after="0" w:line="200" w:lineRule="exact"/>
              <w:rPr>
                <w:sz w:val="20"/>
                <w:szCs w:val="20"/>
                <w:color w:val="auto"/>
              </w:rPr>
            </w:pPr>
            <w:r>
              <w:rPr>
                <w:rFonts w:ascii="Arial" w:cs="Arial" w:eastAsia="Arial" w:hAnsi="Arial"/>
                <w:sz w:val="18"/>
                <w:szCs w:val="18"/>
                <w:color w:val="auto"/>
                <w:w w:val="87"/>
              </w:rPr>
              <w:t>Singapore</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(“CLPS SG”)</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18, 2015</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CLPS-Ridik Technology (Australia) Pty Ltd. (formerly CLPS</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4"/>
              </w:rPr>
              <w:t>Australia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13"/>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Technology (Australia) Pty Ltd.)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November 10, 2015</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27"/>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(“CLPS-Ridik AU”)</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Technology (Hong Kong) Co., Limited</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1"/>
              </w:rPr>
              <w:t>Hong Kong,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(“CLPS Hong Kong”)</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7, 2016</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Judge (Shanghai) Co., Ltd. (“Judge China”)</w:t>
            </w:r>
          </w:p>
        </w:tc>
        <w:tc>
          <w:tcPr>
            <w:tcW w:w="18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8"/>
              </w:rPr>
              <w:t>Shanghai,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8"/>
              </w:rPr>
              <w:t>60%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9, 2016</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Judge (Shanghai) Human Resource Co., Ltd.</w:t>
            </w:r>
          </w:p>
        </w:tc>
        <w:tc>
          <w:tcPr>
            <w:tcW w:w="180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8"/>
              </w:rPr>
              <w:t>Shanghai,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42%</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(“Judge HR”)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9, 2016</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CLPS Shenzhen Co., Ltd. (“CLPS Shenzhen”)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8"/>
              </w:rPr>
              <w:t>Shenzhen,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April 7, 2017</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Guangzhou Co., Ltd. (“CLPS Guangzhou”)</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9"/>
              </w:rPr>
              <w:t>Guangzhou,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September 27, 2017</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CLPS Technology (US) Ltd. (“CLPS US”)</w:t>
            </w:r>
          </w:p>
        </w:tc>
        <w:tc>
          <w:tcPr>
            <w:tcW w:w="18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2"/>
              </w:rPr>
              <w:t>Delaware, USA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5, 2018</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Infogain Solutions PTE. Ltd. (“Infogain”)</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shd w:val="clear" w:color="auto" w:fill="CCEEFF"/>
          </w:tcPr>
          <w:p>
            <w:pPr>
              <w:jc w:val="center"/>
              <w:ind w:right="80"/>
              <w:spacing w:after="0" w:line="200" w:lineRule="exact"/>
              <w:rPr>
                <w:sz w:val="20"/>
                <w:szCs w:val="20"/>
                <w:color w:val="auto"/>
              </w:rPr>
            </w:pPr>
            <w:r>
              <w:rPr>
                <w:rFonts w:ascii="Arial" w:cs="Arial" w:eastAsia="Arial" w:hAnsi="Arial"/>
                <w:sz w:val="18"/>
                <w:szCs w:val="18"/>
                <w:color w:val="auto"/>
                <w:w w:val="87"/>
              </w:rPr>
              <w:t>Singapore</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20, 2018</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w w:val="98"/>
              </w:rPr>
              <w:t>Tianjin Huanyu Qinshang Network Technology Co., Ltd. (“Huanyu”)</w:t>
            </w:r>
          </w:p>
        </w:tc>
        <w:tc>
          <w:tcPr>
            <w:tcW w:w="18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2"/>
              </w:rPr>
              <w:t>Tianjin,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3"/>
              </w:rPr>
              <w:t>Network</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24, 2019</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technology</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Hangzhou Co. Ltd. (“CLPS Hangzhou”)</w:t>
            </w:r>
          </w:p>
        </w:tc>
        <w:tc>
          <w:tcPr>
            <w:tcW w:w="180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Hangzhou,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31, 2019</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CLPS Technology Japan (“CLPS Japan”)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5"/>
              </w:rPr>
              <w:t>Japan</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13, 2019</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Ridik Pte. Ltd. (“Ridik Pte.”)</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shd w:val="clear" w:color="auto" w:fill="CCEEFF"/>
          </w:tcPr>
          <w:p>
            <w:pPr>
              <w:jc w:val="center"/>
              <w:ind w:right="80"/>
              <w:spacing w:after="0" w:line="200" w:lineRule="exact"/>
              <w:rPr>
                <w:sz w:val="20"/>
                <w:szCs w:val="20"/>
                <w:color w:val="auto"/>
              </w:rPr>
            </w:pPr>
            <w:r>
              <w:rPr>
                <w:rFonts w:ascii="Arial" w:cs="Arial" w:eastAsia="Arial" w:hAnsi="Arial"/>
                <w:sz w:val="18"/>
                <w:szCs w:val="18"/>
                <w:color w:val="auto"/>
                <w:w w:val="87"/>
              </w:rPr>
              <w:t>Singapore</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September 26, 2019</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Ridik Sdn. Bhd. (“Ridik Sdn.”)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2"/>
              </w:rPr>
              <w:t>Malaysia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8"/>
              </w:rPr>
              <w:t>80%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26, 2019</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Ridik Software Solutions Pte. Ltd. (“Ridik Software Pte.”)</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shd w:val="clear" w:color="auto" w:fill="CCEEFF"/>
          </w:tcPr>
          <w:p>
            <w:pPr>
              <w:jc w:val="center"/>
              <w:ind w:right="80"/>
              <w:spacing w:after="0" w:line="200" w:lineRule="exact"/>
              <w:rPr>
                <w:sz w:val="20"/>
                <w:szCs w:val="20"/>
                <w:color w:val="auto"/>
              </w:rPr>
            </w:pPr>
            <w:r>
              <w:rPr>
                <w:rFonts w:ascii="Arial" w:cs="Arial" w:eastAsia="Arial" w:hAnsi="Arial"/>
                <w:sz w:val="18"/>
                <w:szCs w:val="18"/>
                <w:color w:val="auto"/>
                <w:w w:val="87"/>
              </w:rPr>
              <w:t>Singapore</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September 26, 2019</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Ridik Software Solutions Ltd. (“Ridik Software”)</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rPr>
              <w:t>UK</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8"/>
              </w:rPr>
              <w:t>80%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26, 2019</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Suzhou Ridik Information Technology Co., Ltd. (“Suzhou Ridik”)</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9"/>
              </w:rPr>
              <w:t>Suzhou, China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18, 2019</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Qinson Credit Card Services Limited (“Qinson”)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1"/>
              </w:rPr>
              <w:t>Hong Kong, China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7"/>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December 31, 2019</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0"/>
        </w:trPr>
        <w:tc>
          <w:tcPr>
            <w:tcW w:w="53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Technology (California) Inc. (“CLPS California”)</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56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5"/>
              </w:rPr>
              <w:t>California, USA</w:t>
            </w: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Software</w:t>
            </w:r>
          </w:p>
        </w:tc>
      </w:tr>
      <w:tr>
        <w:trPr>
          <w:trHeight w:val="228"/>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January 2, 2020</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199"/>
        </w:trPr>
        <w:tc>
          <w:tcPr>
            <w:tcW w:w="5300" w:type="dxa"/>
            <w:vAlign w:val="bottom"/>
            <w:gridSpan w:val="2"/>
          </w:tcPr>
          <w:p>
            <w:pPr>
              <w:spacing w:after="0" w:line="199" w:lineRule="exact"/>
              <w:rPr>
                <w:sz w:val="20"/>
                <w:szCs w:val="20"/>
                <w:color w:val="auto"/>
              </w:rPr>
            </w:pPr>
            <w:r>
              <w:rPr>
                <w:rFonts w:ascii="Arial" w:cs="Arial" w:eastAsia="Arial" w:hAnsi="Arial"/>
                <w:sz w:val="18"/>
                <w:szCs w:val="18"/>
                <w:color w:val="auto"/>
              </w:rPr>
              <w:t>Ridik Consulting Private Limited (“Ridik Consulting”)</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7"/>
              </w:rPr>
              <w:t>India</w:t>
            </w: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8"/>
              </w:rPr>
              <w:t>80%</w:t>
            </w:r>
          </w:p>
        </w:tc>
        <w:tc>
          <w:tcPr>
            <w:tcW w:w="12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0"/>
              </w:rPr>
              <w:t>Software</w:t>
            </w:r>
          </w:p>
        </w:tc>
      </w:tr>
      <w:tr>
        <w:trPr>
          <w:trHeight w:val="226"/>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6, 2020</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783"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generally accepted accounting principles (“U.S. GAAP”).</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and intangible assets, goodwill impairment, the impairment of long-lived assets and investments, purchase price allocation for business combination, relative standalone selling price of the performance obligations in the IT solution services, provision for accrued expenses and other current liabilities, valuation allowance of deferred tax assets, provision for uncertain tax positions, fair value measurements of equity investments without readily determinable fair values and valuation for warrants and share-based compensation. Actual results could differ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highly liquid investments with original maturities of greater than three months, but less than twelve months, are classified as short-term investments. Short-term investments represent investments in wealth management products placed with certain financial institutions. The principal amounts of these products are not guaranteed. The Company classifies these wealth management products as “trading”. Dividend and interest income are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Prepayment, deposit and other assets primarily consists of advances and deposits to suppliers for purchasing goods or services that have not been received or provided and advances to employees. These advances are interest free, unsecured and short-term in nature and are reviewed periodically to determine whether their carrying value has become impaired. An allowance for doubtful accounts is recorded in the period when loss is probable.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investments consist of equity-method investments and equity investments without readily determinable fair values.</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Investments in entities in which the Company can exercise significant influence but does not own a majority equity interest or control are accounted for using the equity method of accounting in accordance with ASC Topic 323, </w:t>
      </w:r>
      <w:r>
        <w:rPr>
          <w:rFonts w:ascii="Arial" w:cs="Arial" w:eastAsia="Arial" w:hAnsi="Arial"/>
          <w:sz w:val="16"/>
          <w:szCs w:val="16"/>
          <w:i w:val="1"/>
          <w:iCs w:val="1"/>
          <w:color w:val="auto"/>
        </w:rPr>
        <w:t>Investments-Equity Method and Joint Ventures (“ASC 323”)</w:t>
      </w:r>
      <w:r>
        <w:rPr>
          <w:rFonts w:ascii="Arial" w:cs="Arial" w:eastAsia="Arial" w:hAnsi="Arial"/>
          <w:sz w:val="16"/>
          <w:szCs w:val="16"/>
          <w:color w:val="auto"/>
        </w:rPr>
        <w:t>. The share of earnings or losses of the investee are recognized in the consolidated statements of comprehensive income. Equity method adjustments include the Company’s proportionate share of investee income or loss, adjustments to recognize certain differences between the Company’s carrying value and its equity in net assets of the investee at the date of investment, impairments, and other adjustments required by the equity method. The Company assesses its equity investment for other-than-temporary impairment by considering factors as well as all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 Any gain or loss from the disposition of the equity method investments is included in the consolidated statements of comprehensive income equal to difference between the proceeds the Company receives and the carrying amounts of the investment disposed.</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equity investments without readily determinable fair values, the Company elects to use the measurement alternative in accordance with ASC Topic 321</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Investments-Equity securities (“ASC 321”) </w:t>
      </w:r>
      <w:r>
        <w:rPr>
          <w:rFonts w:ascii="Arial" w:cs="Arial" w:eastAsia="Arial" w:hAnsi="Arial"/>
          <w:sz w:val="16"/>
          <w:szCs w:val="16"/>
          <w:color w:val="auto"/>
        </w:rPr>
        <w:t>to measure such investments at cost minus impairment adjusted by observable price changes in orderly</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identical or a similar investment of the same issuer as of the date that the observable transaction occurred. These investments are measured at fair value on a nonrecurring basis when there are events or changes in circumstances that may have a significant adverse effect. An impairment loss is recognized in the consolidated statements of comprehensive income equal to the amount by which the carrying value exceeds the fair value of the investment. For the year ended June 30, 2020, no such investment was remeasured and accordingly no unrealized gains (losses) was recognized.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recognized in any of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Company accounts for all business combinations under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earnings. The Company adopted Accounting Standards Update (“ASU”) No. 2017-01, </w:t>
      </w:r>
      <w:r>
        <w:rPr>
          <w:rFonts w:ascii="Arial" w:cs="Arial" w:eastAsia="Arial" w:hAnsi="Arial"/>
          <w:sz w:val="16"/>
          <w:szCs w:val="16"/>
          <w:i w:val="1"/>
          <w:iCs w:val="1"/>
          <w:color w:val="auto"/>
        </w:rPr>
        <w:t>Business Combinations (Topic 802): Clarifying the Definition of a Business</w:t>
      </w:r>
      <w:r>
        <w:rPr>
          <w:rFonts w:ascii="Arial" w:cs="Arial" w:eastAsia="Arial" w:hAnsi="Arial"/>
          <w:sz w:val="16"/>
          <w:szCs w:val="16"/>
          <w:color w:val="auto"/>
        </w:rPr>
        <w:t>, in determining whether it has acquired a business from July 1, 2019 on a prospective basis and there was no material impact on the consolidated financial statements.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comprehensive income (loss) as an allocation of the total income or loss for the year between non-controlling interest holders and the shareholders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Property and equipment, net, are stated at cost less accumulated depreciation. The straight-line method is used to compute depreciation over the estimated useful lives of the assets,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6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494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Useful life</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The shorter of lease terms or the estimated useful lives</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Automobiles</w:t>
            </w:r>
          </w:p>
        </w:tc>
        <w:tc>
          <w:tcPr>
            <w:tcW w:w="6980" w:type="dxa"/>
            <w:vAlign w:val="bottom"/>
            <w:gridSpan w:val="2"/>
          </w:tcPr>
          <w:p>
            <w:pPr>
              <w:ind w:left="2040"/>
              <w:spacing w:after="0"/>
              <w:rPr>
                <w:sz w:val="20"/>
                <w:szCs w:val="20"/>
                <w:color w:val="auto"/>
              </w:rPr>
            </w:pPr>
            <w:r>
              <w:rPr>
                <w:rFonts w:ascii="Arial" w:cs="Arial" w:eastAsia="Arial" w:hAnsi="Arial"/>
                <w:sz w:val="18"/>
                <w:szCs w:val="18"/>
                <w:color w:val="auto"/>
              </w:rPr>
              <w:t>5 years</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office furniture</w:t>
            </w:r>
          </w:p>
        </w:tc>
        <w:tc>
          <w:tcPr>
            <w:tcW w:w="69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3-5 years</w:t>
            </w:r>
          </w:p>
        </w:tc>
      </w:tr>
    </w:tbl>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comprehensive income (loss).</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Amortization is computed using the straight-line method over the following estimated useful lives:</w:t>
      </w:r>
    </w:p>
    <w:p>
      <w:pPr>
        <w:spacing w:after="0" w:line="136"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Useful life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60" w:type="dxa"/>
            <w:vAlign w:val="bottom"/>
            <w:tcBorders>
              <w:top w:val="single" w:sz="8" w:color="CCEEFF"/>
            </w:tcBorders>
            <w:shd w:val="clear" w:color="auto" w:fill="CCEEFF"/>
          </w:tcPr>
          <w:p>
            <w:pPr>
              <w:spacing w:after="0"/>
              <w:rPr>
                <w:sz w:val="19"/>
                <w:szCs w:val="19"/>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 – 10 years</w:t>
            </w:r>
          </w:p>
        </w:tc>
      </w:tr>
      <w:tr>
        <w:trPr>
          <w:trHeight w:val="213"/>
        </w:trPr>
        <w:tc>
          <w:tcPr>
            <w:tcW w:w="6040" w:type="dxa"/>
            <w:vAlign w:val="bottom"/>
          </w:tcPr>
          <w:p>
            <w:pPr>
              <w:spacing w:after="0"/>
              <w:rPr>
                <w:sz w:val="20"/>
                <w:szCs w:val="20"/>
                <w:color w:val="auto"/>
              </w:rPr>
            </w:pPr>
            <w:r>
              <w:rPr>
                <w:rFonts w:ascii="Arial" w:cs="Arial" w:eastAsia="Arial" w:hAnsi="Arial"/>
                <w:sz w:val="18"/>
                <w:szCs w:val="18"/>
                <w:color w:val="auto"/>
              </w:rPr>
              <w:t>Customer relationship</w:t>
            </w: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3 – 10 years</w:t>
            </w: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 years</w:t>
            </w:r>
          </w:p>
        </w:tc>
      </w:tr>
      <w:tr>
        <w:trPr>
          <w:trHeight w:val="346"/>
        </w:trPr>
        <w:tc>
          <w:tcPr>
            <w:tcW w:w="6040" w:type="dxa"/>
            <w:vAlign w:val="bottom"/>
          </w:tcPr>
          <w:p>
            <w:pPr>
              <w:spacing w:after="0"/>
              <w:rPr>
                <w:sz w:val="20"/>
                <w:szCs w:val="20"/>
                <w:color w:val="auto"/>
              </w:rPr>
            </w:pPr>
            <w:r>
              <w:rPr>
                <w:rFonts w:ascii="Arial" w:cs="Arial" w:eastAsia="Arial" w:hAnsi="Arial"/>
                <w:sz w:val="18"/>
                <w:szCs w:val="18"/>
                <w:color w:val="auto"/>
                <w:w w:val="94"/>
              </w:rPr>
              <w:t>The Company does not have any indefinite-lived intangibles other than goodwill.</w:t>
            </w:r>
          </w:p>
        </w:tc>
        <w:tc>
          <w:tcPr>
            <w:tcW w:w="26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ind w:right="4880"/>
        <w:spacing w:after="0" w:line="404" w:lineRule="auto"/>
        <w:rPr>
          <w:sz w:val="20"/>
          <w:szCs w:val="20"/>
          <w:color w:val="auto"/>
        </w:rPr>
      </w:pPr>
      <w:r>
        <w:rPr>
          <w:rFonts w:ascii="Arial" w:cs="Arial" w:eastAsia="Arial" w:hAnsi="Arial"/>
          <w:sz w:val="18"/>
          <w:szCs w:val="18"/>
          <w:b w:val="1"/>
          <w:bCs w:val="1"/>
          <w:color w:val="auto"/>
        </w:rPr>
        <w:t>NOTE 2 – SUMMARY OF SIGNIFICANT ACCOUNTING POLICIES - continued Goodwill</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had only one reporting unit (that also represented the Company’s single operating segment) as of June 30, 2020 and 2019. Goodwill was allocated 100% to the single reporting unit as of June 30, 2020 and 2019. The Company has the option to assess qualitative factors first to determine whether it is necessary to perform the two-step test in accordance with ASC 350-20,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the Company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the Company is not required to perform further testing. If the carrying value of the reporting unit exceeds the fair value of the reporting unit, then the Company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2020,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2020, 2019 and 2018.</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July 1, 2019, the Company adopted ASU 2014-09</w:t>
      </w:r>
      <w:r>
        <w:rPr>
          <w:rFonts w:ascii="Arial" w:cs="Arial" w:eastAsia="Arial" w:hAnsi="Arial"/>
          <w:sz w:val="18"/>
          <w:szCs w:val="18"/>
          <w:i w:val="1"/>
          <w:iCs w:val="1"/>
          <w:color w:val="auto"/>
        </w:rPr>
        <w:t>, Revenue from contracts with Customers (Topic 606) (“ASC 606”)</w:t>
      </w:r>
      <w:r>
        <w:rPr>
          <w:rFonts w:ascii="Arial" w:cs="Arial" w:eastAsia="Arial" w:hAnsi="Arial"/>
          <w:sz w:val="18"/>
          <w:szCs w:val="18"/>
          <w:color w:val="auto"/>
        </w:rPr>
        <w:t xml:space="preserve"> using the modified retrospective approach, which requires the recognition of a cumulative-effect adjustment to retained earnings as of the date of adoption and applies the adoption only to contracts not completed as of July 1, 2019. Prior periods were not retrospectively adjusted.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provides a comprehensive range of IT services and solutions, which primarily are on a time-and-expense basis, or fixed-price basis. Commencing on July 1, 2019, revenue is recognized when control of promised goods or services is transferred to the Company’s customers in an amount of consideration to which an entity expects to be entitled to in exchange for those services.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cumulative effect of initially applying the new revenue standard resulted in a decrease to opening retained earnings of $138,644, with the impact primarily related to the Company’s customized IT solution services. Under ASC 605, the IT solution services were recognized using the percentage of completion method of accounting; while under ASC 606, the IT solution services are recognized at a point in time when the control of service is obtained by the customer represented by the customer acceptance received by the Company. Whereas the Company has the enforceable right to payment for performance completed to date, revenue is recognized over time, using the output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gridSpan w:val="2"/>
          </w:tcPr>
          <w:p>
            <w:pPr>
              <w:spacing w:after="0"/>
              <w:rPr>
                <w:sz w:val="20"/>
                <w:szCs w:val="20"/>
                <w:color w:val="auto"/>
              </w:rPr>
            </w:pPr>
            <w:r>
              <w:rPr>
                <w:rFonts w:ascii="Arial" w:cs="Arial" w:eastAsia="Arial" w:hAnsi="Arial"/>
                <w:sz w:val="18"/>
                <w:szCs w:val="18"/>
                <w:color w:val="auto"/>
              </w:rPr>
              <w:t>The effect of the adoption of ASC 606 as of June 30, 2019 was as follows: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88"/>
              </w:rPr>
              <w:t>As of June 30, 2019</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91"/>
              <w:spacing w:after="0" w:line="195" w:lineRule="exact"/>
              <w:rPr>
                <w:sz w:val="20"/>
                <w:szCs w:val="20"/>
                <w:color w:val="auto"/>
              </w:rPr>
            </w:pPr>
            <w:r>
              <w:rPr>
                <w:rFonts w:ascii="Arial" w:cs="Arial" w:eastAsia="Arial" w:hAnsi="Arial"/>
                <w:sz w:val="18"/>
                <w:szCs w:val="18"/>
                <w:b w:val="1"/>
                <w:bCs w:val="1"/>
                <w:color w:val="auto"/>
                <w:w w:val="86"/>
              </w:rPr>
              <w:t>As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line="195" w:lineRule="exact"/>
              <w:rPr>
                <w:sz w:val="20"/>
                <w:szCs w:val="20"/>
                <w:color w:val="auto"/>
              </w:rPr>
            </w:pPr>
            <w:r>
              <w:rPr>
                <w:rFonts w:ascii="Arial" w:cs="Arial" w:eastAsia="Arial" w:hAnsi="Arial"/>
                <w:sz w:val="18"/>
                <w:szCs w:val="18"/>
                <w:b w:val="1"/>
                <w:bCs w:val="1"/>
                <w:color w:val="auto"/>
                <w:w w:val="83"/>
              </w:rPr>
              <w:t>Balances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1"/>
              <w:spacing w:after="0" w:line="195" w:lineRule="exact"/>
              <w:rPr>
                <w:sz w:val="20"/>
                <w:szCs w:val="20"/>
                <w:color w:val="auto"/>
              </w:rPr>
            </w:pPr>
            <w:r>
              <w:rPr>
                <w:rFonts w:ascii="Arial" w:cs="Arial" w:eastAsia="Arial" w:hAnsi="Arial"/>
                <w:sz w:val="18"/>
                <w:szCs w:val="18"/>
                <w:b w:val="1"/>
                <w:bCs w:val="1"/>
                <w:color w:val="auto"/>
                <w:w w:val="88"/>
              </w:rPr>
              <w:t>Effect of</w:t>
            </w:r>
          </w:p>
        </w:tc>
        <w:tc>
          <w:tcPr>
            <w:tcW w:w="100" w:type="dxa"/>
            <w:vAlign w:val="bottom"/>
          </w:tcPr>
          <w:p>
            <w:pPr>
              <w:spacing w:after="0"/>
              <w:rPr>
                <w:sz w:val="16"/>
                <w:szCs w:val="16"/>
                <w:color w:val="auto"/>
              </w:rPr>
            </w:pP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71"/>
              <w:spacing w:after="0"/>
              <w:rPr>
                <w:sz w:val="20"/>
                <w:szCs w:val="20"/>
                <w:color w:val="auto"/>
              </w:rPr>
            </w:pPr>
            <w:r>
              <w:rPr>
                <w:rFonts w:ascii="Arial" w:cs="Arial" w:eastAsia="Arial" w:hAnsi="Arial"/>
                <w:sz w:val="18"/>
                <w:szCs w:val="18"/>
                <w:b w:val="1"/>
                <w:bCs w:val="1"/>
                <w:color w:val="auto"/>
                <w:w w:val="86"/>
              </w:rPr>
              <w:t>previously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under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change</w:t>
            </w:r>
          </w:p>
        </w:tc>
      </w:tr>
      <w:tr>
        <w:trPr>
          <w:trHeight w:val="23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120" w:type="dxa"/>
            <w:vAlign w:val="bottom"/>
          </w:tcPr>
          <w:p>
            <w:pPr>
              <w:spacing w:after="0"/>
              <w:rPr>
                <w:sz w:val="20"/>
                <w:szCs w:val="20"/>
                <w:color w:val="auto"/>
              </w:rPr>
            </w:pPr>
          </w:p>
        </w:tc>
        <w:tc>
          <w:tcPr>
            <w:tcW w:w="1160" w:type="dxa"/>
            <w:vAlign w:val="bottom"/>
            <w:gridSpan w:val="2"/>
          </w:tcPr>
          <w:p>
            <w:pPr>
              <w:jc w:val="center"/>
              <w:ind w:right="171"/>
              <w:spacing w:after="0"/>
              <w:rPr>
                <w:sz w:val="20"/>
                <w:szCs w:val="20"/>
                <w:color w:val="auto"/>
              </w:rPr>
            </w:pPr>
            <w:r>
              <w:rPr>
                <w:rFonts w:ascii="Arial" w:cs="Arial" w:eastAsia="Arial" w:hAnsi="Arial"/>
                <w:sz w:val="18"/>
                <w:szCs w:val="18"/>
                <w:b w:val="1"/>
                <w:bCs w:val="1"/>
                <w:color w:val="auto"/>
                <w:w w:val="90"/>
              </w:rPr>
              <w:t>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ASC 606</w:t>
            </w:r>
          </w:p>
        </w:tc>
        <w:tc>
          <w:tcPr>
            <w:tcW w:w="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higher/(lower)</w:t>
            </w:r>
          </w:p>
        </w:tc>
      </w:tr>
      <w:tr>
        <w:trPr>
          <w:trHeight w:val="213"/>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Prepayments, deposits and other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1,028,154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1,405,004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376,850</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338,221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384,435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46,214</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124,192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(124,192)</w:t>
            </w:r>
          </w:p>
        </w:tc>
      </w:tr>
      <w:tr>
        <w:trPr>
          <w:trHeight w:val="213"/>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685,900</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685,900</w:t>
            </w: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Accumulated deficits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(4,509,729)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(4,648,373)</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(138,644)</w:t>
            </w:r>
          </w:p>
        </w:tc>
      </w:tr>
      <w:tr>
        <w:trPr>
          <w:trHeight w:val="413"/>
        </w:trPr>
        <w:tc>
          <w:tcPr>
            <w:tcW w:w="7320" w:type="dxa"/>
            <w:vAlign w:val="bottom"/>
            <w:gridSpan w:val="2"/>
          </w:tcPr>
          <w:p>
            <w:pPr>
              <w:spacing w:after="0"/>
              <w:rPr>
                <w:sz w:val="20"/>
                <w:szCs w:val="20"/>
                <w:color w:val="auto"/>
              </w:rPr>
            </w:pPr>
            <w:r>
              <w:rPr>
                <w:rFonts w:ascii="Arial" w:cs="Arial" w:eastAsia="Arial" w:hAnsi="Arial"/>
                <w:sz w:val="18"/>
                <w:szCs w:val="18"/>
                <w:color w:val="auto"/>
              </w:rPr>
              <w:t>The effect of the adoption of ASC 606 for the current year was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ind w:left="820"/>
              <w:spacing w:after="0"/>
              <w:rPr>
                <w:sz w:val="20"/>
                <w:szCs w:val="20"/>
                <w:color w:val="auto"/>
              </w:rPr>
            </w:pPr>
            <w:r>
              <w:rPr>
                <w:rFonts w:ascii="Arial" w:cs="Arial" w:eastAsia="Arial" w:hAnsi="Arial"/>
                <w:sz w:val="18"/>
                <w:szCs w:val="18"/>
                <w:b w:val="1"/>
                <w:bCs w:val="1"/>
                <w:color w:val="auto"/>
                <w:w w:val="88"/>
              </w:rPr>
              <w:t>Year ended June 30, 2020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91"/>
              <w:spacing w:after="0" w:line="195" w:lineRule="exact"/>
              <w:rPr>
                <w:sz w:val="20"/>
                <w:szCs w:val="20"/>
                <w:color w:val="auto"/>
              </w:rPr>
            </w:pPr>
            <w:r>
              <w:rPr>
                <w:rFonts w:ascii="Arial" w:cs="Arial" w:eastAsia="Arial" w:hAnsi="Arial"/>
                <w:sz w:val="18"/>
                <w:szCs w:val="18"/>
                <w:b w:val="1"/>
                <w:bCs w:val="1"/>
                <w:color w:val="auto"/>
                <w:w w:val="85"/>
              </w:rPr>
              <w:t>Balances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71"/>
              <w:spacing w:after="0"/>
              <w:rPr>
                <w:sz w:val="20"/>
                <w:szCs w:val="20"/>
                <w:color w:val="auto"/>
              </w:rPr>
            </w:pPr>
            <w:r>
              <w:rPr>
                <w:rFonts w:ascii="Arial" w:cs="Arial" w:eastAsia="Arial" w:hAnsi="Arial"/>
                <w:sz w:val="18"/>
                <w:szCs w:val="18"/>
                <w:b w:val="1"/>
                <w:bCs w:val="1"/>
                <w:color w:val="auto"/>
                <w:w w:val="91"/>
              </w:rPr>
              <w:t>under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71"/>
              <w:spacing w:after="0"/>
              <w:rPr>
                <w:sz w:val="20"/>
                <w:szCs w:val="20"/>
                <w:color w:val="auto"/>
              </w:rPr>
            </w:pPr>
            <w:r>
              <w:rPr>
                <w:rFonts w:ascii="Arial" w:cs="Arial" w:eastAsia="Arial" w:hAnsi="Arial"/>
                <w:sz w:val="18"/>
                <w:szCs w:val="18"/>
                <w:b w:val="1"/>
                <w:bCs w:val="1"/>
                <w:color w:val="auto"/>
                <w:w w:val="90"/>
              </w:rPr>
              <w:t>ASC 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Balances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Effect of</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71"/>
              <w:spacing w:after="0"/>
              <w:rPr>
                <w:sz w:val="20"/>
                <w:szCs w:val="20"/>
                <w:color w:val="auto"/>
              </w:rPr>
            </w:pPr>
            <w:r>
              <w:rPr>
                <w:rFonts w:ascii="Arial" w:cs="Arial" w:eastAsia="Arial" w:hAnsi="Arial"/>
                <w:sz w:val="18"/>
                <w:szCs w:val="18"/>
                <w:b w:val="1"/>
                <w:bCs w:val="1"/>
                <w:color w:val="auto"/>
                <w:w w:val="89"/>
              </w:rPr>
              <w:t>(As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under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change</w:t>
            </w:r>
          </w:p>
        </w:tc>
      </w:tr>
      <w:tr>
        <w:trPr>
          <w:trHeight w:val="23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120" w:type="dxa"/>
            <w:vAlign w:val="bottom"/>
          </w:tcPr>
          <w:p>
            <w:pPr>
              <w:spacing w:after="0"/>
              <w:rPr>
                <w:sz w:val="20"/>
                <w:szCs w:val="20"/>
                <w:color w:val="auto"/>
              </w:rPr>
            </w:pPr>
          </w:p>
        </w:tc>
        <w:tc>
          <w:tcPr>
            <w:tcW w:w="1160" w:type="dxa"/>
            <w:vAlign w:val="bottom"/>
            <w:gridSpan w:val="2"/>
          </w:tcPr>
          <w:p>
            <w:pPr>
              <w:jc w:val="center"/>
              <w:ind w:right="191"/>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ASC 605</w:t>
            </w:r>
          </w:p>
        </w:tc>
        <w:tc>
          <w:tcPr>
            <w:tcW w:w="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higher/(lower)</w:t>
            </w:r>
          </w:p>
        </w:tc>
      </w:tr>
      <w:tr>
        <w:trPr>
          <w:trHeight w:val="213"/>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89,415,798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88,986,532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(58,296,097)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(57,937,842)</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(358,255)</w:t>
            </w: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and share of income (loss) in equity investees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3,707,459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3,636,448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71,011</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(benefits) for income taxes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51"/>
              <w:spacing w:after="0"/>
              <w:rPr>
                <w:sz w:val="20"/>
                <w:szCs w:val="20"/>
                <w:color w:val="auto"/>
              </w:rPr>
            </w:pPr>
            <w:r>
              <w:rPr>
                <w:rFonts w:ascii="Arial" w:cs="Arial" w:eastAsia="Arial" w:hAnsi="Arial"/>
                <w:sz w:val="18"/>
                <w:szCs w:val="18"/>
                <w:color w:val="auto"/>
              </w:rPr>
              <w:t>835,444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824,792</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10,652</w:t>
            </w: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share of income (loss) in equity investees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2,872,015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2,811,656</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60,359</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3,079,378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3,019,019</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60,359</w:t>
            </w: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CLPS Incorporation’s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2,938,239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2,877,880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60,359</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51"/>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Revenue recognition (continued)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As of June 30,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51"/>
              <w:spacing w:after="0" w:line="195" w:lineRule="exact"/>
              <w:rPr>
                <w:sz w:val="20"/>
                <w:szCs w:val="20"/>
                <w:color w:val="auto"/>
              </w:rPr>
            </w:pPr>
            <w:r>
              <w:rPr>
                <w:rFonts w:ascii="Arial" w:cs="Arial" w:eastAsia="Arial" w:hAnsi="Arial"/>
                <w:sz w:val="18"/>
                <w:szCs w:val="18"/>
                <w:b w:val="1"/>
                <w:bCs w:val="1"/>
                <w:color w:val="auto"/>
                <w:w w:val="85"/>
              </w:rPr>
              <w:t>Balances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31"/>
              <w:spacing w:after="0"/>
              <w:rPr>
                <w:sz w:val="20"/>
                <w:szCs w:val="20"/>
                <w:color w:val="auto"/>
              </w:rPr>
            </w:pPr>
            <w:r>
              <w:rPr>
                <w:rFonts w:ascii="Arial" w:cs="Arial" w:eastAsia="Arial" w:hAnsi="Arial"/>
                <w:sz w:val="18"/>
                <w:szCs w:val="18"/>
                <w:b w:val="1"/>
                <w:bCs w:val="1"/>
                <w:color w:val="auto"/>
                <w:w w:val="91"/>
              </w:rPr>
              <w:t>under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Balances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Effect of</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91"/>
              <w:spacing w:after="0"/>
              <w:rPr>
                <w:sz w:val="20"/>
                <w:szCs w:val="20"/>
                <w:color w:val="auto"/>
              </w:rPr>
            </w:pPr>
            <w:r>
              <w:rPr>
                <w:rFonts w:ascii="Arial" w:cs="Arial" w:eastAsia="Arial" w:hAnsi="Arial"/>
                <w:sz w:val="18"/>
                <w:szCs w:val="18"/>
                <w:b w:val="1"/>
                <w:bCs w:val="1"/>
                <w:color w:val="auto"/>
                <w:w w:val="90"/>
              </w:rPr>
              <w:t>ASC 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under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change</w:t>
            </w:r>
          </w:p>
        </w:tc>
      </w:tr>
      <w:tr>
        <w:trPr>
          <w:trHeight w:val="23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1280" w:type="dxa"/>
            <w:vAlign w:val="bottom"/>
            <w:gridSpan w:val="3"/>
          </w:tcPr>
          <w:p>
            <w:pPr>
              <w:jc w:val="center"/>
              <w:ind w:right="51"/>
              <w:spacing w:after="0"/>
              <w:rPr>
                <w:sz w:val="20"/>
                <w:szCs w:val="20"/>
                <w:color w:val="auto"/>
              </w:rPr>
            </w:pPr>
            <w:r>
              <w:rPr>
                <w:rFonts w:ascii="Arial" w:cs="Arial" w:eastAsia="Arial" w:hAnsi="Arial"/>
                <w:sz w:val="18"/>
                <w:szCs w:val="18"/>
                <w:b w:val="1"/>
                <w:bCs w:val="1"/>
                <w:color w:val="auto"/>
                <w:w w:val="90"/>
              </w:rPr>
              <w:t>(As 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ASC 605</w:t>
            </w:r>
          </w:p>
        </w:tc>
        <w:tc>
          <w:tcPr>
            <w:tcW w:w="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higher/(lower)</w:t>
            </w:r>
          </w:p>
        </w:tc>
      </w:tr>
      <w:tr>
        <w:trPr>
          <w:trHeight w:val="213"/>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1,280,967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1,235,174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45,793</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203,247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167,685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35,562</w:t>
            </w: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595,538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(595,538)</w:t>
            </w:r>
          </w:p>
        </w:tc>
      </w:tr>
      <w:tr>
        <w:trPr>
          <w:trHeight w:val="213"/>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51"/>
              <w:spacing w:after="0"/>
              <w:rPr>
                <w:sz w:val="20"/>
                <w:szCs w:val="20"/>
                <w:color w:val="auto"/>
              </w:rPr>
            </w:pPr>
            <w:r>
              <w:rPr>
                <w:rFonts w:ascii="Arial" w:cs="Arial" w:eastAsia="Arial" w:hAnsi="Arial"/>
                <w:sz w:val="18"/>
                <w:szCs w:val="18"/>
                <w:color w:val="auto"/>
              </w:rPr>
              <w:t>755,178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755,178</w:t>
            </w: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Accumulated deficits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(2,680,143)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(2,601,858)</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(78,285)</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effective on the adoption date of ASC 606 are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 to the adoption of ASC 606, revenues is considered realizable and earned in accordance with ASC 605 when all of the following criteria are met: persuasive evidence of a sales arrangement exists; delivery has occurred or services have been rendered; the price is fixed or determinable; and collectability is reasonably assured. Accordingly, revenues from time-and-expense basis contracts are recognized as the related services are rendered assuming all other basic revenue recognition criteria are met. The Company is reimbursed for actual hours incurred at pre-agreed negotiated hourly billing rates. Customers may terminate the contracts at any time before the work is completed but are obligated to pay the actual service hours incurred through the termination date at the contract billing rates. Under ASC 606, the series of IT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Prior to the adoption of ASC 606, the Company recognizes revenue proportionally over the term of the contract in accordance with ASC 605. Revenue is recognized as the service is performed using the percentage of completion method of accounting, under which the total value of revenue is recognized on the basis of the percentage that total labor cost to date bears to the total expected labor costs. Under ASC 606, there are two performance obligations identified in the fixed-price basis contracts: the delivery of customized IT solution service and the completion of the PCS. The transaction price is allocated between the two performance obligations based on the relative standalone selling price, estimated using the cost plus method.</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opening and closing balances of contract assets arising from contracts with customers as of June 30, 2020 were nil and $233,149, respectively, and the opening and closing balances of deferred contract costs arising from contracts with customers as of June 30, 2020 were $477,359 and $106,734. The opening and closing balances of contract liabilities arising from contracts with customers as of June 30, 2020 were $685,900 and $755,178, respectively. Revenue recognized in the year ended June 30, 2020 that was included in the contract liability balance at the beginning of the period was $631,851. This revenue was driven primarily by IT solution service performance obligations being satisfied.</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mainly consisted of compensation expenses for the Company’s IT professionals, travel expenses and material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also receives government subsidies related to government sponsored projects, and records such government subsidies as a liability when it is received. The Company records government subsidies as other income when there is no further performance obligation.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Advertising expenditures are expensed as incurred and such expenses were minimal for all the periods presented. Advertising expenditures have been included as part of selling and marketing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accounts for uncertainties in income taxes in accordance with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(loss) in the period incurred. No significant penalties or interest relating to income taxes have been incurred during the years ended June 30, 2020, 2019 and 2018. All of the tax returns of the Company’s subsidiaries in China remain subject to examination by the tax authorities for five years from the date of filing through year 2024, and the examination period was extended to 10 years for entities qualified as High and New Technology Enterprises (“HNTEs”) in 2018 and thereafter.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issued warrants to certain consultants and underwriters in May 2018 in connection with the closing of the IPO. The warrants carry a term of five years expiring in May 2023 and are exercisable during the five-year period. The warrants are classified as equity contracts and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6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3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 change in any of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Basic earnings (loss) per share is computed using the weighted average number of common shares outstanding during the period. Diluted earnings (loss) per share is computed using the weighted average number of common shares and potential common shares outstanding during the period, which may include RSUs, options and warrants. The computation of diluted earnings (loss) per share does not assume conversion, exercise, or contingent issuance of securities that would have an anti-dilutive effect (i.e. an increase in earnings per share amounts) on earnings (loss) per share.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The functional currency of the Company is US$. The functional currencies of the Company’s subsidiaries are the local currency of the country in which the subsidiary operates, which is determined based on ASC topic 830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income (loss).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 xml:space="preserve">The Company applies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defines fair value, establishes a framework for measuring fair value and expands disclosures about fair value measurements. ASC 820 requires disclosures to be provided for fair value measurements.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Financial instruments of the Company primarily consist of cash and cash equivalents, short-term investments, accounts receivable, escrow receivable, amounts due from related parties, equity investments without readily determinable fair values, accounts payable and other current liabilities, short-term bank loans and long-term bank loans. The carrying amounts of these financial instruments, except for short-term investments, equity investments without readily determinable fair values and long-term bank loans approximate their fair values because of their generally short maturities.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fair value of the Company’s trading securities is measured using the income approach, based on quoted market interest rates of similar instruments and other significant inputs derived from or corroborated by observable market data.</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carrying amount of long-term bank loans approximates its fair value due to the fact that the related interest rates approximate market rates for similar debt instruments of comparable maturities.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measures equity investments without readily determinable fair values and elected to use the measurement alternative at fair value on a nonrecurring basis, in the cases of an impairment charge is recognized, fair value of an investment is remeasured in an acquisition/a disposal, and an orderly transaction for identical or similar investments of the same issuer is identified. The non-recurring fair value measurements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 valuation methodologies involved require management to use the observable transaction price at the transaction date and other unobservable inputs (level 3) such as volatility of comparable companies and probability of exit events as it relates to liquidation and redemption preferences.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8"/>
          </w:tcPr>
          <w:p>
            <w:pPr>
              <w:jc w:val="right"/>
              <w:ind w:right="551"/>
              <w:spacing w:after="0"/>
              <w:rPr>
                <w:sz w:val="20"/>
                <w:szCs w:val="20"/>
                <w:color w:val="auto"/>
              </w:rPr>
            </w:pPr>
            <w:r>
              <w:rPr>
                <w:rFonts w:ascii="Arial" w:cs="Arial" w:eastAsia="Arial" w:hAnsi="Arial"/>
                <w:sz w:val="18"/>
                <w:szCs w:val="18"/>
                <w:b w:val="1"/>
                <w:bCs w:val="1"/>
                <w:color w:val="auto"/>
              </w:rPr>
              <w:t>Fair Value Measurements as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300" w:type="dxa"/>
            <w:vAlign w:val="bottom"/>
            <w:gridSpan w:val="3"/>
          </w:tcPr>
          <w:p>
            <w:pPr>
              <w:jc w:val="right"/>
              <w:ind w:right="120"/>
              <w:spacing w:after="0" w:line="195" w:lineRule="exact"/>
              <w:rPr>
                <w:sz w:val="20"/>
                <w:szCs w:val="20"/>
                <w:color w:val="auto"/>
              </w:rPr>
            </w:pPr>
            <w:r>
              <w:rPr>
                <w:rFonts w:ascii="Arial" w:cs="Arial" w:eastAsia="Arial" w:hAnsi="Arial"/>
                <w:sz w:val="18"/>
                <w:szCs w:val="18"/>
                <w:b w:val="1"/>
                <w:bCs w:val="1"/>
                <w:color w:val="auto"/>
                <w:w w:val="87"/>
              </w:rPr>
              <w:t>Quoted Price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Active Market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Identical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7"/>
              </w:rPr>
              <w:t>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18"/>
                <w:szCs w:val="18"/>
                <w:color w:val="auto"/>
              </w:rPr>
            </w:pPr>
          </w:p>
        </w:tc>
        <w:tc>
          <w:tcPr>
            <w:tcW w:w="980" w:type="dxa"/>
            <w:vAlign w:val="bottom"/>
          </w:tcPr>
          <w:p>
            <w:pPr>
              <w:jc w:val="center"/>
              <w:ind w:left="51"/>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980" w:type="dxa"/>
            <w:vAlign w:val="bottom"/>
          </w:tcPr>
          <w:p>
            <w:pPr>
              <w:jc w:val="center"/>
              <w:ind w:left="51"/>
              <w:spacing w:after="0"/>
              <w:rPr>
                <w:sz w:val="20"/>
                <w:szCs w:val="20"/>
                <w:color w:val="auto"/>
              </w:rPr>
            </w:pPr>
            <w:r>
              <w:rPr>
                <w:rFonts w:ascii="Arial" w:cs="Arial" w:eastAsia="Arial" w:hAnsi="Arial"/>
                <w:sz w:val="18"/>
                <w:szCs w:val="18"/>
                <w:b w:val="1"/>
                <w:bCs w:val="1"/>
                <w:color w:val="auto"/>
                <w:w w:val="93"/>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0"/>
        </w:trPr>
        <w:tc>
          <w:tcPr>
            <w:tcW w:w="18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8"/>
                <w:szCs w:val="18"/>
                <w:b w:val="1"/>
                <w:bCs w:val="1"/>
                <w:i w:val="1"/>
                <w:iCs w:val="1"/>
                <w:color w:val="auto"/>
                <w:w w:val="86"/>
              </w:rPr>
              <w:t>Fair value measurements</w:t>
            </w:r>
          </w:p>
        </w:tc>
        <w:tc>
          <w:tcPr>
            <w:tcW w:w="27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0"/>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Recurring</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458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1"/>
        </w:trPr>
        <w:tc>
          <w:tcPr>
            <w:tcW w:w="4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Trading securities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636,934</w:t>
            </w:r>
          </w:p>
        </w:tc>
        <w:tc>
          <w:tcPr>
            <w:tcW w:w="108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09"/>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8"/>
          </w:tcPr>
          <w:p>
            <w:pPr>
              <w:jc w:val="right"/>
              <w:ind w:right="551"/>
              <w:spacing w:after="0"/>
              <w:rPr>
                <w:sz w:val="20"/>
                <w:szCs w:val="20"/>
                <w:color w:val="auto"/>
              </w:rPr>
            </w:pPr>
            <w:r>
              <w:rPr>
                <w:rFonts w:ascii="Arial" w:cs="Arial" w:eastAsia="Arial" w:hAnsi="Arial"/>
                <w:sz w:val="18"/>
                <w:szCs w:val="18"/>
                <w:b w:val="1"/>
                <w:bCs w:val="1"/>
                <w:color w:val="auto"/>
              </w:rPr>
              <w:t>Fair Value Measurements 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2019</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300" w:type="dxa"/>
            <w:vAlign w:val="bottom"/>
            <w:gridSpan w:val="3"/>
          </w:tcPr>
          <w:p>
            <w:pPr>
              <w:jc w:val="center"/>
              <w:ind w:right="120"/>
              <w:spacing w:after="0" w:line="195" w:lineRule="exact"/>
              <w:rPr>
                <w:sz w:val="20"/>
                <w:szCs w:val="20"/>
                <w:color w:val="auto"/>
              </w:rPr>
            </w:pPr>
            <w:r>
              <w:rPr>
                <w:rFonts w:ascii="Arial" w:cs="Arial" w:eastAsia="Arial" w:hAnsi="Arial"/>
                <w:sz w:val="18"/>
                <w:szCs w:val="18"/>
                <w:b w:val="1"/>
                <w:bCs w:val="1"/>
                <w:color w:val="auto"/>
                <w:w w:val="88"/>
              </w:rPr>
              <w:t>Quoted Price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Active Market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Identical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r>
      <w:tr>
        <w:trPr>
          <w:trHeight w:val="213"/>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7"/>
              </w:rPr>
              <w:t>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18"/>
                <w:szCs w:val="18"/>
                <w:color w:val="auto"/>
              </w:rPr>
            </w:pPr>
          </w:p>
        </w:tc>
        <w:tc>
          <w:tcPr>
            <w:tcW w:w="980" w:type="dxa"/>
            <w:vAlign w:val="bottom"/>
          </w:tcPr>
          <w:p>
            <w:pPr>
              <w:jc w:val="center"/>
              <w:ind w:left="51"/>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980" w:type="dxa"/>
            <w:vAlign w:val="bottom"/>
          </w:tcPr>
          <w:p>
            <w:pPr>
              <w:jc w:val="center"/>
              <w:ind w:left="51"/>
              <w:spacing w:after="0"/>
              <w:rPr>
                <w:sz w:val="20"/>
                <w:szCs w:val="20"/>
                <w:color w:val="auto"/>
              </w:rPr>
            </w:pPr>
            <w:r>
              <w:rPr>
                <w:rFonts w:ascii="Arial" w:cs="Arial" w:eastAsia="Arial" w:hAnsi="Arial"/>
                <w:sz w:val="18"/>
                <w:szCs w:val="18"/>
                <w:b w:val="1"/>
                <w:bCs w:val="1"/>
                <w:color w:val="auto"/>
                <w:w w:val="93"/>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0"/>
        </w:trPr>
        <w:tc>
          <w:tcPr>
            <w:tcW w:w="18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8"/>
                <w:szCs w:val="18"/>
                <w:b w:val="1"/>
                <w:bCs w:val="1"/>
                <w:i w:val="1"/>
                <w:iCs w:val="1"/>
                <w:color w:val="auto"/>
                <w:w w:val="86"/>
              </w:rPr>
              <w:t>Fair value measurements</w:t>
            </w:r>
          </w:p>
        </w:tc>
        <w:tc>
          <w:tcPr>
            <w:tcW w:w="27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0"/>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Recurring</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458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4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Trading securities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1,791,697</w:t>
            </w:r>
          </w:p>
        </w:tc>
        <w:tc>
          <w:tcPr>
            <w:tcW w:w="108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the year ended June 30, 2020, the Company recognized nil gain or loss for the equity investments using the measurement alternative. As of June 30, 2019, the Company had no financial assets and liabilities measured and recorded at fair value on a non-recurring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Comprehensive income (loss) is defined as the decrease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 xml:space="preserve">In accordance with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 majority of the Company’s expense transactions are denominated in Renminbi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as set forth in the H.10 statistical release of the U.S. Federal Reserve Board. Remittances in currencies other than RMB by the Company in China must be processed through the People’s Bank of China (“PBOC”) or other China foreign exchange regulatory bodies which require certain supporting documentation in order to affect the remittance.</w:t>
      </w:r>
    </w:p>
    <w:p>
      <w:pPr>
        <w:spacing w:after="0" w:line="162" w:lineRule="exact"/>
        <w:rPr>
          <w:sz w:val="20"/>
          <w:szCs w:val="20"/>
          <w:color w:val="auto"/>
        </w:rPr>
      </w:pPr>
    </w:p>
    <w:p>
      <w:pPr>
        <w:jc w:val="both"/>
        <w:ind w:left="20"/>
        <w:spacing w:after="0" w:line="292" w:lineRule="auto"/>
        <w:rPr>
          <w:sz w:val="20"/>
          <w:szCs w:val="20"/>
          <w:color w:val="auto"/>
        </w:rPr>
      </w:pPr>
      <w:r>
        <w:rPr>
          <w:rFonts w:ascii="Arial" w:cs="Arial" w:eastAsia="Arial" w:hAnsi="Arial"/>
          <w:sz w:val="16"/>
          <w:szCs w:val="16"/>
          <w:color w:val="auto"/>
        </w:rPr>
        <w:t>The functional currency for the Company’s PRC subsidiaries is the RMB, and the financial statements are presented in U.S. dollars. The RMB appreciated by 2.4% in fiscal 2018, depreciated by 3.7% in fiscal 2019 and depreciated by 2.9% in fiscal 2020, respectively. It is difficult to predict how market forces or PRC or U.S. government policy may impact the exchange rate between the RMB and the U.S. dollar in the future. The change in the value of the RMB relative to the U.S. dollar may affect the Company’s financial results reported in the U.S. dollar terms without giving effect to any underlying changes in its business or results of operations. Currently, the majority of the Company’s assets, liabilities, revenues and costs are denominated in RMB.</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 (continued)</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Concentration of credit risk</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Financial instruments that potentially subject the Company to significant concentration of credit risk consist primarily of cash and cash equivalents, short-term investments, account receivables, escrow receivable, note receivables, amounts due from related parties and equity investments without readily determined fair values. As of June 30, 2020 and 2019, $11,027,764 and $1,891,584 of the Company’s cash and cash equivalents was on deposit at financial institutions in the PRC where there currently is no rule or regulation requiring such financial institutions to maintain insurance to cover bank deposits in the event of bank failure. As of June 30, 2020, the Company and its subsidiaries had $11,027,764, $940,854, $8,350, $516,816, $1,496, $58,789 and $98,051 of cash and cash equivalents on deposit at financial institutions in mainland China, Singapore, Australia, Hong Kong, India, Malaysia and Japan, respectively. As of June 30, 2019, the Company had $450,388, $25,444 and $4,233,919 of cash and cash equivalents on deposit at financial institutions in Singapore, Australia and Hong Kong, respectively. The Company continues to monitor the financial strength of the financial institutions. There has been no recent history of default in relation to these financial institutions.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conducts credit evaluations on its customers and generally does not require collateral or other security from such customers. The Company periodically evaluates the creditworthiness of the existing customers in determining an allowance for doubtful accounts primarily based upon the age of the receivables and factors surrounding the credit risk of specific customers.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Significant customers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years ended June 30, 2020, 2019 and 2018, one customer with its affiliates accounted for 21.5%, 25.7% and 30.8% of the Company’s total revenues, respectively. For the years ended June 30, 2020 and 2019, one customer and its affiliates accounted for 30.1% and 30.0% of the Company’s total accounts receivable balance,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The Company has adopted the extended transition period.</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ASU 2016-02, which modifies lease accounting for lessees to increase transparency and comparability by recording lease assets and liabilities for operating leases and disclosing key information about leasing arrangements. In July 2018, the FASB issued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or ASU 2018-10, to supersede ASU 2016-02. In addition, the FASB issued ASU No.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xml:space="preserve">, that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June 2020, the FASB issued ASU No. 2020-05,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w:t>
      </w:r>
      <w:r>
        <w:rPr>
          <w:rFonts w:ascii="Arial" w:cs="Arial" w:eastAsia="Arial" w:hAnsi="Arial"/>
          <w:sz w:val="16"/>
          <w:szCs w:val="16"/>
          <w:i w:val="1"/>
          <w:iCs w:val="1"/>
          <w:color w:val="auto"/>
        </w:rPr>
        <w:t>Leases (Topic 842): Effective Dates for Certain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which amended the effective date of Topic 842, Leases</w:t>
      </w:r>
      <w:r>
        <w:rPr>
          <w:rFonts w:ascii="Arial" w:cs="Arial" w:eastAsia="Arial" w:hAnsi="Arial"/>
          <w:sz w:val="16"/>
          <w:szCs w:val="16"/>
          <w:color w:val="auto"/>
        </w:rPr>
        <w:t>. The updated guidance is effective for the Company’s annual reporting period ending June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interim periods during the year ending June 30, 2023. The Company does not plan to early adopt the new lease standards and the Company expects that applying the ASU 2016-02 would materially increase its assets and liabilities due to the recognition of right-of-use assets and lease liabilities on its consolidated balance sheets, with an immaterial impact on its consolidated statements of comprehensive loss and cash flows.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or ASU 2016-13</w:t>
      </w:r>
      <w:r>
        <w:rPr>
          <w:rFonts w:ascii="Arial" w:cs="Arial" w:eastAsia="Arial" w:hAnsi="Arial"/>
          <w:sz w:val="16"/>
          <w:szCs w:val="16"/>
          <w:color w:val="auto"/>
        </w:rPr>
        <w:t>. This ASU is intended to improve financial reporting by requiring timelier recording of credit losses on loans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held by financial institutions and other organizations. This ASU requires the measurement of all expected credit losses for financial assets held at the reporting date based on historical experience, current conditions, and reasonable and supportable forecasts. This ASU requires enhanced disclosures to help investors and other financial statement users better understand significant estimates and judgments used in estimating credit losses, as well as the credit quality and underwriting standards of the Company’s portfolio. These disclosures include qualitative and quantitative requirements that provide additional information about the amounts recorded in the financial statements. In November 2018, the FASB issued ASU No. 2018-19</w:t>
      </w:r>
      <w:r>
        <w:rPr>
          <w:rFonts w:ascii="Arial" w:cs="Arial" w:eastAsia="Arial" w:hAnsi="Arial"/>
          <w:sz w:val="16"/>
          <w:szCs w:val="16"/>
          <w:i w:val="1"/>
          <w:iCs w:val="1"/>
          <w:color w:val="auto"/>
        </w:rPr>
        <w:t>, 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326, Financial Instruments—Credit Losses</w:t>
      </w:r>
      <w:r>
        <w:rPr>
          <w:rFonts w:ascii="Arial" w:cs="Arial" w:eastAsia="Arial" w:hAnsi="Arial"/>
          <w:sz w:val="16"/>
          <w:szCs w:val="16"/>
          <w:color w:val="auto"/>
        </w:rPr>
        <w:t>, which clarifies that receivables arising from operating leases should be accounted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ASC 842</w:t>
      </w:r>
      <w:r>
        <w:rPr>
          <w:rFonts w:ascii="Arial" w:cs="Arial" w:eastAsia="Arial" w:hAnsi="Arial"/>
          <w:sz w:val="16"/>
          <w:szCs w:val="16"/>
          <w:i w:val="1"/>
          <w:iCs w:val="1"/>
          <w:color w:val="auto"/>
        </w:rPr>
        <w:t>, Leases (“ASC 842”) instead of</w:t>
      </w:r>
      <w:r>
        <w:rPr>
          <w:rFonts w:ascii="Arial" w:cs="Arial" w:eastAsia="Arial" w:hAnsi="Arial"/>
          <w:sz w:val="16"/>
          <w:szCs w:val="16"/>
          <w:color w:val="auto"/>
        </w:rPr>
        <w:t xml:space="preserve"> ASC Subtopic 326-20. In November 2019, the FASB issued ASU No. 2019-10</w:t>
      </w:r>
      <w:r>
        <w:rPr>
          <w:rFonts w:ascii="Arial" w:cs="Arial" w:eastAsia="Arial" w:hAnsi="Arial"/>
          <w:sz w:val="16"/>
          <w:szCs w:val="16"/>
          <w:i w:val="1"/>
          <w:iCs w:val="1"/>
          <w:color w:val="auto"/>
        </w:rPr>
        <w:t>,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 Derivatives and Hedging (Topic 815)</w:t>
      </w:r>
      <w:r>
        <w:rPr>
          <w:rFonts w:ascii="Arial" w:cs="Arial" w:eastAsia="Arial" w:hAnsi="Arial"/>
          <w:sz w:val="16"/>
          <w:szCs w:val="16"/>
          <w:color w:val="auto"/>
        </w:rPr>
        <w:t>, and</w:t>
      </w:r>
      <w:r>
        <w:rPr>
          <w:rFonts w:ascii="Arial" w:cs="Arial" w:eastAsia="Arial" w:hAnsi="Arial"/>
          <w:sz w:val="16"/>
          <w:szCs w:val="16"/>
          <w:i w:val="1"/>
          <w:iCs w:val="1"/>
          <w:color w:val="auto"/>
        </w:rPr>
        <w:t xml:space="preserve"> Leases (Topic 842): Effective Dates</w:t>
      </w:r>
      <w:r>
        <w:rPr>
          <w:rFonts w:ascii="Arial" w:cs="Arial" w:eastAsia="Arial" w:hAnsi="Arial"/>
          <w:sz w:val="16"/>
          <w:szCs w:val="16"/>
          <w:color w:val="auto"/>
        </w:rPr>
        <w:t>, which amended the effective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2016-13. The amendments in these ASUs are effective for the Company’s annual reporting period ending June 30, 2023 and interim periods during the year ending June 30, 2023. Early adoption is permitted. The Company does not expect to early adopt this guidance and is in the process of evaluating the impact of adoption of this guidance on the Company’s consolidated financial statements.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 part of its Simplification Initiative to reduce the cost and complexity in accounting for income taxes. This standard removes certain exceptions related to the approach for intra period tax allocation, the methodology for calculating income taxes in an interim period and the recognition of deferred tax liabilities for outside basis differences. It also amends other aspects of the guidance to help simplify and promote consistent application of GAAP. ASU 2019-12 is effective for the Company’s annual reporting period ending June 30, 2022 and interim periods during the year ending June 30, 2023. The Company does not expect to early adopt this guidance and is in the process of evaluating the impact of adoption of this guidance on the Company’s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The guidance begins to take effect for impairment tests performed during the fiscal year ending June 30, 2022. Earlier application is permitted. The guidance should be applied on a prospective basis. The Company does not expect to early adopt this guidance and is in the process of evaluating the impact of adoption of this guidance on the Company’s consolidated financial statements.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 (“ASU 2018-13”)</w:t>
      </w:r>
      <w:r>
        <w:rPr>
          <w:rFonts w:ascii="Arial" w:cs="Arial" w:eastAsia="Arial" w:hAnsi="Arial"/>
          <w:sz w:val="16"/>
          <w:szCs w:val="16"/>
          <w:color w:val="auto"/>
        </w:rPr>
        <w:t>, which modifies the disclosure requirements on fair value measurements in Topic 820,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new guidance, disclosure requirements on the amount of and reasons for transfers between Level 1 and Level 2 of the fair value hierarchy, the policy for timing of transfers between levels and the valuation processes for Level 3 fair value measurements are being removed; and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In addition, new disclosure requirements are added on the changes in unrealized gains and losses for the period included in other comprehensive loss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guidance is effective for the Company beginning July 1, 2020. Earlier application is permitted. The Company does not expect the adoption will have material impact on the consolidation financial statements.</w:t>
      </w:r>
    </w:p>
    <w:p>
      <w:pPr>
        <w:spacing w:after="0" w:line="172" w:lineRule="exact"/>
        <w:rPr>
          <w:sz w:val="20"/>
          <w:szCs w:val="20"/>
          <w:color w:val="auto"/>
        </w:rPr>
      </w:pPr>
    </w:p>
    <w:p>
      <w:pPr>
        <w:jc w:val="both"/>
        <w:ind w:firstLine="25"/>
        <w:spacing w:after="0" w:line="266"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Investments—Equity Securities (Topic 321), Investments—Equity Method and Joint Ventures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323), and Derivatives and Hedging (Topic 815)</w:t>
      </w:r>
      <w:r>
        <w:rPr>
          <w:rFonts w:ascii="Arial" w:cs="Arial" w:eastAsia="Arial" w:hAnsi="Arial"/>
          <w:sz w:val="17"/>
          <w:szCs w:val="17"/>
          <w:color w:val="auto"/>
        </w:rPr>
        <w:t>. The amendments clarify that an entity should consider observable transactions that require it to either apply</w:t>
      </w:r>
      <w:r>
        <w:rPr>
          <w:rFonts w:ascii="Arial" w:cs="Arial" w:eastAsia="Arial" w:hAnsi="Arial"/>
          <w:sz w:val="17"/>
          <w:szCs w:val="17"/>
          <w:i w:val="1"/>
          <w:iCs w:val="1"/>
          <w:color w:val="auto"/>
        </w:rPr>
        <w:t xml:space="preserve"> </w:t>
      </w:r>
      <w:r>
        <w:rPr>
          <w:rFonts w:ascii="Arial" w:cs="Arial" w:eastAsia="Arial" w:hAnsi="Arial"/>
          <w:sz w:val="17"/>
          <w:szCs w:val="17"/>
          <w:color w:val="auto"/>
        </w:rPr>
        <w:t>or discontinue the equity method of accounting for the purposes of applying the measurement alternative in accordance with Topic 321 immediately before applying or upon discontinuing the equity method. The amendments also clarify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An entity also would evaluate the remaining characteristics in paragraph 815-10-15-141 to determine the accounting for those forward contracts and purchased options. The amendments are effective for fiscal years beginning July 1, 2022, and interim periods within those fiscal years. The Company does not expect to early adopt this guidance and is in the process of evaluating the impact of adoption of this guidance on the Company’s consolidated financial statements.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does not believe other recently issued but not yet effective accounting statements, if recently adopted, would have a material effect on the Company’s consolidated balance sheets, statements of comprehensive income (loss) and statements of cash flows.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Huanyu</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September 27, 2017, the Company made an investment of $0.15 million (RMB 1,000,000) for a 30% of equity interest in Huanyu which was accounted for as an equity method investment (Note 10).</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May 24, 2019, the Company purchased the remaining 70% equity interest of Huanyu for $0.07 million (RMB 462,000) and became the sole shareholder of Huanyu.</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87,674</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4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50,045</w:t>
            </w:r>
          </w:p>
        </w:tc>
        <w:tc>
          <w:tcPr>
            <w:tcW w:w="80" w:type="dxa"/>
            <w:vAlign w:val="bottom"/>
            <w:shd w:val="clear" w:color="auto" w:fill="CCEEFF"/>
          </w:tcPr>
          <w:p>
            <w:pPr>
              <w:spacing w:after="0"/>
              <w:rPr>
                <w:sz w:val="21"/>
                <w:szCs w:val="21"/>
                <w:color w:val="auto"/>
              </w:rPr>
            </w:pPr>
          </w:p>
        </w:tc>
      </w:tr>
      <w:tr>
        <w:trPr>
          <w:trHeight w:val="200"/>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Previous held equity interests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219,272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U.S.GAAP, and comprise the expected but unidentifiable business growth as a result of the synergy resulting from the acquisition. The goodwill is not tax deductible. No intangible assets were identified from the acquisition.</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 forma financial information of Huanyu is not presented as the effects of the acquisition on the Company’s consolidated financial statements were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Infogain</w:t>
      </w:r>
    </w:p>
    <w:p>
      <w:pPr>
        <w:spacing w:after="0" w:line="220" w:lineRule="exact"/>
        <w:rPr>
          <w:sz w:val="20"/>
          <w:szCs w:val="20"/>
          <w:color w:val="auto"/>
        </w:rPr>
      </w:pPr>
    </w:p>
    <w:p>
      <w:pPr>
        <w:jc w:val="both"/>
        <w:ind w:firstLine="12"/>
        <w:spacing w:after="0" w:line="270" w:lineRule="auto"/>
        <w:rPr>
          <w:sz w:val="20"/>
          <w:szCs w:val="20"/>
          <w:color w:val="auto"/>
        </w:rPr>
      </w:pPr>
      <w:r>
        <w:rPr>
          <w:rFonts w:ascii="Arial" w:cs="Arial" w:eastAsia="Arial" w:hAnsi="Arial"/>
          <w:sz w:val="18"/>
          <w:szCs w:val="18"/>
          <w:color w:val="auto"/>
        </w:rPr>
        <w:t>On August 20, 2018, CLPS SG acquired an 80% equity interest in Infogain located in Singapore from Sharma Devendra Prasad and Deepak Malhotra with the final purchase price of $0.4 million (or approximately 576,000 Singapore dollars).</w:t>
      </w:r>
    </w:p>
    <w:p>
      <w:pPr>
        <w:spacing w:after="0" w:line="175" w:lineRule="exact"/>
        <w:rPr>
          <w:sz w:val="20"/>
          <w:szCs w:val="20"/>
          <w:color w:val="auto"/>
        </w:rPr>
      </w:pPr>
    </w:p>
    <w:p>
      <w:pPr>
        <w:jc w:val="both"/>
        <w:ind w:firstLine="12"/>
        <w:spacing w:after="0" w:line="253"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458,943</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14,454</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337,685</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(504,235)</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(57,406)</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(64,879)</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420,101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09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 -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Infogain (continued)</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Identifiable intangible assets acquired include customer contracts, which were valued using an income approach and determined to carry estimated remaining useful lives of approximately three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 forma financial information of Infogain is not presented as the effects of the acquisition on the Company’s consolidated financial statements were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Ridik Pte. and Ridik Consulting</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26, 2019, Qiner acquired an 80% equity interest in Ridik Pte. Ltd. (“Ridik Pte.”) located in Singapore from third-party selling shareholders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and Ridik Software Solutions Ltd. (“Ridik Software”) are all subsidiaries of Ridik Pte.</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20" w:type="dxa"/>
            <w:vAlign w:val="bottom"/>
          </w:tcPr>
          <w:p>
            <w:pPr>
              <w:spacing w:after="0"/>
              <w:rPr>
                <w:sz w:val="20"/>
                <w:szCs w:val="20"/>
                <w:color w:val="auto"/>
              </w:rPr>
            </w:pPr>
            <w:r>
              <w:rPr>
                <w:rFonts w:ascii="Arial" w:cs="Arial" w:eastAsia="Arial" w:hAnsi="Arial"/>
                <w:sz w:val="18"/>
                <w:szCs w:val="18"/>
                <w:color w:val="auto"/>
              </w:rPr>
              <w:t>The purchase price allocation to assets acquired and liabilities assumed as of the date of acquisition was as follows: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618,144</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103,697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904,748</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Short-term bank loans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(48,103)</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(128,688)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Tax payables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(102,978)</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(431,548)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Long-term bank loans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(44,201)</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(162,855)</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(411,351)</w:t>
            </w:r>
          </w:p>
        </w:tc>
      </w:tr>
      <w:tr>
        <w:trPr>
          <w:trHeight w:val="23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1,689,899</w:t>
            </w:r>
          </w:p>
        </w:tc>
        <w:tc>
          <w:tcPr>
            <w:tcW w:w="80" w:type="dxa"/>
            <w:vAlign w:val="bottom"/>
            <w:shd w:val="clear" w:color="auto" w:fill="CCEEFF"/>
          </w:tcPr>
          <w:p>
            <w:pPr>
              <w:spacing w:after="0"/>
              <w:rPr>
                <w:sz w:val="20"/>
                <w:szCs w:val="20"/>
                <w:color w:val="auto"/>
              </w:rPr>
            </w:pPr>
          </w:p>
        </w:tc>
      </w:tr>
      <w:tr>
        <w:trPr>
          <w:trHeight w:val="207"/>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2,462,580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33"/>
        </w:trPr>
        <w:tc>
          <w:tcPr>
            <w:tcW w:w="10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 forma financial information of Ridik Pte. and Ridik Consulting are not presented as the effects of the acquisition on the Company’s consolidated financial statements were not material.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Accounts receivable, net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25,850,996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19,345,329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(97,140)</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(81,745)</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25,753,856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19,263,584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movement of the allowance for doubtful accounts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Provision for (reversal of) doubtful accounts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(65,076)</w:t>
            </w: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(2,316)</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the end of the year</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97,140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ESCROW RECEIVABLE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2019, the Company placed $200,000 in an escrow account in connection with the Company’s indemnification as part of its IPO raise. The escrow receivable was collected on February 10,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6 – PREPAYMENTS, DEPOSITS AND OTHER ASSETS,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Prepayments, deposits and other assets, net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Advances and deposits to suppliers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233,149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388,010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from Judge Asia</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212,447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Note receivables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110,744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148,329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(212,447)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1,525,354</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1,250,661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Long-term portion</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(244,387)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(222,507)</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1,280,967</w:t>
            </w:r>
          </w:p>
        </w:tc>
        <w:tc>
          <w:tcPr>
            <w:tcW w:w="22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1,028,154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PREPAYMENTS, DEPOSITS AND OTHER ASSETS, NET -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movement of the allowance for doubtful accounts is as follows:</w:t>
      </w:r>
    </w:p>
    <w:p>
      <w:pPr>
        <w:spacing w:after="0" w:line="229"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As of June 30,</w:t>
      </w:r>
    </w:p>
    <w:p>
      <w:pPr>
        <w:sectPr>
          <w:pgSz w:w="11900" w:h="16838" w:orient="portrait"/>
          <w:cols w:equalWidth="0" w:num="1">
            <w:col w:w="11240"/>
          </w:cols>
          <w:pgMar w:left="320" w:top="895" w:right="3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Provision (reversal) for doubtful accounts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Write-off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177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225" cy="17780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9"/>
        </w:trPr>
        <w:tc>
          <w:tcPr>
            <w:tcW w:w="240" w:type="dxa"/>
            <w:vAlign w:val="bottom"/>
          </w:tcPr>
          <w:p>
            <w:pPr>
              <w:jc w:val="right"/>
              <w:ind w:right="51"/>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147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6,149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213,422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(5,817)</w:t>
            </w:r>
          </w:p>
        </w:tc>
      </w:tr>
      <w:tr>
        <w:trPr>
          <w:trHeight w:val="213"/>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40"/>
        </w:trPr>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7"/>
        </w:trPr>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212,447</w:t>
            </w: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 of June 30,</w:t>
      </w:r>
    </w:p>
    <w:p>
      <w:pPr>
        <w:spacing w:after="0" w:line="23" w:lineRule="exact"/>
        <w:rPr>
          <w:sz w:val="20"/>
          <w:szCs w:val="20"/>
          <w:color w:val="auto"/>
        </w:rPr>
      </w:pPr>
    </w:p>
    <w:p>
      <w:pPr>
        <w:sectPr>
          <w:pgSz w:w="11900" w:h="16838" w:orient="portrait"/>
          <w:cols w:equalWidth="0" w:num="2">
            <w:col w:w="7940" w:space="720"/>
            <w:col w:w="258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86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Office Furniture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130,026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126,279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416,936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416,724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73,672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1,436,673</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1,214,260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(984,201)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(647,669)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452,472</w:t>
            </w: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566,591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Depreciation expense was $360,302, $239,349 and $152,342 for the years ended June 30, 2020, 2019 and 2018, respectively. No impairment loss was recognized for the years ended June 30, 2020, 2019 and 2018.</w:t>
      </w:r>
    </w:p>
    <w:p>
      <w:pPr>
        <w:sectPr>
          <w:pgSz w:w="11900" w:h="16838" w:orient="portrait"/>
          <w:cols w:equalWidth="0" w:num="1">
            <w:col w:w="11240"/>
          </w:cols>
          <w:pgMar w:left="320" w:top="89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intangible assets,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7134225" cy="152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Customer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accumulated amortization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86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5671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7"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37" w:lineRule="exact"/>
        <w:rPr>
          <w:sz w:val="20"/>
          <w:szCs w:val="20"/>
          <w:color w:val="auto"/>
        </w:rPr>
      </w:pPr>
    </w:p>
    <w:p>
      <w:pPr>
        <w:spacing w:after="0"/>
        <w:tabs>
          <w:tab w:leader="none" w:pos="540" w:val="left"/>
          <w:tab w:leader="none" w:pos="134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658,224</w:t>
        <w:tab/>
        <w:t>$</w:t>
      </w:r>
      <w:r>
        <w:rPr>
          <w:sz w:val="20"/>
          <w:szCs w:val="20"/>
          <w:color w:val="auto"/>
        </w:rPr>
        <w:tab/>
      </w:r>
      <w:r>
        <w:rPr>
          <w:rFonts w:ascii="Arial" w:cs="Arial" w:eastAsia="Arial" w:hAnsi="Arial"/>
          <w:sz w:val="16"/>
          <w:szCs w:val="16"/>
          <w:color w:val="auto"/>
        </w:rPr>
        <w:t>677,767</w:t>
      </w:r>
    </w:p>
    <w:p>
      <w:pPr>
        <w:spacing w:after="0" w:line="19" w:lineRule="exact"/>
        <w:rPr>
          <w:sz w:val="20"/>
          <w:szCs w:val="20"/>
          <w:color w:val="auto"/>
        </w:rPr>
      </w:pPr>
    </w:p>
    <w:p>
      <w:pPr>
        <w:ind w:left="560"/>
        <w:spacing w:after="0"/>
        <w:tabs>
          <w:tab w:leader="none" w:pos="2400" w:val="left"/>
        </w:tabs>
        <w:rPr>
          <w:sz w:val="20"/>
          <w:szCs w:val="20"/>
          <w:color w:val="auto"/>
        </w:rPr>
      </w:pPr>
      <w:r>
        <w:rPr>
          <w:rFonts w:ascii="Arial" w:cs="Arial" w:eastAsia="Arial" w:hAnsi="Arial"/>
          <w:sz w:val="18"/>
          <w:szCs w:val="18"/>
          <w:color w:val="auto"/>
        </w:rPr>
        <w:t>896,572</w:t>
      </w:r>
      <w:r>
        <w:rPr>
          <w:sz w:val="20"/>
          <w:szCs w:val="20"/>
          <w:color w:val="auto"/>
        </w:rPr>
        <w:tab/>
      </w:r>
      <w:r>
        <w:rPr>
          <w:rFonts w:ascii="Arial" w:cs="Arial" w:eastAsia="Arial" w:hAnsi="Arial"/>
          <w:sz w:val="18"/>
          <w:szCs w:val="18"/>
          <w:color w:val="auto"/>
        </w:rPr>
        <w:t>-</w:t>
      </w:r>
    </w:p>
    <w:p>
      <w:pPr>
        <w:spacing w:after="0" w:line="6" w:lineRule="exact"/>
        <w:rPr>
          <w:sz w:val="20"/>
          <w:szCs w:val="20"/>
          <w:color w:val="auto"/>
        </w:rPr>
      </w:pPr>
    </w:p>
    <w:p>
      <w:pPr>
        <w:ind w:left="660"/>
        <w:spacing w:after="0"/>
        <w:tabs>
          <w:tab w:leader="none" w:pos="2400" w:val="left"/>
        </w:tabs>
        <w:rPr>
          <w:sz w:val="20"/>
          <w:szCs w:val="20"/>
          <w:color w:val="auto"/>
        </w:rPr>
      </w:pPr>
      <w:r>
        <w:rPr>
          <w:rFonts w:ascii="Arial" w:cs="Arial" w:eastAsia="Arial" w:hAnsi="Arial"/>
          <w:sz w:val="18"/>
          <w:szCs w:val="18"/>
          <w:color w:val="auto"/>
        </w:rPr>
        <w:t>63,884</w:t>
      </w:r>
      <w:r>
        <w:rPr>
          <w:sz w:val="20"/>
          <w:szCs w:val="20"/>
          <w:color w:val="auto"/>
        </w:rPr>
        <w:tab/>
      </w:r>
      <w:r>
        <w:rPr>
          <w:rFonts w:ascii="Arial" w:cs="Arial" w:eastAsia="Arial" w:hAnsi="Arial"/>
          <w:sz w:val="18"/>
          <w:szCs w:val="18"/>
          <w:color w:val="auto"/>
        </w:rPr>
        <w:t>-</w:t>
      </w:r>
    </w:p>
    <w:p>
      <w:pPr>
        <w:spacing w:after="0" w:line="6" w:lineRule="exact"/>
        <w:rPr>
          <w:sz w:val="20"/>
          <w:szCs w:val="20"/>
          <w:color w:val="auto"/>
        </w:rPr>
      </w:pPr>
    </w:p>
    <w:p>
      <w:pPr>
        <w:jc w:val="right"/>
        <w:ind w:right="40"/>
        <w:spacing w:after="0"/>
        <w:tabs>
          <w:tab w:leader="none" w:pos="680" w:val="left"/>
        </w:tabs>
        <w:rPr>
          <w:sz w:val="20"/>
          <w:szCs w:val="20"/>
          <w:color w:val="auto"/>
        </w:rPr>
      </w:pPr>
      <w:r>
        <w:rPr>
          <w:rFonts w:ascii="Arial" w:cs="Arial" w:eastAsia="Arial" w:hAnsi="Arial"/>
          <w:sz w:val="18"/>
          <w:szCs w:val="18"/>
          <w:color w:val="auto"/>
        </w:rPr>
        <w:t>(474,101)</w:t>
      </w:r>
      <w:r>
        <w:rPr>
          <w:sz w:val="20"/>
          <w:szCs w:val="20"/>
          <w:color w:val="auto"/>
        </w:rPr>
        <w:tab/>
      </w:r>
      <w:r>
        <w:rPr>
          <w:rFonts w:ascii="Arial" w:cs="Arial" w:eastAsia="Arial" w:hAnsi="Arial"/>
          <w:sz w:val="16"/>
          <w:szCs w:val="16"/>
          <w:color w:val="auto"/>
        </w:rPr>
        <w:t>(249,998)</w:t>
      </w:r>
    </w:p>
    <w:p>
      <w:pPr>
        <w:spacing w:after="0" w:line="60" w:lineRule="exact"/>
        <w:rPr>
          <w:sz w:val="20"/>
          <w:szCs w:val="20"/>
          <w:color w:val="auto"/>
        </w:rPr>
      </w:pPr>
    </w:p>
    <w:p>
      <w:pPr>
        <w:spacing w:after="0"/>
        <w:tabs>
          <w:tab w:leader="none" w:pos="400" w:val="left"/>
          <w:tab w:leader="none" w:pos="134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1,144,579</w:t>
        <w:tab/>
        <w:t>$</w:t>
      </w:r>
      <w:r>
        <w:rPr>
          <w:sz w:val="20"/>
          <w:szCs w:val="20"/>
          <w:color w:val="auto"/>
        </w:rPr>
        <w:tab/>
      </w:r>
      <w:r>
        <w:rPr>
          <w:rFonts w:ascii="Arial" w:cs="Arial" w:eastAsia="Arial" w:hAnsi="Arial"/>
          <w:sz w:val="16"/>
          <w:szCs w:val="16"/>
          <w:color w:val="auto"/>
        </w:rPr>
        <w:t>427,769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15671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895" w:right="339" w:bottom="1440" w:gutter="0" w:footer="0" w:header="0"/>
          <w:type w:val="continuous"/>
        </w:sectPr>
      </w:pP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Customer contracts were derived from the acquisitions of Judge China during the year ended June 30, 2017 and Infogain during the year ended June 30, 2019, and the customer relationship was derived from the acquisition of Ridik Pte. during the year ended June 30, 2020 with an estimated useful life of 10, 3 and 10 years, respectively (Note 3).</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2" w:name="page143"/>
    <w:bookmarkEnd w:id="142"/>
    <w:p>
      <w:pPr>
        <w:jc w:val="center"/>
        <w:ind w:left="1966"/>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left="1966"/>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left="1966"/>
        <w:spacing w:after="0"/>
        <w:rPr>
          <w:sz w:val="20"/>
          <w:szCs w:val="20"/>
          <w:color w:val="auto"/>
        </w:rPr>
      </w:pPr>
      <w:r>
        <w:rPr>
          <w:rFonts w:ascii="Arial" w:cs="Arial" w:eastAsia="Arial" w:hAnsi="Arial"/>
          <w:sz w:val="17"/>
          <w:szCs w:val="17"/>
          <w:color w:val="auto"/>
        </w:rPr>
        <w:t>(Amounts in U.S. dollars (“$”), except for number of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 -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movement of intangible assets, net is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690880</wp:posOffset>
            </wp:positionV>
            <wp:extent cx="7134225" cy="152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Addition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86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For the year</w:t>
      </w:r>
    </w:p>
    <w:p>
      <w:pPr>
        <w:spacing w:after="0" w:line="23"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p>
    <w:p>
      <w:pPr>
        <w:ind w:left="546" w:hanging="546"/>
        <w:spacing w:after="0"/>
        <w:tabs>
          <w:tab w:leader="none" w:pos="546" w:val="left"/>
        </w:tabs>
        <w:numPr>
          <w:ilvl w:val="0"/>
          <w:numId w:val="80"/>
        </w:numPr>
        <w:rPr>
          <w:rFonts w:ascii="Arial" w:cs="Arial" w:eastAsia="Arial" w:hAnsi="Arial"/>
          <w:sz w:val="17"/>
          <w:szCs w:val="17"/>
          <w:color w:val="auto"/>
        </w:rPr>
      </w:pPr>
      <w:r>
        <w:rPr>
          <w:rFonts w:ascii="Arial" w:cs="Arial" w:eastAsia="Arial" w:hAnsi="Arial"/>
          <w:sz w:val="17"/>
          <w:szCs w:val="17"/>
          <w:color w:val="auto"/>
        </w:rPr>
        <w:t>427,769</w:t>
      </w:r>
    </w:p>
    <w:p>
      <w:pPr>
        <w:spacing w:after="0" w:line="30" w:lineRule="exact"/>
        <w:rPr>
          <w:rFonts w:ascii="Arial" w:cs="Arial" w:eastAsia="Arial" w:hAnsi="Arial"/>
          <w:sz w:val="17"/>
          <w:szCs w:val="17"/>
          <w:color w:val="auto"/>
        </w:rPr>
      </w:pPr>
    </w:p>
    <w:p>
      <w:pPr>
        <w:ind w:left="546"/>
        <w:spacing w:after="0"/>
        <w:rPr>
          <w:rFonts w:ascii="Arial" w:cs="Arial" w:eastAsia="Arial" w:hAnsi="Arial"/>
          <w:sz w:val="17"/>
          <w:szCs w:val="17"/>
          <w:color w:val="auto"/>
        </w:rPr>
      </w:pPr>
      <w:r>
        <w:rPr>
          <w:rFonts w:ascii="Arial" w:cs="Arial" w:eastAsia="Arial" w:hAnsi="Arial"/>
          <w:sz w:val="17"/>
          <w:szCs w:val="17"/>
          <w:color w:val="auto"/>
        </w:rPr>
        <w:t>940,913</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(232,871)</w:t>
      </w:r>
    </w:p>
    <w:p>
      <w:pPr>
        <w:spacing w:after="0" w:line="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8,768</w:t>
      </w:r>
    </w:p>
    <w:p>
      <w:pPr>
        <w:spacing w:after="0" w:line="60" w:lineRule="exact"/>
        <w:rPr>
          <w:sz w:val="20"/>
          <w:szCs w:val="20"/>
          <w:color w:val="auto"/>
        </w:rPr>
      </w:pPr>
    </w:p>
    <w:p>
      <w:pPr>
        <w:ind w:left="406" w:hanging="406"/>
        <w:spacing w:after="0"/>
        <w:tabs>
          <w:tab w:leader="none" w:pos="406" w:val="left"/>
        </w:tabs>
        <w:numPr>
          <w:ilvl w:val="0"/>
          <w:numId w:val="81"/>
        </w:numPr>
        <w:rPr>
          <w:rFonts w:ascii="Arial" w:cs="Arial" w:eastAsia="Arial" w:hAnsi="Arial"/>
          <w:sz w:val="17"/>
          <w:szCs w:val="17"/>
          <w:color w:val="auto"/>
        </w:rPr>
      </w:pPr>
      <w:r>
        <w:rPr>
          <w:rFonts w:ascii="Arial" w:cs="Arial" w:eastAsia="Arial" w:hAnsi="Arial"/>
          <w:sz w:val="17"/>
          <w:szCs w:val="17"/>
          <w:color w:val="auto"/>
        </w:rPr>
        <w:t>1,144,579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118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94" w:space="720"/>
            <w:col w:w="1226"/>
          </w:cols>
          <w:pgMar w:left="320" w:top="895" w:right="339" w:bottom="1440" w:gutter="0" w:footer="0" w:header="0"/>
        </w:sectPr>
      </w:pP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amortization expenses were $232,871, $164,351 and $53,827 for the years ended June 30, 2020, 2019 and 2018. Estimated future amortization expenses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r>
      <w:tr>
        <w:trPr>
          <w:trHeight w:val="239"/>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ending June 30,</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r>
      <w:tr>
        <w:trPr>
          <w:trHeight w:val="213"/>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151,973</w:t>
            </w:r>
          </w:p>
        </w:tc>
      </w:tr>
      <w:tr>
        <w:trPr>
          <w:trHeight w:val="213"/>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147,845</w:t>
            </w:r>
          </w:p>
        </w:tc>
      </w:tr>
      <w:tr>
        <w:trPr>
          <w:trHeight w:val="213"/>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102,434</w:t>
            </w:r>
          </w:p>
        </w:tc>
      </w:tr>
      <w:tr>
        <w:trPr>
          <w:trHeight w:val="213"/>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98,613</w:t>
            </w:r>
          </w:p>
        </w:tc>
      </w:tr>
      <w:tr>
        <w:trPr>
          <w:trHeight w:val="234"/>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2026 and after</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381,044</w:t>
            </w:r>
          </w:p>
        </w:tc>
        <w:tc>
          <w:tcPr>
            <w:tcW w:w="100" w:type="dxa"/>
            <w:vAlign w:val="bottom"/>
            <w:tcBorders>
              <w:bottom w:val="single" w:sz="8" w:color="CCEEFF"/>
            </w:tcBorders>
          </w:tcPr>
          <w:p>
            <w:pPr>
              <w:spacing w:after="0"/>
              <w:rPr>
                <w:sz w:val="20"/>
                <w:szCs w:val="20"/>
                <w:color w:val="auto"/>
              </w:rPr>
            </w:pPr>
          </w:p>
        </w:tc>
      </w:tr>
      <w:tr>
        <w:trPr>
          <w:trHeight w:val="247"/>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1,144,579</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losses were recognized for the years ended June 30, 2020, 2019 and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2020 were as follows:</w:t>
      </w:r>
    </w:p>
    <w:p>
      <w:pPr>
        <w:spacing w:after="0" w:line="216" w:lineRule="exact"/>
        <w:rPr>
          <w:sz w:val="20"/>
          <w:szCs w:val="20"/>
          <w:color w:val="auto"/>
        </w:rPr>
      </w:pPr>
    </w:p>
    <w:p>
      <w:pPr>
        <w:jc w:val="center"/>
        <w:ind w:left="9880"/>
        <w:spacing w:after="0"/>
        <w:rPr>
          <w:sz w:val="20"/>
          <w:szCs w:val="20"/>
          <w:color w:val="auto"/>
        </w:rPr>
      </w:pPr>
      <w:r>
        <w:rPr>
          <w:rFonts w:ascii="Arial" w:cs="Arial" w:eastAsia="Arial" w:hAnsi="Arial"/>
          <w:sz w:val="18"/>
          <w:szCs w:val="18"/>
          <w:b w:val="1"/>
          <w:bCs w:val="1"/>
          <w:color w:val="auto"/>
        </w:rPr>
        <w:t>For the year</w:t>
      </w:r>
    </w:p>
    <w:p>
      <w:pPr>
        <w:spacing w:after="0" w:line="23" w:lineRule="exact"/>
        <w:rPr>
          <w:sz w:val="20"/>
          <w:szCs w:val="20"/>
          <w:color w:val="auto"/>
        </w:rPr>
      </w:pPr>
    </w:p>
    <w:p>
      <w:pPr>
        <w:jc w:val="center"/>
        <w:ind w:left="9880"/>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left="9880"/>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left="9880"/>
        <w:spacing w:after="0"/>
        <w:rPr>
          <w:sz w:val="20"/>
          <w:szCs w:val="20"/>
          <w:color w:val="auto"/>
        </w:rPr>
      </w:pPr>
      <w:r>
        <w:rPr>
          <w:rFonts w:ascii="Arial" w:cs="Arial" w:eastAsia="Arial" w:hAnsi="Arial"/>
          <w:sz w:val="18"/>
          <w:szCs w:val="18"/>
          <w:b w:val="1"/>
          <w:bCs w:val="1"/>
          <w:color w:val="auto"/>
        </w:rPr>
        <w:t>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2019</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447,790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Goodwill arising from acquisition of Ridik Pte.(Note 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1,689,899</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 arising from acquisition of Ridik Consulting (Note 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w:t>
            </w: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(28,348)</w:t>
            </w:r>
          </w:p>
        </w:tc>
      </w:tr>
      <w:tr>
        <w:trPr>
          <w:trHeight w:val="247"/>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only one reporting unit. For the years ended June 30, 2020 and 2019, the Company performed a qualitative assessment of the goodwill for the reporting unit based on the requirements of ASC 350-20. The Company evaluated all relevant factors, weighed all factors in their entirety and concluded that it was not more-likely-than-not that the fair value of the reporting unit was less than its carrying amount. Therefore, further impairment testing on goodwill was unnecessary as of June 30, 2020 and 2019,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10 – LONG-TERM INVESTMENTS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i w:val="1"/>
                <w:iCs w:val="1"/>
                <w:color w:val="auto"/>
              </w:rPr>
              <w:t>Equity investments without readily determinable fair values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CLPS Lihong Financial Information Services Co., Ltd. (“CLPS Lihong”)</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510,405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 method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CLPS Lihong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844,643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Economic Modeling Information Technology Co., Ltd. (“EMIT”)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169,726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680,131</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914,006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a)</w:t>
        <w:tab/>
        <w:t>Investment in CLPS Lihong</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 2019, the Company purchased approximately 37% equity interest in CLPS Lihong at a cash consideration of $0.15 (RMB 1).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a loss of $176,148 (RMB 1,201,523).</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29, 2020, the Company sold an 18.42% equity interest in CLPS Lihong with the carrying amount of $535,119 (RMB 3,779,120) to a third-party investor for a cash consideration of $995,605 (RMB 7 million) which was received as of June 30, 2020. The disposal gain of $433,490 (RMB 3,047,824) was recorded in the consolidated statements of comprehensive income for the year ended June 30, 2020. Concurrently, on April 29, 2020, the Company’s remaining equity interest in CLPS Lihong was further diluted to 7% as CLPS Lihong raised additional capital from other third-party investors.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the partial disposal, the carrying amount of long-term investment in CLPS Lihong was $510,405 (RMB 3,606,065). As the Company no longer had significant influence over CLPS Lihong, it accounted for the investment in accordance with ASC 321 using the measurement alternative and elected to measure such equity investments without readily determinable fair values at cost, less any impairment, plus or minus changes resulting from observable price changes in orderly transactions for identical or similar investments of the same issuer, if 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period from July 1, 2019 to April 29, 2020, the Company’s share of CLPS Lihong’s results of operations was an income of $250,290 (RMB 1,759,764) in accordance with ASC 323. For the period from April 30, 2020 to June 30, 2020, unrealized gains (upward adjustments) and losses (downward adjustments and impairment) under ASC 321 was nil as there was no such remeasurement for the equity investments without readily determinable fair values.</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Investment in EMIT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3, 2019, Qiner purchased a 30% equity interest of EMIT at nil consideration with a committed to invest $445,454.14 (RMB 3,000,000.00) in total within 20 years. During the years ended June 30, 2020 and 2019, the Company made capital contribution to EMIT of $143,299 (RMB 1,000,000.00) and $73,593 (RMB500,000.00), respectively. The Company accounts for the investment in EMIT as an equity method investment due to its significant influence over the entity. For the years ended June 30, 2020 and 2019, the Company’s share of EMIT’s results of operations was a loss of $42,927 (RMB 301,878) and $4,230 (RMB 28,853), respectively. As the end of June 30, 2020 and 2019, the committed but not yet made investment in EMIT was $228,561 (RMB 1,500,000.00) and $371,860 (RMB 2,500,000.00),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of the equity method investees are not presented as the effects were not material.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11 – BANK LOANS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Outstanding balances of short-term bank loans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Loan from Bank of Communication</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1,132,327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Loans from China Merchants Bank</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990,785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1,456,664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Loans from Development Bank of Singapore</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60,681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2,183,793</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2,184,996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Long-term portion</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Short term bank loans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2,161,239</w:t>
            </w:r>
          </w:p>
        </w:tc>
        <w:tc>
          <w:tcPr>
            <w:tcW w:w="22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2,184,996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Bank loans payable consisted of several bank loans denominated in RMB and Singapore dollars (“SGD”).</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3, 2018, the Company entered into a credit facility with China Merchants Bank which permits the Company to borrow up to $1,111,712 (RMB 7,000,000). The Company borrowed $1,111,712 (RMB 7,000,000) with an interest rate at 5.655% per annum on February 9, 2018 and repaid the loan on July 2, 2018.</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22, 2018, the Company entered into a revolving credit facility with China Merchants Bank (“CMB Credit Facility 2018”) which permits the Company to borrow up to approximately $1,543,115 (RMB 10,000,000) for the period from July 11, 2018 to July 10, 2019 with an interest rate at 5.655% per annum. The CMB Credit Facility 2018 is guaranteed by the CEO, the wife of the CEO, Chairman, and the wife of Chairman of the Company, and Shanghai Small and Medium-sized Enterprises Policy Financing Guarantee Fund Management Centre as joint guarantors. Under the credit facility, the Company borrowed a total of $1,543,115 (RMB 10,000,000) which was repaid between August 9, 2019 and December 20, 2019.</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16, 2019, the Company entered into a revolving credit facility with China Merchants Bank (“CMB Credit Facility 2019”) which permits the Company to borrow up to approximately $2,830,816 (RMB 20,000,000) for the period from December 16, 2019 to December 15, 2020 with an interest rate at 4.5% to 4.785% per annum. The CMB Credit Facility 2019 is guaranteed by the CEO, the wife of the CEO, Chairman, and the wife of Chairman of the Company as joint guarantors. Under the credit facility, the Company borrowed a total of $2,689,275 (RMB 19,000,000) with an interest rate at 4.5% to 4.785% per annum which was repaid on April 21, 2020 and July 7, 2020.</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December 5, 2019, the Company entered into a credit facility with Bank of Communication which permits the Company to borrow up to $707,704 (RMB 5,000,000). The Company borrowed $707,704 (RMB 5,000,000) with an interest rate at 4.785% per annum on December 5, 2019 and repaid the loan on July 3, 2020.</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8, 2020, the Company entered into a credit facility with Bank of Communication which permits the Company to borrow up to $424,622 (RMB 3,000,000). The Company borrowed $424,622 (RMB 3,000,000) with an interest rate at 4.785% per annum on January 8, 2020 and repaid the loan on July 6, 2020.</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April 20, 2018, the Company entered into a credit facility with Development Bank of Singapore which permits the Company to borrow up to $86,071 (SGD 120,000). The Company borrowed $86,071 (SGD 120,000) with an interest rate at 7% per annum on April 20, 2018 which is repaid by installments from April 20, 2018 to April 19, 2021. The credit facility is guaranteed by Srustijeet Mishra, the non-controlling interest shareholder of Ridik Pte.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2019, the Company entered into a credit facility with Development Bank of Singapore which permits the Company to borrow up to $50,208 (SGD 70,000). The Company borrowed $50,208 (SGD 70,000) with an interest rate at 6.75% per annum on February 11, 2019 which shall be repaid by installments from 2019 to 2023. The Company repaid $15,269 (SGD21,288) by the end of June 30, 2020. The amount of $22,554 (SGD 31,445) due after June 30, 2021 was classified as “Long-term portion”.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Interest expenses were $90,940, $96,278 and $82,507 for the years ended June 30, 2020, 2019 and 2018, respectively. The effective weighted average interest rates were 4.168%, 5.231% and 5.845% for the years ended June 30, 2020,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SALARIES AND BENEFITS PAYABLE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$2,319,120 and $1,856,456 accrued employer portion of social benefits payable to local governments as of June 30, 2020 and 2019,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44"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2020 and 2019 consisted of:</w:t>
      </w:r>
    </w:p>
    <w:p>
      <w:pPr>
        <w:sectPr>
          <w:pgSz w:w="11900" w:h="16838" w:orient="portrait"/>
          <w:cols w:equalWidth="0" w:num="1">
            <w:col w:w="11240"/>
          </w:cols>
          <w:pgMar w:left="320" w:top="895" w:right="339" w:bottom="41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7568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75685" cy="1714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Judge Asia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Xiao Feng Yang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Raymond Ming Hui Lin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EMIT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CareerWin Executive Search Co., Ltd (“CareerWin”)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Ridik Technology Pte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Srustijeet Mishra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Beijing Bright Technology Co., Ltd (“Beijing Bright”)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CLPS Lihong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Related party balances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balances due to and due from related parties were as follows: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9059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90595" cy="17145"/>
                    </a:xfrm>
                    <a:prstGeom prst="rect">
                      <a:avLst/>
                    </a:prstGeom>
                    <a:noFill/>
                  </pic:spPr>
                </pic:pic>
              </a:graphicData>
            </a:graphic>
          </wp:anchor>
        </w:drawing>
      </w:r>
    </w:p>
    <w:p>
      <w:pPr>
        <w:spacing w:after="0" w:line="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Non-controlling interest shareholder of Judge China before November 9, 2019</w:t>
      </w:r>
    </w:p>
    <w:p>
      <w:pPr>
        <w:spacing w:after="0"/>
        <w:rPr>
          <w:sz w:val="20"/>
          <w:szCs w:val="20"/>
          <w:color w:val="auto"/>
        </w:rPr>
      </w:pPr>
      <w:r>
        <w:rPr>
          <w:rFonts w:ascii="Arial" w:cs="Arial" w:eastAsia="Arial" w:hAnsi="Arial"/>
          <w:sz w:val="18"/>
          <w:szCs w:val="18"/>
          <w:color w:val="auto"/>
        </w:rPr>
        <w:t>Chairman of the Board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CEO of the Company</w:t>
      </w:r>
    </w:p>
    <w:p>
      <w:pPr>
        <w:spacing w:after="0" w:line="6" w:lineRule="exact"/>
        <w:rPr>
          <w:sz w:val="20"/>
          <w:szCs w:val="20"/>
          <w:color w:val="auto"/>
        </w:rPr>
      </w:pPr>
    </w:p>
    <w:p>
      <w:pPr>
        <w:ind w:right="1960"/>
        <w:spacing w:after="0" w:line="247" w:lineRule="auto"/>
        <w:rPr>
          <w:sz w:val="20"/>
          <w:szCs w:val="20"/>
          <w:color w:val="auto"/>
        </w:rPr>
      </w:pPr>
      <w:r>
        <w:rPr>
          <w:rFonts w:ascii="Arial" w:cs="Arial" w:eastAsia="Arial" w:hAnsi="Arial"/>
          <w:sz w:val="18"/>
          <w:szCs w:val="18"/>
          <w:color w:val="auto"/>
        </w:rPr>
        <w:t>Equity investee of the Company Non-controlling interest shareholder of Judge HR</w:t>
      </w:r>
    </w:p>
    <w:p>
      <w:pPr>
        <w:spacing w:after="0" w:line="1" w:lineRule="exact"/>
        <w:rPr>
          <w:sz w:val="20"/>
          <w:szCs w:val="20"/>
          <w:color w:val="auto"/>
        </w:rPr>
      </w:pPr>
    </w:p>
    <w:p>
      <w:pPr>
        <w:ind w:right="980"/>
        <w:spacing w:after="0" w:line="250" w:lineRule="auto"/>
        <w:rPr>
          <w:sz w:val="20"/>
          <w:szCs w:val="20"/>
          <w:color w:val="auto"/>
        </w:rPr>
      </w:pPr>
      <w:r>
        <w:rPr>
          <w:rFonts w:ascii="Arial" w:cs="Arial" w:eastAsia="Arial" w:hAnsi="Arial"/>
          <w:sz w:val="18"/>
          <w:szCs w:val="18"/>
          <w:color w:val="auto"/>
        </w:rPr>
        <w:t>Controlled by non-controlling interest shareholder of Ridik Pte. Non-controlling interest shareholder of Ridik Pte. Non-controlling interest shareholder of Judge China Equity investee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As of June 30,</w:t>
      </w:r>
    </w:p>
    <w:p>
      <w:pPr>
        <w:spacing w:after="0" w:line="23" w:lineRule="exact"/>
        <w:rPr>
          <w:sz w:val="20"/>
          <w:szCs w:val="20"/>
          <w:color w:val="auto"/>
        </w:rPr>
      </w:pPr>
    </w:p>
    <w:p>
      <w:pPr>
        <w:sectPr>
          <w:pgSz w:w="11900" w:h="16838" w:orient="portrait"/>
          <w:cols w:equalWidth="0" w:num="2">
            <w:col w:w="5020" w:space="720"/>
            <w:col w:w="5500"/>
          </w:cols>
          <w:pgMar w:left="320" w:top="895" w:right="339" w:bottom="41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86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Judge Asia</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212,736</w:t>
            </w:r>
          </w:p>
        </w:tc>
        <w:tc>
          <w:tcPr>
            <w:tcW w:w="0" w:type="dxa"/>
            <w:vAlign w:val="bottom"/>
          </w:tcPr>
          <w:p>
            <w:pPr>
              <w:spacing w:after="0"/>
              <w:rPr>
                <w:sz w:val="1"/>
                <w:szCs w:val="1"/>
                <w:color w:val="auto"/>
              </w:rPr>
            </w:pPr>
          </w:p>
        </w:tc>
      </w:tr>
      <w:tr>
        <w:trPr>
          <w:trHeight w:val="227"/>
        </w:trPr>
        <w:tc>
          <w:tcPr>
            <w:tcW w:w="8660" w:type="dxa"/>
            <w:vAlign w:val="bottom"/>
          </w:tcPr>
          <w:p>
            <w:pPr>
              <w:ind w:left="180"/>
              <w:spacing w:after="0"/>
              <w:rPr>
                <w:sz w:val="20"/>
                <w:szCs w:val="20"/>
                <w:color w:val="auto"/>
              </w:rPr>
            </w:pPr>
            <w:r>
              <w:rPr>
                <w:rFonts w:ascii="Arial" w:cs="Arial" w:eastAsia="Arial" w:hAnsi="Arial"/>
                <w:sz w:val="18"/>
                <w:szCs w:val="18"/>
                <w:color w:val="auto"/>
              </w:rPr>
              <w:t>Raymond Ming Hui Lin</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169,185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169,185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230,540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Due from related parties mainly represents the expenses paid on behalf of the non-controlling interest shareholder of Judge China and advances to the Company’s CEO.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  Related party transactions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rPr>
              <w:t>For the year ended,</w:t>
            </w:r>
          </w:p>
        </w:tc>
        <w:tc>
          <w:tcPr>
            <w:tcW w:w="920" w:type="dxa"/>
            <w:vAlign w:val="bottom"/>
            <w:tcBorders>
              <w:bottom w:val="single" w:sz="8" w:color="auto"/>
            </w:tcBorders>
          </w:tcPr>
          <w:p>
            <w:pPr>
              <w:spacing w:after="0"/>
              <w:rPr>
                <w:sz w:val="20"/>
                <w:szCs w:val="20"/>
                <w:color w:val="auto"/>
              </w:rPr>
            </w:pPr>
          </w:p>
        </w:tc>
      </w:tr>
      <w:tr>
        <w:trPr>
          <w:trHeight w:val="220"/>
        </w:trPr>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2018</w:t>
            </w:r>
          </w:p>
        </w:tc>
      </w:tr>
      <w:tr>
        <w:trPr>
          <w:trHeight w:val="426"/>
        </w:trPr>
        <w:tc>
          <w:tcPr>
            <w:tcW w:w="360" w:type="dxa"/>
            <w:vAlign w:val="bottom"/>
          </w:tcPr>
          <w:p>
            <w:pPr>
              <w:spacing w:after="0"/>
              <w:rPr>
                <w:sz w:val="20"/>
                <w:szCs w:val="20"/>
                <w:color w:val="auto"/>
              </w:rPr>
            </w:pPr>
            <w:r>
              <w:rPr>
                <w:rFonts w:ascii="Arial" w:cs="Arial" w:eastAsia="Arial" w:hAnsi="Arial"/>
                <w:sz w:val="18"/>
                <w:szCs w:val="18"/>
                <w:b w:val="1"/>
                <w:bCs w:val="1"/>
                <w:color w:val="auto"/>
              </w:rPr>
              <w:t>a)</w:t>
            </w:r>
          </w:p>
        </w:tc>
        <w:tc>
          <w:tcPr>
            <w:tcW w:w="5580" w:type="dxa"/>
            <w:vAlign w:val="bottom"/>
          </w:tcPr>
          <w:p>
            <w:pPr>
              <w:ind w:left="200"/>
              <w:spacing w:after="0"/>
              <w:rPr>
                <w:sz w:val="20"/>
                <w:szCs w:val="20"/>
                <w:color w:val="auto"/>
              </w:rPr>
            </w:pPr>
            <w:r>
              <w:rPr>
                <w:rFonts w:ascii="Arial" w:cs="Arial" w:eastAsia="Arial" w:hAnsi="Arial"/>
                <w:sz w:val="18"/>
                <w:szCs w:val="18"/>
                <w:b w:val="1"/>
                <w:bCs w:val="1"/>
                <w:color w:val="auto"/>
              </w:rPr>
              <w:t>Consulting services provided to the related parties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1"/>
        </w:trPr>
        <w:tc>
          <w:tcPr>
            <w:tcW w:w="360" w:type="dxa"/>
            <w:vAlign w:val="bottom"/>
            <w:shd w:val="clear" w:color="auto" w:fill="CCEEFF"/>
          </w:tcPr>
          <w:p>
            <w:pPr>
              <w:spacing w:after="0"/>
              <w:rPr>
                <w:sz w:val="20"/>
                <w:szCs w:val="20"/>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CareerWin</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165,161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560" w:hanging="553"/>
        <w:spacing w:after="0"/>
        <w:tabs>
          <w:tab w:leader="none" w:pos="5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 provided by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35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ind w:left="560"/>
              <w:spacing w:after="0"/>
              <w:rPr>
                <w:sz w:val="20"/>
                <w:szCs w:val="20"/>
                <w:color w:val="auto"/>
              </w:rPr>
            </w:pPr>
            <w:r>
              <w:rPr>
                <w:rFonts w:ascii="Arial" w:cs="Arial" w:eastAsia="Arial" w:hAnsi="Arial"/>
                <w:sz w:val="18"/>
                <w:szCs w:val="18"/>
                <w:color w:val="auto"/>
              </w:rPr>
              <w:t>CareerWin</w:t>
            </w:r>
          </w:p>
        </w:tc>
        <w:tc>
          <w:tcPr>
            <w:tcW w:w="3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195,817</w:t>
            </w:r>
          </w:p>
        </w:tc>
        <w:tc>
          <w:tcPr>
            <w:tcW w:w="72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EMIT</w:t>
            </w:r>
          </w:p>
        </w:tc>
        <w:tc>
          <w:tcPr>
            <w:tcW w:w="2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560" w:type="dxa"/>
            <w:vAlign w:val="bottom"/>
          </w:tcPr>
          <w:p>
            <w:pPr>
              <w:ind w:left="560"/>
              <w:spacing w:after="0"/>
              <w:rPr>
                <w:sz w:val="20"/>
                <w:szCs w:val="20"/>
                <w:color w:val="auto"/>
              </w:rPr>
            </w:pPr>
            <w:r>
              <w:rPr>
                <w:rFonts w:ascii="Arial" w:cs="Arial" w:eastAsia="Arial" w:hAnsi="Arial"/>
                <w:sz w:val="18"/>
                <w:szCs w:val="18"/>
                <w:color w:val="auto"/>
              </w:rPr>
              <w:t>Beijing Bright</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114,052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560" w:type="dxa"/>
            <w:vAlign w:val="bottom"/>
            <w:tcBorders>
              <w:top w:val="single" w:sz="8" w:color="CCEEFF"/>
              <w:bottom w:val="single" w:sz="8" w:color="CCEEFF"/>
            </w:tcBorders>
            <w:shd w:val="clear" w:color="auto" w:fill="CCEEFF"/>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ind w:left="560" w:hanging="553"/>
        <w:spacing w:after="0"/>
        <w:tabs>
          <w:tab w:leader="none" w:pos="5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software from the related parties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Beijing Bright</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50,988</w:t>
            </w:r>
          </w:p>
        </w:tc>
        <w:tc>
          <w:tcPr>
            <w:tcW w:w="720" w:type="dxa"/>
            <w:vAlign w:val="bottom"/>
            <w:gridSpan w:val="2"/>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560" w:type="dxa"/>
            <w:vAlign w:val="bottom"/>
          </w:tcPr>
          <w:p>
            <w:pPr>
              <w:ind w:left="560"/>
              <w:spacing w:after="0"/>
              <w:rPr>
                <w:sz w:val="20"/>
                <w:szCs w:val="20"/>
                <w:color w:val="auto"/>
              </w:rPr>
            </w:pPr>
            <w:r>
              <w:rPr>
                <w:rFonts w:ascii="Arial" w:cs="Arial" w:eastAsia="Arial" w:hAnsi="Arial"/>
                <w:sz w:val="18"/>
                <w:szCs w:val="18"/>
                <w:color w:val="auto"/>
              </w:rPr>
              <w:t>EMIT</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560" w:type="dxa"/>
            <w:vAlign w:val="bottom"/>
            <w:tcBorders>
              <w:top w:val="single" w:sz="8" w:color="CCEEFF"/>
              <w:bottom w:val="single" w:sz="8" w:color="CCEEFF"/>
            </w:tcBorders>
            <w:shd w:val="clear" w:color="auto" w:fill="CCEEFF"/>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ind w:left="560" w:hanging="553"/>
        <w:spacing w:after="0"/>
        <w:tabs>
          <w:tab w:leader="none" w:pos="5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Loans provided to the related parties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CLPS Lihong</w:t>
            </w:r>
          </w:p>
        </w:tc>
        <w:tc>
          <w:tcPr>
            <w:tcW w:w="33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149,341</w:t>
            </w: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820,982</w:t>
            </w:r>
          </w:p>
        </w:tc>
        <w:tc>
          <w:tcPr>
            <w:tcW w:w="6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540" w:type="dxa"/>
            <w:vAlign w:val="bottom"/>
          </w:tcPr>
          <w:p>
            <w:pPr>
              <w:ind w:left="560"/>
              <w:spacing w:after="0"/>
              <w:rPr>
                <w:sz w:val="20"/>
                <w:szCs w:val="20"/>
                <w:color w:val="auto"/>
              </w:rPr>
            </w:pPr>
            <w:r>
              <w:rPr>
                <w:rFonts w:ascii="Arial" w:cs="Arial" w:eastAsia="Arial" w:hAnsi="Arial"/>
                <w:sz w:val="18"/>
                <w:szCs w:val="18"/>
                <w:color w:val="auto"/>
              </w:rPr>
              <w:t>EMIT</w:t>
            </w: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540" w:type="dxa"/>
            <w:vAlign w:val="bottom"/>
            <w:tcBorders>
              <w:top w:val="single" w:sz="8" w:color="CCEEFF"/>
              <w:bottom w:val="single" w:sz="8" w:color="CCEEFF"/>
            </w:tcBorders>
            <w:shd w:val="clear" w:color="auto" w:fill="CCEEFF"/>
          </w:tcPr>
          <w:p>
            <w:pPr>
              <w:spacing w:after="0"/>
              <w:rPr>
                <w:sz w:val="20"/>
                <w:szCs w:val="20"/>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ind w:left="560" w:hanging="553"/>
        <w:spacing w:after="0"/>
        <w:tabs>
          <w:tab w:leader="none" w:pos="5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loans from the related parties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shd w:val="clear" w:color="auto" w:fill="CCEEFF"/>
          </w:tcPr>
          <w:p>
            <w:pPr>
              <w:spacing w:after="0"/>
              <w:rPr>
                <w:sz w:val="18"/>
                <w:szCs w:val="18"/>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CLPS Lihong</w:t>
            </w:r>
          </w:p>
        </w:tc>
        <w:tc>
          <w:tcPr>
            <w:tcW w:w="20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149,341</w:t>
            </w: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820,982</w:t>
            </w:r>
          </w:p>
        </w:tc>
        <w:tc>
          <w:tcPr>
            <w:tcW w:w="6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EMIT</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w:t>
            </w:r>
          </w:p>
        </w:tc>
        <w:tc>
          <w:tcPr>
            <w:tcW w:w="55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Interest income received from the related party</w:t>
            </w: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vMerge w:val="continue"/>
          </w:tcPr>
          <w:p>
            <w:pPr>
              <w:spacing w:after="0"/>
              <w:rPr>
                <w:sz w:val="17"/>
                <w:szCs w:val="17"/>
                <w:color w:val="auto"/>
              </w:rPr>
            </w:pPr>
          </w:p>
        </w:tc>
        <w:tc>
          <w:tcPr>
            <w:tcW w:w="55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0" w:type="dxa"/>
            <w:vAlign w:val="bottom"/>
            <w:shd w:val="clear" w:color="auto" w:fill="CCEEFF"/>
          </w:tcPr>
          <w:p>
            <w:pPr>
              <w:spacing w:after="0"/>
              <w:rPr>
                <w:sz w:val="20"/>
                <w:szCs w:val="20"/>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CLPS Lihong</w:t>
            </w:r>
          </w:p>
        </w:tc>
        <w:tc>
          <w:tcPr>
            <w:tcW w:w="20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33,096</w:t>
            </w:r>
          </w:p>
        </w:tc>
        <w:tc>
          <w:tcPr>
            <w:tcW w:w="6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CEO, the wife of the CEO, Chairman, and the wife of Chairman of the Company provided joint guarantee to the revolving credit facility entered by the Company with China Merchants Bank on June 22, 2018 and December 16, 2019. (Note 11)</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Srustijeet Mishra, the non-controlling interest shareholder of Ridik Pte provided guarantee to a credit facility up to $86,071 (SGD 120,000) entered by the Company with Development Bank of Singapore on April 20,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41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w:t>
      </w:r>
    </w:p>
    <w:p>
      <w:pPr>
        <w:spacing w:after="0" w:line="220" w:lineRule="exact"/>
        <w:rPr>
          <w:sz w:val="20"/>
          <w:szCs w:val="20"/>
          <w:color w:val="auto"/>
        </w:rPr>
      </w:pPr>
    </w:p>
    <w:p>
      <w:pPr>
        <w:ind w:left="560" w:hanging="553"/>
        <w:spacing w:after="0"/>
        <w:tabs>
          <w:tab w:leader="none" w:pos="5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CLPS Hong Kong, Qiner, Qinheng and Qinson were established in Hong Kong and are subject to Hong Kong profits tax of 16.5% on its activities conducted in Hong Kong. CLPS SG, Infogain, Ridik Pte. and Ridik Software Pte. are subject to Singapore income tax at the rate of 17%. CLPS Ridik AU was established in Australia. Australian enterprises are usually subject to a unified 30% enterprise income tax rate while CLPS Ridik AU is subject to corporate income tax at 27.5% as a small company in the fiscal 2020, 2019 and 2018. CLPS Japan was established in Japan and is subject to statutory income tax at 23.2%. Ridik Consulting was established in India and is subject to statutory income rate at 18.5%. Ridik Sdn. was established in Malaysia and is subject to statutory income tax rate at 24%. CLPS US was established in US and is subject to federal tax at a rate of 21% and state tax at a rate of 0% in Delaware, CLPS California was established in US and is subject to federal tax at a rate of 21% and state tax at a rate of 8.84% in California. Ridik Software was established in UK and is subject to statutory income tax rate at 19%.</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Enterprise Income Tax (“EIT”) Law of PRC, domestic enterprises and Foreign Investment Enterprises (the “FIE”) are usually subject to a unified 25% enterprise income tax rate while preferential tax rates, tax holidays and even tax exemption may be granted if qualified. EIT Law grants a preferential tax rate to High and New Technology Enterprises (“HNTEs”). In accordance with the PRC Income Tax Laws, an enterprise awarded with the “HNTE”s certificate may enjoy a reduced EIT rate of 15%. CLPS Shanghai, the Company’s main operating subsidiary in PRC, was recognized as qualified HNTEs in 2013 and enjoyed a preferential tax rate of 15% from 2013 to 2015. The status was renewed in 2016 for 2016 to 2018 and it renewed, again, in October 2019 for 2019 to 2021. The impact of the preferential tax treatment noted above decreased income taxes by $193,004, $217,671 and $285,130 for the fiscal 2020, 2019 and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3"/>
          </w:tcPr>
          <w:p>
            <w:pPr>
              <w:jc w:val="right"/>
              <w:ind w:right="92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9,266,586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6,082,916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gridSpan w:val="2"/>
          </w:tcPr>
          <w:p>
            <w:pPr>
              <w:spacing w:after="0"/>
              <w:rPr>
                <w:sz w:val="20"/>
                <w:szCs w:val="20"/>
                <w:color w:val="auto"/>
              </w:rPr>
            </w:pPr>
            <w:r>
              <w:rPr>
                <w:rFonts w:ascii="Arial" w:cs="Arial" w:eastAsia="Arial" w:hAnsi="Arial"/>
                <w:sz w:val="18"/>
                <w:szCs w:val="18"/>
                <w:color w:val="auto"/>
              </w:rPr>
              <w:t>Non-PRC</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(5,559,127)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(9,183,561)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(260,649)</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3,707,459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(3,100,645</w:t>
            </w:r>
          </w:p>
        </w:tc>
        <w:tc>
          <w:tcPr>
            <w:tcW w:w="12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2,602,770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reconciles the statutory rate to the Company’s effective tax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120" w:type="dxa"/>
            <w:vAlign w:val="bottom"/>
          </w:tcPr>
          <w:p>
            <w:pPr>
              <w:spacing w:after="0"/>
              <w:rPr>
                <w:sz w:val="18"/>
                <w:szCs w:val="18"/>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2"/>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changes on deferred taxes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PRC preferential tax rate and tax holidays</w:t>
            </w:r>
          </w:p>
        </w:tc>
        <w:tc>
          <w:tcPr>
            <w:tcW w:w="120" w:type="dxa"/>
            <w:vAlign w:val="bottom"/>
          </w:tcPr>
          <w:p>
            <w:pPr>
              <w:spacing w:after="0"/>
              <w:rPr>
                <w:sz w:val="18"/>
                <w:szCs w:val="18"/>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R&amp;D credits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Tax receivable</w:t>
            </w:r>
          </w:p>
        </w:tc>
        <w:tc>
          <w:tcPr>
            <w:tcW w:w="120" w:type="dxa"/>
            <w:vAlign w:val="bottom"/>
          </w:tcPr>
          <w:p>
            <w:pPr>
              <w:spacing w:after="0"/>
              <w:rPr>
                <w:sz w:val="18"/>
                <w:szCs w:val="18"/>
                <w:color w:val="auto"/>
              </w:rPr>
            </w:pPr>
          </w:p>
        </w:tc>
        <w:tc>
          <w:tcPr>
            <w:tcW w:w="108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Change in valuation allowances</w:t>
            </w:r>
          </w:p>
        </w:tc>
        <w:tc>
          <w:tcPr>
            <w:tcW w:w="120" w:type="dxa"/>
            <w:vAlign w:val="bottom"/>
          </w:tcPr>
          <w:p>
            <w:pPr>
              <w:spacing w:after="0"/>
              <w:rPr>
                <w:sz w:val="18"/>
                <w:szCs w:val="18"/>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2"/>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4"/>
        </w:trPr>
        <w:tc>
          <w:tcPr>
            <w:tcW w:w="71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tax rate</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top w:val="single" w:sz="8" w:color="CCEEFF"/>
            </w:tcBorders>
            <w:gridSpan w:val="2"/>
          </w:tcPr>
          <w:p>
            <w:pPr>
              <w:jc w:val="right"/>
              <w:ind w:right="42"/>
              <w:spacing w:after="0"/>
              <w:rPr>
                <w:sz w:val="20"/>
                <w:szCs w:val="20"/>
                <w:color w:val="auto"/>
              </w:rPr>
            </w:pPr>
            <w:r>
              <w:rPr>
                <w:rFonts w:ascii="Arial" w:cs="Arial" w:eastAsia="Arial" w:hAnsi="Arial"/>
                <w:sz w:val="18"/>
                <w:szCs w:val="18"/>
                <w:color w:val="auto"/>
                <w:w w:val="81"/>
              </w:rPr>
              <w:t>)%</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Corporate Income Taxes (“CIT”)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320" w:type="dxa"/>
            <w:vAlign w:val="bottom"/>
            <w:gridSpan w:val="2"/>
          </w:tcPr>
          <w:p>
            <w:pPr>
              <w:spacing w:after="0"/>
              <w:rPr>
                <w:sz w:val="20"/>
                <w:szCs w:val="20"/>
                <w:color w:val="auto"/>
              </w:rPr>
            </w:pPr>
            <w:r>
              <w:rPr>
                <w:rFonts w:ascii="Arial" w:cs="Arial" w:eastAsia="Arial" w:hAnsi="Arial"/>
                <w:sz w:val="18"/>
                <w:szCs w:val="18"/>
                <w:color w:val="auto"/>
              </w:rPr>
              <w:t>The provision (benefit) for income tax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bottom w:val="single" w:sz="8" w:color="CCEEFF"/>
            </w:tcBorders>
          </w:tcPr>
          <w:p>
            <w:pPr>
              <w:spacing w:after="0"/>
              <w:rPr>
                <w:sz w:val="20"/>
                <w:szCs w:val="20"/>
                <w:color w:val="auto"/>
              </w:rPr>
            </w:pPr>
          </w:p>
        </w:tc>
        <w:tc>
          <w:tcPr>
            <w:tcW w:w="69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(208,051)</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provision (benefit) for income tax expenses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7"/>
        </w:trPr>
        <w:tc>
          <w:tcPr>
            <w:tcW w:w="73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835,444</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186,615</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2020 and 2019, the Company had net operating loss carry forwards of approximately $5,721,651 and $4,326,319, respectively, from the Company’s PRC subsidiaries, which will expire between 2020 and 2025 if not utilized. As of June 30, 2020, the Company had net operating loss carry forwards of approximately $509,033, $251,128, $1,518, $11,228 and $5,513 from its operations in Singapore, Australia, Hong Kong, Japan and India, respectively. The net operating losses in Singapore, Australia and Hong Kong will be carried forward indefinitely while the net operating losses in Japan and India will be carried forward for 10 years and 8 years,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tcPr>
          <w:p>
            <w:pPr>
              <w:spacing w:after="0"/>
              <w:rPr>
                <w:sz w:val="20"/>
                <w:szCs w:val="20"/>
                <w:color w:val="auto"/>
              </w:rPr>
            </w:pPr>
            <w:r>
              <w:rPr>
                <w:rFonts w:ascii="Arial" w:cs="Arial" w:eastAsia="Arial" w:hAnsi="Arial"/>
                <w:sz w:val="18"/>
                <w:szCs w:val="18"/>
                <w:color w:val="auto"/>
              </w:rPr>
              <w:t>The significant components of the deferred tax assets are as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1,589,884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1,227,940</w:t>
            </w:r>
          </w:p>
        </w:tc>
        <w:tc>
          <w:tcPr>
            <w:tcW w:w="0" w:type="dxa"/>
            <w:vAlign w:val="bottom"/>
          </w:tcPr>
          <w:p>
            <w:pPr>
              <w:spacing w:after="0"/>
              <w:rPr>
                <w:sz w:val="1"/>
                <w:szCs w:val="1"/>
                <w:color w:val="auto"/>
              </w:rPr>
            </w:pPr>
          </w:p>
        </w:tc>
      </w:tr>
      <w:tr>
        <w:trPr>
          <w:trHeight w:val="213"/>
        </w:trPr>
        <w:tc>
          <w:tcPr>
            <w:tcW w:w="866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236,245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336,383</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of investee’s loss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866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(39,914)</w:t>
            </w: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(1,630,005)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(1,186,188)</w:t>
            </w: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bottom w:val="single" w:sz="8" w:color="CCEEFF"/>
            </w:tcBorders>
          </w:tcPr>
          <w:p>
            <w:pPr>
              <w:ind w:left="180"/>
              <w:spacing w:after="0" w:line="201" w:lineRule="exact"/>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203,247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338,221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160,911</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660" w:type="dxa"/>
            <w:vAlign w:val="bottom"/>
          </w:tcPr>
          <w:p>
            <w:pPr>
              <w:ind w:left="200"/>
              <w:spacing w:after="0"/>
              <w:rPr>
                <w:sz w:val="20"/>
                <w:szCs w:val="20"/>
                <w:color w:val="auto"/>
              </w:rPr>
            </w:pPr>
            <w:r>
              <w:rPr>
                <w:rFonts w:ascii="Arial" w:cs="Arial" w:eastAsia="Arial" w:hAnsi="Arial"/>
                <w:sz w:val="18"/>
                <w:szCs w:val="18"/>
                <w:color w:val="auto"/>
              </w:rPr>
              <w:t>Share of investee’s income</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163,163</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Realization of the net deferred tax assets is dependent on factors including future reversals of existing taxable temporary differences and adequate future taxable income, exclusive of reversing deductible temporary differences and tax loss or credit carry forwards. As of June 30, 2020 and 2019, valuation allowances were provided against deferred tax assets in entities which were in a three-year cumulative losses position and/or are not forecasted to turn profits in the foreseeable future as of June 30, 2020.</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PRC EIT Law, 10% withholding tax is levied on dividends declared to foreign investors from the foreign investment enterprises established in PRC. The requirement is effective from January 1, 2008 and applies to earnings after December 31, 2007. As of June 30, 2020 and 2019, the Company intends to permanently reinvest the undistributed earnings from PRC subsidiaries to fund future operations and thus no deferred tax has been recognized for withholding taxes that would be payable on the unremitted earnings that are subject to withholding taxes of the Company’s subsidiaries established in PRC. The amount of unrecognized deferred tax liabilities for temporary differences related to investments in foreign subsidiaries is not determined because such a determination is not practicable.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 continued</w:t>
      </w:r>
    </w:p>
    <w:p>
      <w:pPr>
        <w:spacing w:after="0" w:line="220" w:lineRule="exact"/>
        <w:rPr>
          <w:sz w:val="20"/>
          <w:szCs w:val="20"/>
          <w:color w:val="auto"/>
        </w:rPr>
      </w:pPr>
    </w:p>
    <w:p>
      <w:pPr>
        <w:ind w:left="560" w:hanging="553"/>
        <w:spacing w:after="0"/>
        <w:tabs>
          <w:tab w:leader="none" w:pos="5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It is possible that the amount of unrecognized benefit will further change in the next 12 months; however, an estimate of the range of the possible change cannot be made at this moment. As of June 30, 2020, the Company had unrecognized tax benefits of $194,939, if ultimately recognized, will impact the effective tax rate. The Company has presented unrecognized tax benefits of $128,467 on a net basis with deferred tax assets relating to tax losses carry forward which otherwise a full valuation allowance would be recorded. The Company did not record any interest and penalties related to potential underpaid income tax expenses for the years ended June 30, 2020 and 2019, respectively.</w:t>
      </w:r>
    </w:p>
    <w:p>
      <w:pPr>
        <w:sectPr>
          <w:pgSz w:w="11900" w:h="16838" w:orient="portrait"/>
          <w:cols w:equalWidth="0" w:num="1">
            <w:col w:w="11240"/>
          </w:cols>
          <w:pgMar w:left="320" w:top="895" w:right="339" w:bottom="1104"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unrecognized tax benefit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705485</wp:posOffset>
            </wp:positionV>
            <wp:extent cx="7134225" cy="152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Increases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86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For the year</w:t>
      </w:r>
    </w:p>
    <w:p>
      <w:pPr>
        <w:spacing w:after="0" w:line="23"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p>
    <w:p>
      <w:pPr>
        <w:ind w:left="546" w:hanging="546"/>
        <w:spacing w:after="0"/>
        <w:tabs>
          <w:tab w:leader="none" w:pos="546" w:val="left"/>
        </w:tabs>
        <w:numPr>
          <w:ilvl w:val="0"/>
          <w:numId w:val="88"/>
        </w:numPr>
        <w:rPr>
          <w:rFonts w:ascii="Arial" w:cs="Arial" w:eastAsia="Arial" w:hAnsi="Arial"/>
          <w:sz w:val="17"/>
          <w:szCs w:val="17"/>
          <w:color w:val="auto"/>
        </w:rPr>
      </w:pPr>
      <w:r>
        <w:rPr>
          <w:rFonts w:ascii="Arial" w:cs="Arial" w:eastAsia="Arial" w:hAnsi="Arial"/>
          <w:sz w:val="17"/>
          <w:szCs w:val="17"/>
          <w:color w:val="auto"/>
        </w:rPr>
        <w:t>128,467</w:t>
      </w:r>
    </w:p>
    <w:p>
      <w:pPr>
        <w:spacing w:after="0" w:line="31" w:lineRule="exact"/>
        <w:rPr>
          <w:sz w:val="20"/>
          <w:szCs w:val="20"/>
          <w:color w:val="auto"/>
        </w:rPr>
      </w:pPr>
    </w:p>
    <w:p>
      <w:pPr>
        <w:ind w:left="546"/>
        <w:spacing w:after="0"/>
        <w:rPr>
          <w:sz w:val="20"/>
          <w:szCs w:val="20"/>
          <w:color w:val="auto"/>
        </w:rPr>
      </w:pPr>
      <w:r>
        <w:rPr>
          <w:rFonts w:ascii="Arial" w:cs="Arial" w:eastAsia="Arial" w:hAnsi="Arial"/>
          <w:sz w:val="17"/>
          <w:szCs w:val="17"/>
          <w:color w:val="auto"/>
        </w:rPr>
        <w:t>228,358</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(157,906)</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(3,980)</w:t>
      </w:r>
    </w:p>
    <w:p>
      <w:pPr>
        <w:spacing w:after="0" w:line="60" w:lineRule="exact"/>
        <w:rPr>
          <w:sz w:val="20"/>
          <w:szCs w:val="20"/>
          <w:color w:val="auto"/>
        </w:rPr>
      </w:pPr>
    </w:p>
    <w:p>
      <w:pPr>
        <w:ind w:left="546" w:hanging="546"/>
        <w:spacing w:after="0"/>
        <w:tabs>
          <w:tab w:leader="none" w:pos="546" w:val="left"/>
        </w:tabs>
        <w:numPr>
          <w:ilvl w:val="0"/>
          <w:numId w:val="89"/>
        </w:numPr>
        <w:rPr>
          <w:rFonts w:ascii="Arial" w:cs="Arial" w:eastAsia="Arial" w:hAnsi="Arial"/>
          <w:sz w:val="17"/>
          <w:szCs w:val="17"/>
          <w:color w:val="auto"/>
        </w:rPr>
      </w:pPr>
      <w:r>
        <w:rPr>
          <w:rFonts w:ascii="Arial" w:cs="Arial" w:eastAsia="Arial" w:hAnsi="Arial"/>
          <w:sz w:val="17"/>
          <w:szCs w:val="17"/>
          <w:color w:val="auto"/>
        </w:rPr>
        <w:t>194,939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118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94" w:space="720"/>
            <w:col w:w="1226"/>
          </w:cols>
          <w:pgMar w:left="320" w:top="895" w:right="339" w:bottom="1104" w:gutter="0" w:footer="0" w:header="0"/>
          <w:type w:val="continuous"/>
        </w:sectPr>
      </w:pP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2020, the tax years ended December 31, 2015 through December 31, 2019 for the Company’s PRC entities remain open for statutory examination by PRC tax authorities.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Tax Payables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60" w:type="dxa"/>
            <w:vAlign w:val="bottom"/>
            <w:gridSpan w:val="2"/>
          </w:tcPr>
          <w:p>
            <w:pPr>
              <w:spacing w:after="0"/>
              <w:rPr>
                <w:sz w:val="20"/>
                <w:szCs w:val="20"/>
                <w:color w:val="auto"/>
              </w:rPr>
            </w:pPr>
            <w:r>
              <w:rPr>
                <w:rFonts w:ascii="Arial" w:cs="Arial" w:eastAsia="Arial" w:hAnsi="Arial"/>
                <w:sz w:val="18"/>
                <w:szCs w:val="18"/>
                <w:color w:val="auto"/>
              </w:rPr>
              <w:t>The Company’s tax payables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4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40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3"/>
        </w:trPr>
        <w:tc>
          <w:tcPr>
            <w:tcW w:w="4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532,649</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282,340</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225,311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113,083</w:t>
            </w:r>
          </w:p>
        </w:tc>
        <w:tc>
          <w:tcPr>
            <w:tcW w:w="100" w:type="dxa"/>
            <w:vAlign w:val="bottom"/>
          </w:tcPr>
          <w:p>
            <w:pPr>
              <w:spacing w:after="0"/>
              <w:rPr>
                <w:sz w:val="18"/>
                <w:szCs w:val="18"/>
                <w:color w:val="auto"/>
              </w:rPr>
            </w:pPr>
          </w:p>
        </w:tc>
      </w:tr>
      <w:tr>
        <w:trPr>
          <w:trHeight w:val="213"/>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 payable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194,747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133,210</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gridSpan w:val="2"/>
          </w:tcPr>
          <w:p>
            <w:pPr>
              <w:spacing w:after="0"/>
              <w:rPr>
                <w:sz w:val="20"/>
                <w:szCs w:val="20"/>
                <w:color w:val="auto"/>
              </w:rPr>
            </w:pPr>
            <w:r>
              <w:rPr>
                <w:rFonts w:ascii="Arial" w:cs="Arial" w:eastAsia="Arial" w:hAnsi="Arial"/>
                <w:sz w:val="18"/>
                <w:szCs w:val="18"/>
                <w:color w:val="auto"/>
              </w:rPr>
              <w:t>Disability insurance fund payable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438,759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363,149</w:t>
            </w:r>
          </w:p>
        </w:tc>
        <w:tc>
          <w:tcPr>
            <w:tcW w:w="100" w:type="dxa"/>
            <w:vAlign w:val="bottom"/>
          </w:tcPr>
          <w:p>
            <w:pPr>
              <w:spacing w:after="0"/>
              <w:rPr>
                <w:sz w:val="18"/>
                <w:szCs w:val="18"/>
                <w:color w:val="auto"/>
              </w:rPr>
            </w:pPr>
          </w:p>
        </w:tc>
      </w:tr>
      <w:tr>
        <w:trPr>
          <w:trHeight w:val="247"/>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payables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35,148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23,847</w:t>
            </w:r>
          </w:p>
        </w:tc>
        <w:tc>
          <w:tcPr>
            <w:tcW w:w="100" w:type="dxa"/>
            <w:vAlign w:val="bottom"/>
            <w:shd w:val="clear" w:color="auto" w:fill="CCEEFF"/>
          </w:tcPr>
          <w:p>
            <w:pPr>
              <w:spacing w:after="0"/>
              <w:rPr>
                <w:sz w:val="21"/>
                <w:szCs w:val="21"/>
                <w:color w:val="auto"/>
              </w:rPr>
            </w:pPr>
          </w:p>
        </w:tc>
      </w:tr>
      <w:tr>
        <w:trPr>
          <w:trHeight w:val="234"/>
        </w:trPr>
        <w:tc>
          <w:tcPr>
            <w:tcW w:w="8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tax payables</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1,426,614</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915,629</w:t>
            </w:r>
          </w:p>
        </w:tc>
        <w:tc>
          <w:tcPr>
            <w:tcW w:w="100" w:type="dxa"/>
            <w:vAlign w:val="bottom"/>
            <w:tcBorders>
              <w:top w:val="single" w:sz="8" w:color="CCEEFF"/>
            </w:tcBorders>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3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Company’s subsidiaries lease administrative office space under various operating leases. Rental expenses recognized using the straight-line basis under operating leases amounted to $944,645, $827,593 and $730,705 for the years ended June 30, 2020, 2019 and 2018,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are as follows: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7"/>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Lease</w:t>
            </w:r>
          </w:p>
        </w:tc>
      </w:tr>
      <w:tr>
        <w:trPr>
          <w:trHeight w:val="239"/>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ending June 30,</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r>
      <w:tr>
        <w:trPr>
          <w:trHeight w:val="213"/>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9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181,354</w:t>
            </w:r>
          </w:p>
        </w:tc>
        <w:tc>
          <w:tcPr>
            <w:tcW w:w="100" w:type="dxa"/>
            <w:vAlign w:val="bottom"/>
            <w:tcBorders>
              <w:bottom w:val="single" w:sz="8" w:color="CCEEFF"/>
            </w:tcBorders>
          </w:tcPr>
          <w:p>
            <w:pPr>
              <w:spacing w:after="0"/>
              <w:rPr>
                <w:sz w:val="20"/>
                <w:szCs w:val="20"/>
                <w:color w:val="auto"/>
              </w:rPr>
            </w:pPr>
          </w:p>
        </w:tc>
      </w:tr>
      <w:tr>
        <w:trPr>
          <w:trHeight w:val="247"/>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957,245</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Contingencies: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104"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(loss) per share calculation: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shares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2,938,239</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53" w:lineRule="exact"/>
              <w:rPr>
                <w:sz w:val="20"/>
                <w:szCs w:val="20"/>
                <w:color w:val="auto"/>
              </w:rPr>
            </w:pPr>
            <w:r>
              <w:rPr>
                <w:rFonts w:ascii="Arial" w:cs="Arial" w:eastAsia="Arial" w:hAnsi="Arial"/>
                <w:sz w:val="16"/>
                <w:szCs w:val="16"/>
                <w:color w:val="auto"/>
              </w:rPr>
              <w:t>(3,269,776</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2,434,463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14,689,224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13,843,764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11,517,123</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Basic earnings (loss) per share attributable to common shares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 calculation: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Net income (loss) attributable to common shares for calculating diluted earnings per share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2,938,239</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53" w:lineRule="exact"/>
              <w:rPr>
                <w:sz w:val="20"/>
                <w:szCs w:val="20"/>
                <w:color w:val="auto"/>
              </w:rPr>
            </w:pPr>
            <w:r>
              <w:rPr>
                <w:rFonts w:ascii="Arial" w:cs="Arial" w:eastAsia="Arial" w:hAnsi="Arial"/>
                <w:sz w:val="16"/>
                <w:szCs w:val="16"/>
                <w:color w:val="auto"/>
              </w:rPr>
              <w:t>(3,269,776</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2,434,463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14,689,224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13,843,764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11,517,123</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8"/>
                <w:szCs w:val="18"/>
                <w:color w:val="auto"/>
              </w:rPr>
              <w:t>Weighted average common shares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Effects of dilutive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119,244</w:t>
            </w:r>
          </w:p>
        </w:tc>
        <w:tc>
          <w:tcPr>
            <w:tcW w:w="0" w:type="dxa"/>
            <w:vAlign w:val="bottom"/>
          </w:tcPr>
          <w:p>
            <w:pPr>
              <w:spacing w:after="0"/>
              <w:rPr>
                <w:sz w:val="1"/>
                <w:szCs w:val="1"/>
                <w:color w:val="auto"/>
              </w:rPr>
            </w:pPr>
          </w:p>
        </w:tc>
      </w:tr>
      <w:tr>
        <w:trPr>
          <w:trHeight w:val="247"/>
        </w:trPr>
        <w:tc>
          <w:tcPr>
            <w:tcW w:w="73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RSUs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used in computing diluted earnings per share attributable to common shares</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14,692,299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13,843,764</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11,636,367</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 attributable to common shares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year ended June 30, 2020, warrants and options were out-of-the-money with no dilutive effect. For the year ended June 30, 2019, warrants, RSUs and options were excluded from the computation of diluted loss per share as the effects were antidilutive. For the year ended June 30, 2018, there were no RSUs or options issued and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PUBLIC OFFERING WARRANTS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closing of the Company’s IPO on May 24, 2018, the Company issued 283,192 warrants to several placement agents of the IPO. Each warrant entitles the warrant holder to purchase the Company’s common shares at $4.20 or $6.3 per share. The warrants carry a term of five years expiring in May 2023 and shall not be exercisable for a period of 180 days from May 23, 2018. During year ended June 30, 2018, no warrants were exercised. During the year ended June 30, 2019, 176,192 warrants were exercised and 99,380 common shares were issued. During year ended June 30, 2020, no warrants were exercised. As of June 30, 2020 and 2019, 107,000 warrants were issued and outstanding.</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w:t>
            </w:r>
          </w:p>
        </w:tc>
      </w:tr>
      <w:tr>
        <w:trPr>
          <w:trHeight w:val="213"/>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year ended</w:t>
            </w:r>
          </w:p>
        </w:tc>
      </w:tr>
      <w:tr>
        <w:trPr>
          <w:trHeight w:val="213"/>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June 30,</w:t>
            </w:r>
          </w:p>
        </w:tc>
      </w:tr>
      <w:tr>
        <w:trPr>
          <w:trHeight w:val="239"/>
        </w:trPr>
        <w:tc>
          <w:tcPr>
            <w:tcW w:w="99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CEEFF"/>
            </w:tcBorders>
          </w:tcPr>
          <w:p>
            <w:pPr>
              <w:spacing w:after="0"/>
              <w:rPr>
                <w:sz w:val="20"/>
                <w:szCs w:val="20"/>
                <w:color w:val="auto"/>
              </w:rPr>
            </w:pPr>
          </w:p>
        </w:tc>
      </w:tr>
      <w:tr>
        <w:trPr>
          <w:trHeight w:val="213"/>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r>
      <w:tr>
        <w:trPr>
          <w:trHeight w:val="213"/>
        </w:trPr>
        <w:tc>
          <w:tcPr>
            <w:tcW w:w="998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49.39%</w:t>
            </w:r>
          </w:p>
        </w:tc>
      </w:tr>
      <w:tr>
        <w:trPr>
          <w:trHeight w:val="213"/>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bl>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Expected term represents the weighted average period of time that the warrants granted are expected to be outstanding giving consideration to historical exercise patterns.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May 24, 2018 was $612,223.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w:t>
      </w: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The 2017 Stock Incentive Plan (the “2017 Plan”)</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Plan will be determined by the Board (or its Compensation Committee) and may contain both service and performance conditions.</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2019 Equity Incentive Plan (the “2019 Plan”)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w:t>
      </w:r>
    </w:p>
    <w:p>
      <w:pPr>
        <w:spacing w:after="0" w:line="184" w:lineRule="exact"/>
        <w:rPr>
          <w:sz w:val="20"/>
          <w:szCs w:val="20"/>
          <w:color w:val="auto"/>
        </w:rPr>
      </w:pPr>
    </w:p>
    <w:p>
      <w:pPr>
        <w:ind w:left="320" w:hanging="313"/>
        <w:spacing w:after="0"/>
        <w:tabs>
          <w:tab w:leader="none" w:pos="3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2020 Equity Incentive Plan (the “2020 Plan”)</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20, 2018, the Company granted an aggregate of 306,967 stock options to key employees and senior executives under the 2017 Plan. The stock options are valid for a period of 10 years from the grant date and cliff vest 25% per year in equal annual installments at the end of each anniversary over a four-year period, with the first 25% vesting on November 20, 2019 and the second, third and fourth 25% cliff vest on November 20, 2020, 2021 and 2022, respectively.</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options granted to employees are accounted for as equity awards and measured at their grant date fair value using binomial lattice model. The weighted-average grant-date fair value per share was $3.13 for senior executives and $2.87 for key employees, respectively. The estimated total fair value of stock options granted was $0.9 million at the grant date.</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27, 2019, the Company granted an aggregate of 775,250 stock options to key employees and senior executives under the 2017 Plan. The stock options are valid for a period of 5 years from the grant date and cliff vest 25% per year in equal annual installments at the end of each anniversary over a four-year period, with the first 25% vesting on November 27, 2020 and the second, third and fourth 25% cliff vest on November 27, 2021, 2022 and 2023, respectively.</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options granted to employees are accounted for as equity awards and measured at their grant date fair value using binomial lattice model. The weighted-average grant-date fair value per share was $1.03 for senior executives and $1.01 for key employees, respectively. The estimated total fair value of stock options granted was $0.8 million at the grant date.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recognizes the compensation expenses over the service requisite periods using the accelerated method. Share-based compensation cost of $0.5 million and $0.3 million were recognized for the years ended June 30,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value the Company’s stock options grants were as follows:</w:t>
      </w:r>
    </w:p>
    <w:p>
      <w:pPr>
        <w:spacing w:after="0" w:line="216"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For the years ended</w:t>
      </w:r>
    </w:p>
    <w:p>
      <w:pPr>
        <w:spacing w:after="0" w:line="23"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Forfeited rates</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Fair market value per common share</w:t>
            </w:r>
          </w:p>
        </w:tc>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vMerge w:val="continue"/>
          </w:tcPr>
          <w:p>
            <w:pPr>
              <w:spacing w:after="0"/>
              <w:rPr>
                <w:sz w:val="20"/>
                <w:szCs w:val="20"/>
                <w:color w:val="auto"/>
              </w:rPr>
            </w:pPr>
          </w:p>
        </w:tc>
        <w:tc>
          <w:tcPr>
            <w:tcW w:w="3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063"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 - continued</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are the market value of the Company’s stocks on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summary of stock options activities: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r>
      <w:tr>
        <w:trPr>
          <w:trHeight w:val="213"/>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stock</w:t>
            </w: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Grant-date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Intrinsic</w:t>
            </w:r>
          </w:p>
        </w:tc>
      </w:tr>
      <w:tr>
        <w:trPr>
          <w:trHeight w:val="239"/>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options</w:t>
            </w: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306,967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(12,560)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117,763</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Outstanding and exercisable as of June 30, 2019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110,579</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117,763</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775,250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(80,725)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Outstanding and exercisable as of June 30,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86,337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aggregate intrinsic value in the table above represents the difference between the closing stock price on the last trading day in fiscal 2020 and 2019 and the options’ respective exercise price. Total intrinsic value of options exercised for the year ended June 30, 2020 was nil.</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of June 30, 2020, there was $0.6 million of unrecognized compensation cost, adjusted for estimated forfeitures based on historical data, related to non-vested stock options granted to the Company’s employees and directors. Total unrecognized compensation cost is expected to be recognized over a period of 1.6 years as of June 30, 2020. Total unrecognized compensation cost may be adjusted for future changes in estimated forfeitures.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Units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12, 2018, the Company granted an aggregate of 671,469 RSUs to key employees and directors under the 2017 Plan. RSUs granted to key employees and directors generally vest within two years. RSUs are valid for a period of 10 years from the grant date. RSUs cliff vest in three installments, with the first 33% vesting on the grant date, second 33% and remaining 34% vest at the end of the first and second anniversary, respectively. The weighted-average grant-date fair value per share was $12.22 and the estimated total fair value of the RSUs granted was $8.2 million.</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June 11, 2019, the Company granted 12,000 RSUs to a key employee under the 2017 Plan. The RSUs granted to the employee fully vest in one year after the grant date. The RSUs are valid for a period of 10 years from the grant date. The weighted-average grant-date fair value per share was $5.91 and the estimated total fair value of the RSUs granted was $70,920.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 - continued</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8, 2019, the Company granted 18,700 RSUs to key employees under the 2017 Plan. The RSUs granted to the employees fully vest in one year after the grant date. The RSUs are valid for a period of 10 years from the grant date. The weighted-average grant-date fair value per share was $5.07 and the estimated total fair value of the RSUs granted was $94,809.</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27, 2019, the Company granted 594,600 RSUs to key employees and directors under the 2017 Plan. The RSUs granted to the employees and directors fully vest on the grant date. The RSUs are valid for a period of 10 years from the grant date. The weighted-average grant-date fair value per share was $2.70 and the estimated total fair value of the RSUs granted was $1,605,420.</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6, 2020, the Company granted 1,073,700 RSUs to key employees under the 2020 Plan. The RSUs granted to the employees fully vest on the grant date. The RSUs are valid for a period of 10 years from the grant date. The weighted-average grant-date fair value per share was $2.06 and the estimated total fair value of the RSUs granted was $2,208,601.</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June 24, 2020, the Company granted 46,050 RSUs to key employees under the 2020 Plan. The RSUs granted to the employees fully vest on specified date within two years. The RSUs are valid for a period of 10 years from the grant date. The weighted-average grant-date fair value per share was $2.41 and the estimated total fair value of the RSUs granted was $110,981.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per share is determined as the closing stock price at the grant date.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recognizes the compensation expenses over the service requisite periods using the accelerated method. Share-based compensation cost of $3.5 million and 6.7 million was recognized for the year ended June 30, 2020 and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tcPr>
          <w:p>
            <w:pPr>
              <w:spacing w:after="0"/>
              <w:rPr>
                <w:sz w:val="20"/>
                <w:szCs w:val="20"/>
                <w:color w:val="auto"/>
              </w:rPr>
            </w:pPr>
            <w:r>
              <w:rPr>
                <w:rFonts w:ascii="Arial" w:cs="Arial" w:eastAsia="Arial" w:hAnsi="Arial"/>
                <w:sz w:val="18"/>
                <w:szCs w:val="18"/>
                <w:color w:val="auto"/>
              </w:rPr>
              <w:t>The following table sets forth the summary of RSUs activities: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r>
      <w:tr>
        <w:trPr>
          <w:trHeight w:val="213"/>
        </w:trPr>
        <w:tc>
          <w:tcPr>
            <w:tcW w:w="8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86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9"/>
        </w:trPr>
        <w:tc>
          <w:tcPr>
            <w:tcW w:w="86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3"/>
        </w:trPr>
        <w:tc>
          <w:tcPr>
            <w:tcW w:w="8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2019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459,648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1,733,050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(1,830,514)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Forfeited or 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(153,216)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208,968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bl>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there was $0.2 million of unrecognized compensation cost, adjusted for estimated forfeitures based on historical data, related to non-vested, service-based RSUs granted to the Company’s employees and directors. The RSUs are expected to be recognized over a weighted-average period of 0.2 years. The total fair value of the restricted share units vested was $4.7 million and $2.7 million during the year ended June 30, 2020 and 2019, respectively.</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year ended June 30, 2019, the Company recognized total share-based compensation expenses of $7.02 million, including $9,472, $46,100 and $6,960,517 in cost of revenues, selling and marketing expenses, and general and administrative expenses, respectively.</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During the year ended June 30, 2020, the Company recognized total share-based compensation expenses of $4.03 million, including $14,110, $211,573 and $3,821,563 in cost of revenues, selling and marketing expenses, and general and administrative expenses, respectively.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CLPS was established under the laws of Cayman Islands on May 11, 2017. The original authorized number of common shares was 1 share with a par value of $1.</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24, 2018, CLPS consummated its IPO of 2,000,000 common shares with $0.0001 par value per share. The units were sold at an offering price of $5.25 per unit, generating total gross proceeds of $10.5 million. Net proceeds from the IPO were $9.5 million. The Company’s shares trade on the Nasdaq Capital Market under the trading symbol “CLPS”.</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8, 2018, CLPS Incorporation (the “Company”) closed on the exercise in full of the over-allotment option to purchase an additional 300,000 common shares of the Company by The Benchmark Company, LLC, the representative of the underwriters in connection with and the book running manager of the Company’s U.S. firm commitment underwritten initial public offering (“IPO”) (“Benchmark”), at the IPO price of $5.25 per share. As a result, the Company raised gross proceeds of approximately $1.58 million. Net proceeds from the over-allotment of approximately $1.47 million were received on July 4, 2018.</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26, 2019, Qiner acquired an 80% interest in Ridik Pte. Ltd. (“Ridik Pte.”) located in Singapore from third party selling shareholders with the final purchase price of $2,462,580 (3,402,304 Singapore dollars), in the form of cash of $2,026,043 (2,799,180 Singapore dollars) and the Company’s common shares were valued at $436,537 (603,123 Singapore dollars), respectively. On December 3, 2019, the Company issued 86,615 common shares with $0.0001 par value per share to the selling shareholders (Note 3).</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December 2019, CLPS Shanghai held a 70% equity interest of CLPS Shenzhen and an 80% equity interest of CLPS Hong Kong, which held the remaining 30% equity interest of CLPS Shenzhen. On December 9, 2019, Qiner acquired the remaining 20% equity interest of CLPS Hong Kong from the non-controlling shareholder with the consideration of the Company’s 100,000 common shares valued at $278,000, therefore holding 100% of CLPS Hong Kong and CLPS Shenzhen’s equity interest accordingly. On December 3, 2019, the Company issued 100,000 common shares with $0.0001 par value per share to non-controlling shareholder. The carrying amount of the non-controlling interests was $(130,992). The transaction was accounted for as an equity transaction and the difference of $131,002 between the purchase consideration and the carrying value of the non-controlling interest of CLPS Hong Kong and CLPS Shenzhen was recorded in the additional paid-in capital on the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June 2018, the Company held a 70% equity interest of CLPS Beijing which primarily engages in software development. On June 27, 2018, Qiner purchased the remaining 30% equity interest of CLPS Beijing at a cash consideration of $0.6 million from the non-controlling shareholders and became the sole shareholder of CLPS Beijing. The carrying amount of the non-controlling interests was $91,533. The transaction was accounted for as an equity transaction and the difference of $0.5 million between the purchase consideration and the carrying value of the non-controlling interest of CLPS Beijing was recorded in the additional paid-in capital on the consolidated balance sheets.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fiscal 2017, CLPS Shanghai declared dividends of $1.3 million to its existing shareholders. $0.7 million was paid in fiscal 2017 and $0.6 million was paid in fiscal 2018. No dividend was declared during the years ended June 30,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 and restricted net assets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$970,009, $715,335 and $437,796 to statutory reserves during the years ended June 30, 2020, 2019 and 2018, respectively in accordance with PRC GAAP.</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PRC laws and regulations permit payments of dividends by the Company’s subsidiaries incorporated in the PRC only out of their retained earnings, if any, as determined in accordance with PRC accounting standards and regulations. In addition, the Company’s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Company’s subsidiaries incorporated in the PRC are restricted in their ability to transfer a portion of their net assets to the Company in the form of dividends payments, loans or advances. Amounts of net assets restricted amounted to $9.9 million and $8.7 million as of June 30, 2020 and 2019, respectively. Except for the above or disclosed elsewhere, there is no other restriction on the use of proceeds generated by the Company’s subsidiaries to satisfy any obligations of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 AND REVENUE ANALYSIS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follows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Company’s revenue and net income are substantially derived from enterprise application services and financial industry IT services.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The following table presents revenues generated in domestic and overseas markets for the years ended June 30, 2020, 2019 and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78,840,635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60,398,820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47,196,671</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7,369,345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2,525,489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1,961,763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1,414,175</w:t>
            </w: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210,984</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Taiwan</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116,763</w:t>
            </w:r>
          </w:p>
        </w:tc>
        <w:tc>
          <w:tcPr>
            <w:tcW w:w="100" w:type="dxa"/>
            <w:vAlign w:val="bottom"/>
            <w:tcBorders>
              <w:bottom w:val="single" w:sz="8" w:color="CCEEFF"/>
            </w:tcBorders>
          </w:tcPr>
          <w:p>
            <w:pPr>
              <w:spacing w:after="0"/>
              <w:rPr>
                <w:sz w:val="20"/>
                <w:szCs w:val="20"/>
                <w:color w:val="auto"/>
              </w:rPr>
            </w:pPr>
          </w:p>
        </w:tc>
      </w:tr>
      <w:tr>
        <w:trPr>
          <w:trHeight w:val="24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89,415,798</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64,932,937</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48,938,593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2020,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87,136,754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61,755,355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47,159,651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1,844,892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3,041,482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1,634,100</w:t>
            </w:r>
          </w:p>
        </w:tc>
        <w:tc>
          <w:tcPr>
            <w:tcW w:w="80" w:type="dxa"/>
            <w:vAlign w:val="bottom"/>
          </w:tcPr>
          <w:p>
            <w:pPr>
              <w:spacing w:after="0"/>
              <w:rPr>
                <w:sz w:val="18"/>
                <w:szCs w:val="18"/>
                <w:color w:val="auto"/>
              </w:rPr>
            </w:pPr>
          </w:p>
        </w:tc>
      </w:tr>
      <w:tr>
        <w:trPr>
          <w:trHeight w:val="24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89,415,798</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64,932,937</w:t>
            </w:r>
          </w:p>
        </w:tc>
        <w:tc>
          <w:tcPr>
            <w:tcW w:w="300" w:type="dxa"/>
            <w:vAlign w:val="bottom"/>
            <w:gridSpan w:val="2"/>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48,938,593</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27, 2020, the Company and a third-party company incorporated CLPS Guangdong Zhichuang Software Technology Co., Ltd. (“CLPS Guangdong Zhichuang”) in Shenzhen. The Company holds 10% of equity interest in CLPS Guangdong Zhichuang for $0.14 million (RMB 1,000,000). On August 13, 2020, the Company injected $28,571 (RMB 200,000) to CLPS Guangdong Zhichuang.</w:t>
      </w:r>
    </w:p>
    <w:p>
      <w:pPr>
        <w:spacing w:after="0" w:line="9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On August 28, 2020, the Company, the Chairman of the Company and a third-party incorporated CLPS Shenzhen Robotics Co. Ltd (“CLPS Shenzhen Robotics”) in Shenzhen. The Company holds 10% of equity interest in CLPS Shenzhen Robotics for $0.14 million (RMB 1,000,000). On September 15, 2020, the Company injected $147,451 (RMB1,000,000) to CLPS Shenzhen Robotics.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22 – PARENT COMPANY ONLY CONDENSED FINANCIAL INFORMATION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b w:val="1"/>
                <w:bCs w:val="1"/>
                <w:i w:val="1"/>
                <w:iCs w:val="1"/>
                <w:color w:val="auto"/>
              </w:rPr>
              <w:t>Condensed balance sheets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660" w:type="dxa"/>
            <w:vAlign w:val="bottom"/>
          </w:tcPr>
          <w:p>
            <w:pPr>
              <w:spacing w:after="0" w:line="199"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181,513</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3,471,191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Escrow receivable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7,121,760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4,987,999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161,767</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39,961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7,465,040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20,598,908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12,673,565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660" w:type="dxa"/>
            <w:vAlign w:val="bottom"/>
            <w:vMerge w:val="continue"/>
          </w:tcPr>
          <w:p>
            <w:pPr>
              <w:spacing w:after="0"/>
              <w:rPr>
                <w:sz w:val="23"/>
                <w:szCs w:val="23"/>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28,063,948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21,372,716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715,304</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584,280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715,304</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584,280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9"/>
              </w:rPr>
              <w:t>Common stock, $0.0001 par value, 100,000,000 shares authorized; 15,930,330 shares issued and outstanding as of June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2020; 13,913,201 shares issued and outstanding as of June 30, 2019. *</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28,586,048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24,276,622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(deficits) retained earnings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123,668</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(2,675,927)</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(1,362,665)</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(813,650)</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27,348,644</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20,788,436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28,063,948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21,372,716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color w:val="auto"/>
        </w:rPr>
        <w:t>*</w:t>
        <w:tab/>
        <w:t>The shares and per share data are presented on a retroactive basis to reflect the nominal share issuance (Note 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COMPANY ONLY CONDENSED FINANCIAL INFORMATION -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Condensed statements of comprehensive (loss)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201,614</w:t>
            </w:r>
          </w:p>
        </w:tc>
        <w:tc>
          <w:tcPr>
            <w:tcW w:w="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Less: Cost of revenues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(200,954)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(5,505,559)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(8,651,816)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(619,892)</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Share of profit in subsidiaries, net (Note a)</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8,404,632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5,317,315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3,055,340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2,938,238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(3,269,776)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2,434,463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2,938,238</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(3,269,776)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2,434,463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(549,015)</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(411,973)</w:t>
            </w:r>
          </w:p>
        </w:tc>
        <w:tc>
          <w:tcPr>
            <w:tcW w:w="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2,389,223</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53" w:lineRule="exact"/>
              <w:rPr>
                <w:sz w:val="20"/>
                <w:szCs w:val="20"/>
                <w:color w:val="auto"/>
              </w:rPr>
            </w:pPr>
            <w:r>
              <w:rPr>
                <w:rFonts w:ascii="Arial" w:cs="Arial" w:eastAsia="Arial" w:hAnsi="Arial"/>
                <w:sz w:val="16"/>
                <w:szCs w:val="16"/>
                <w:color w:val="auto"/>
              </w:rPr>
              <w:t>(3,681,749</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2,480,056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(3,586,857)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(3,189,448)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(4,099,305)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1,472,592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9,341,538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(54,755)</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(decrease) increase in cash</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(3,289,678)</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(1,716,287)</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5,187,478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3,471,191</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5,187,478</w:t>
            </w:r>
          </w:p>
        </w:tc>
        <w:tc>
          <w:tcPr>
            <w:tcW w:w="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cash equivalents at the end of the year</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320" w:type="dxa"/>
            <w:vAlign w:val="bottom"/>
            <w:vMerge w:val="continue"/>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181,513</w:t>
            </w:r>
          </w:p>
        </w:tc>
        <w:tc>
          <w:tcPr>
            <w:tcW w:w="140" w:type="dxa"/>
            <w:vAlign w:val="bottom"/>
          </w:tcPr>
          <w:p>
            <w:pPr>
              <w:spacing w:after="0"/>
              <w:rPr>
                <w:sz w:val="20"/>
                <w:szCs w:val="20"/>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3,471,191</w:t>
            </w:r>
          </w:p>
        </w:tc>
        <w:tc>
          <w:tcPr>
            <w:tcW w:w="320" w:type="dxa"/>
            <w:vAlign w:val="bottom"/>
            <w:gridSpan w:val="2"/>
          </w:tcPr>
          <w:p>
            <w:pPr>
              <w:jc w:val="right"/>
              <w:ind w:right="148"/>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5,187,478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Company-only financial statements, the Company’s investment in subsidiaries is stated at cost plus equity in undistributed earnings of subsidiaries since inception.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 records its investment in its subsidiaries under the equity method of accounting as prescribed in ASC 323-10 </w:t>
      </w:r>
      <w:r>
        <w:rPr>
          <w:rFonts w:ascii="Arial" w:cs="Arial" w:eastAsia="Arial" w:hAnsi="Arial"/>
          <w:sz w:val="18"/>
          <w:szCs w:val="18"/>
          <w:i w:val="1"/>
          <w:iCs w:val="1"/>
          <w:color w:val="auto"/>
        </w:rPr>
        <w:t>Investment-Equity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Such investments are presented on the balance sheets as “Investments in subsidiaries” and share of the subsidiaries’ profit or loss are shown</w:t>
      </w:r>
      <w:r>
        <w:rPr>
          <w:rFonts w:ascii="Arial" w:cs="Arial" w:eastAsia="Arial" w:hAnsi="Arial"/>
          <w:sz w:val="18"/>
          <w:szCs w:val="18"/>
          <w:i w:val="1"/>
          <w:iCs w:val="1"/>
          <w:color w:val="auto"/>
        </w:rPr>
        <w:t xml:space="preserve"> </w:t>
      </w:r>
      <w:r>
        <w:rPr>
          <w:rFonts w:ascii="Arial" w:cs="Arial" w:eastAsia="Arial" w:hAnsi="Arial"/>
          <w:sz w:val="18"/>
          <w:szCs w:val="18"/>
          <w:color w:val="auto"/>
        </w:rPr>
        <w:t>as “Share of profit in subsidiaries, net” on the statements of comprehensive income (loss).</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8" w:name="page159"/>
    <w:bookmarkEnd w:id="158"/>
    <w:p>
      <w:pPr>
        <w:spacing w:after="0"/>
        <w:tabs>
          <w:tab w:leader="none" w:pos="12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1"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223">
        <w:r>
          <w:rPr>
            <w:rFonts w:ascii="Arial" w:cs="Arial" w:eastAsia="Arial" w:hAnsi="Arial"/>
            <w:sz w:val="16"/>
            <w:szCs w:val="16"/>
            <w:u w:val="single" w:color="auto"/>
            <w:color w:val="0000EE"/>
          </w:rPr>
          <w:t>Form of Underwriting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135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ind w:left="1140" w:hanging="1133"/>
        <w:spacing w:after="0"/>
        <w:tabs>
          <w:tab w:leader="none" w:pos="1140" w:val="left"/>
        </w:tabs>
        <w:numPr>
          <w:ilvl w:val="0"/>
          <w:numId w:val="91"/>
        </w:numPr>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Description of Securities registered under Section 12 of the Exchange Act</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Memorandum and Articles of Association (1).</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100" w:type="dxa"/>
            <w:vAlign w:val="bottom"/>
            <w:gridSpan w:val="3"/>
          </w:tcPr>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Specimen Share Certificate (1).</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2017 Equity Incentive Plan (1).</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0100" w:type="dxa"/>
            <w:vAlign w:val="bottom"/>
            <w:gridSpan w:val="3"/>
          </w:tcPr>
          <w:p>
            <w:pPr>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2019 Equity Incentive Plan (3).</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2020 Equity Incentive Plan(4)</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3"/>
          </w:tcPr>
          <w:p>
            <w:pPr>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Form Independent Director Agreement (1).</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Employment Agreement between the Company and Xiao Feng Yang (1).</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0100" w:type="dxa"/>
            <w:vAlign w:val="bottom"/>
            <w:gridSpan w:val="3"/>
          </w:tcPr>
          <w:p>
            <w:pPr>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Employment Agreement between the Company and Raymond Ming Hui Lin (1).</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Employment Agreement between the Company and Rui Yang (5).</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0100" w:type="dxa"/>
            <w:vAlign w:val="bottom"/>
            <w:gridSpan w:val="3"/>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Employment Agreement between the Company and Li Li.</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ANZ Global Services and Operations (Chengdu) Company Limited Agreement (1).</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0100" w:type="dxa"/>
            <w:vAlign w:val="bottom"/>
            <w:gridSpan w:val="3"/>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Master Lease Agreement - Shanghai Pudong Software Park Co., Ltd..</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Master Lease Agreement - Shanghai Pudong Software Park Co., Ltd..</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0100" w:type="dxa"/>
            <w:vAlign w:val="bottom"/>
            <w:gridSpan w:val="3"/>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Master Lease Agreement - Sun Hung Kai Real Estate Agency Ltd..</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0100" w:type="dxa"/>
            <w:vAlign w:val="bottom"/>
            <w:gridSpan w:val="3"/>
            <w:shd w:val="clear" w:color="auto" w:fill="CCEEFF"/>
          </w:tcPr>
          <w:p>
            <w:pPr>
              <w:spacing w:after="0"/>
              <w:rPr>
                <w:rFonts w:ascii="Arial" w:cs="Arial" w:eastAsia="Arial" w:hAnsi="Arial"/>
                <w:sz w:val="18"/>
                <w:szCs w:val="18"/>
                <w:color w:val="0000EE"/>
              </w:rPr>
            </w:pPr>
            <w:hyperlink r:id="rId235">
              <w:r>
                <w:rPr>
                  <w:rFonts w:ascii="Arial" w:cs="Arial" w:eastAsia="Arial" w:hAnsi="Arial"/>
                  <w:sz w:val="18"/>
                  <w:szCs w:val="18"/>
                  <w:u w:val="single" w:color="auto"/>
                  <w:color w:val="0000EE"/>
                </w:rPr>
                <w:t>Form of Framework Contract for Subcontracting (1)</w:t>
              </w:r>
              <w:r>
                <w:rPr>
                  <w:rFonts w:ascii="Arial" w:cs="Arial" w:eastAsia="Arial" w:hAnsi="Arial"/>
                  <w:sz w:val="18"/>
                  <w:szCs w:val="18"/>
                  <w:color w:val="0000EE"/>
                </w:rPr>
                <w:t>.</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3"/>
          </w:tcPr>
          <w:p>
            <w:pPr>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Form Warrant Agreement (2).</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Form Lockup Agreement (2).</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100" w:type="dxa"/>
            <w:vAlign w:val="bottom"/>
            <w:gridSpan w:val="3"/>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Escrow Indemnification Agreement (2).</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Credit Agreement with China Merchants Bank Co. Ltd.-3 million</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0100" w:type="dxa"/>
            <w:vAlign w:val="bottom"/>
            <w:gridSpan w:val="3"/>
          </w:tcPr>
          <w:p>
            <w:pPr>
              <w:spacing w:after="0"/>
              <w:rPr>
                <w:rFonts w:ascii="Arial" w:cs="Arial" w:eastAsia="Arial" w:hAnsi="Arial"/>
                <w:sz w:val="18"/>
                <w:szCs w:val="18"/>
                <w:u w:val="single" w:color="auto"/>
                <w:color w:val="0000EE"/>
              </w:rPr>
            </w:pPr>
            <w:hyperlink w:anchor="page272">
              <w:r>
                <w:rPr>
                  <w:rFonts w:ascii="Arial" w:cs="Arial" w:eastAsia="Arial" w:hAnsi="Arial"/>
                  <w:sz w:val="18"/>
                  <w:szCs w:val="18"/>
                  <w:u w:val="single" w:color="auto"/>
                  <w:color w:val="0000EE"/>
                </w:rPr>
                <w:t>Credit Agreement with China Merchants Bank Co. Ltd.-5 million</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w:anchor="page299">
              <w:r>
                <w:rPr>
                  <w:rFonts w:ascii="Arial" w:cs="Arial" w:eastAsia="Arial" w:hAnsi="Arial"/>
                  <w:sz w:val="18"/>
                  <w:szCs w:val="18"/>
                  <w:u w:val="single" w:color="auto"/>
                  <w:color w:val="0000EE"/>
                </w:rPr>
                <w:t>Credit Agreement with Bank of Communications Co., Ltd.</w:t>
              </w:r>
            </w:hyperlink>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12.1</w:t>
            </w:r>
          </w:p>
        </w:tc>
        <w:tc>
          <w:tcPr>
            <w:tcW w:w="10100" w:type="dxa"/>
            <w:vAlign w:val="bottom"/>
            <w:tcBorders>
              <w:bottom w:val="single" w:sz="8" w:color="0000EE"/>
            </w:tcBorders>
            <w:gridSpan w:val="3"/>
          </w:tcPr>
          <w:p>
            <w:pPr>
              <w:spacing w:after="0" w:line="174" w:lineRule="exact"/>
              <w:rPr>
                <w:rFonts w:ascii="Arial" w:cs="Arial" w:eastAsia="Arial" w:hAnsi="Arial"/>
                <w:sz w:val="18"/>
                <w:szCs w:val="18"/>
                <w:color w:val="0000EE"/>
                <w:w w:val="95"/>
              </w:rPr>
            </w:pPr>
            <w:hyperlink w:anchor="page326">
              <w:r>
                <w:rPr>
                  <w:rFonts w:ascii="Arial" w:cs="Arial" w:eastAsia="Arial" w:hAnsi="Arial"/>
                  <w:sz w:val="18"/>
                  <w:szCs w:val="18"/>
                  <w:color w:val="0000EE"/>
                  <w:w w:val="95"/>
                </w:rPr>
                <w:t>Certification of the Chief Executive Officer (Principal Executive Officer) pursuant to Rule 13a-14(a) of the Securities Exchange Act, as</w:t>
              </w:r>
            </w:hyperlink>
          </w:p>
        </w:tc>
      </w:tr>
      <w:tr>
        <w:trPr>
          <w:trHeight w:val="193"/>
        </w:trPr>
        <w:tc>
          <w:tcPr>
            <w:tcW w:w="1140" w:type="dxa"/>
            <w:vAlign w:val="bottom"/>
          </w:tcPr>
          <w:p>
            <w:pPr>
              <w:spacing w:after="0"/>
              <w:rPr>
                <w:sz w:val="16"/>
                <w:szCs w:val="16"/>
                <w:color w:val="auto"/>
              </w:rPr>
            </w:pPr>
          </w:p>
        </w:tc>
        <w:tc>
          <w:tcPr>
            <w:tcW w:w="10100" w:type="dxa"/>
            <w:vAlign w:val="bottom"/>
            <w:gridSpan w:val="3"/>
          </w:tcPr>
          <w:p>
            <w:pPr>
              <w:spacing w:after="0" w:line="194" w:lineRule="exact"/>
              <w:rPr>
                <w:rFonts w:ascii="Arial" w:cs="Arial" w:eastAsia="Arial" w:hAnsi="Arial"/>
                <w:sz w:val="18"/>
                <w:szCs w:val="18"/>
                <w:color w:val="0000EE"/>
              </w:rPr>
            </w:pPr>
            <w:hyperlink w:anchor="page326">
              <w:r>
                <w:rPr>
                  <w:rFonts w:ascii="Arial" w:cs="Arial" w:eastAsia="Arial" w:hAnsi="Arial"/>
                  <w:sz w:val="18"/>
                  <w:szCs w:val="18"/>
                  <w:color w:val="0000EE"/>
                </w:rPr>
                <w:t>amended.</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12.2</w:t>
            </w:r>
          </w:p>
        </w:tc>
        <w:tc>
          <w:tcPr>
            <w:tcW w:w="10100" w:type="dxa"/>
            <w:vAlign w:val="bottom"/>
            <w:tcBorders>
              <w:bottom w:val="single" w:sz="8" w:color="0000EE"/>
            </w:tcBorders>
            <w:gridSpan w:val="3"/>
            <w:shd w:val="clear" w:color="auto" w:fill="CCEEFF"/>
          </w:tcPr>
          <w:p>
            <w:pPr>
              <w:spacing w:after="0" w:line="174" w:lineRule="exact"/>
              <w:rPr>
                <w:rFonts w:ascii="Arial" w:cs="Arial" w:eastAsia="Arial" w:hAnsi="Arial"/>
                <w:sz w:val="18"/>
                <w:szCs w:val="18"/>
                <w:color w:val="0000EE"/>
                <w:w w:val="96"/>
              </w:rPr>
            </w:pPr>
            <w:hyperlink w:anchor="page327">
              <w:r>
                <w:rPr>
                  <w:rFonts w:ascii="Arial" w:cs="Arial" w:eastAsia="Arial" w:hAnsi="Arial"/>
                  <w:sz w:val="18"/>
                  <w:szCs w:val="18"/>
                  <w:color w:val="0000EE"/>
                  <w:w w:val="96"/>
                </w:rPr>
                <w:t>Certification of the Chief Financial Officer (Principal Financial Officer) pursuant to Rule 13a-14(a) of the Securities Exchange Act, as</w:t>
              </w:r>
            </w:hyperlink>
          </w:p>
        </w:tc>
      </w:tr>
      <w:tr>
        <w:trPr>
          <w:trHeight w:val="193"/>
        </w:trPr>
        <w:tc>
          <w:tcPr>
            <w:tcW w:w="1140" w:type="dxa"/>
            <w:vAlign w:val="bottom"/>
            <w:shd w:val="clear" w:color="auto" w:fill="CCEEFF"/>
          </w:tcPr>
          <w:p>
            <w:pPr>
              <w:spacing w:after="0"/>
              <w:rPr>
                <w:sz w:val="16"/>
                <w:szCs w:val="16"/>
                <w:color w:val="auto"/>
              </w:rPr>
            </w:pPr>
          </w:p>
        </w:tc>
        <w:tc>
          <w:tcPr>
            <w:tcW w:w="10100" w:type="dxa"/>
            <w:vAlign w:val="bottom"/>
            <w:gridSpan w:val="3"/>
            <w:shd w:val="clear" w:color="auto" w:fill="CCEEFF"/>
          </w:tcPr>
          <w:p>
            <w:pPr>
              <w:spacing w:after="0" w:line="194" w:lineRule="exact"/>
              <w:rPr>
                <w:rFonts w:ascii="Arial" w:cs="Arial" w:eastAsia="Arial" w:hAnsi="Arial"/>
                <w:sz w:val="18"/>
                <w:szCs w:val="18"/>
                <w:color w:val="0000EE"/>
              </w:rPr>
            </w:pPr>
            <w:hyperlink w:anchor="page327">
              <w:r>
                <w:rPr>
                  <w:rFonts w:ascii="Arial" w:cs="Arial" w:eastAsia="Arial" w:hAnsi="Arial"/>
                  <w:sz w:val="18"/>
                  <w:szCs w:val="18"/>
                  <w:color w:val="0000EE"/>
                </w:rPr>
                <w:t>amended.</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76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13.1</w:t>
            </w:r>
          </w:p>
        </w:tc>
        <w:tc>
          <w:tcPr>
            <w:tcW w:w="10100" w:type="dxa"/>
            <w:vAlign w:val="bottom"/>
            <w:tcBorders>
              <w:bottom w:val="single" w:sz="8" w:color="0000EE"/>
            </w:tcBorders>
            <w:gridSpan w:val="3"/>
          </w:tcPr>
          <w:p>
            <w:pPr>
              <w:spacing w:after="0" w:line="174" w:lineRule="exact"/>
              <w:rPr>
                <w:rFonts w:ascii="Arial" w:cs="Arial" w:eastAsia="Arial" w:hAnsi="Arial"/>
                <w:sz w:val="18"/>
                <w:szCs w:val="18"/>
                <w:color w:val="0000EE"/>
                <w:w w:val="92"/>
              </w:rPr>
            </w:pPr>
            <w:hyperlink w:anchor="page328">
              <w:r>
                <w:rPr>
                  <w:rFonts w:ascii="Arial" w:cs="Arial" w:eastAsia="Arial" w:hAnsi="Arial"/>
                  <w:sz w:val="18"/>
                  <w:szCs w:val="18"/>
                  <w:color w:val="0000EE"/>
                  <w:w w:val="92"/>
                </w:rPr>
                <w:t>Certification of the Chief Executive Officer and Chief Financial Officer pursuant to 18 U.S.C. 1350, as adopted pursuant to Section 906 of</w:t>
              </w:r>
            </w:hyperlink>
          </w:p>
        </w:tc>
      </w:tr>
      <w:tr>
        <w:trPr>
          <w:trHeight w:val="193"/>
        </w:trPr>
        <w:tc>
          <w:tcPr>
            <w:tcW w:w="1140" w:type="dxa"/>
            <w:vAlign w:val="bottom"/>
          </w:tcPr>
          <w:p>
            <w:pPr>
              <w:spacing w:after="0"/>
              <w:rPr>
                <w:sz w:val="16"/>
                <w:szCs w:val="16"/>
                <w:color w:val="auto"/>
              </w:rPr>
            </w:pPr>
          </w:p>
        </w:tc>
        <w:tc>
          <w:tcPr>
            <w:tcW w:w="10100" w:type="dxa"/>
            <w:vAlign w:val="bottom"/>
            <w:gridSpan w:val="3"/>
          </w:tcPr>
          <w:p>
            <w:pPr>
              <w:spacing w:after="0" w:line="194" w:lineRule="exact"/>
              <w:rPr>
                <w:rFonts w:ascii="Arial" w:cs="Arial" w:eastAsia="Arial" w:hAnsi="Arial"/>
                <w:sz w:val="18"/>
                <w:szCs w:val="18"/>
                <w:color w:val="0000EE"/>
              </w:rPr>
            </w:pPr>
            <w:hyperlink w:anchor="page328">
              <w:r>
                <w:rPr>
                  <w:rFonts w:ascii="Arial" w:cs="Arial" w:eastAsia="Arial" w:hAnsi="Arial"/>
                  <w:sz w:val="18"/>
                  <w:szCs w:val="18"/>
                  <w:color w:val="0000EE"/>
                </w:rPr>
                <w:t>the Sarbanes-Oxley Act of 2002.</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10100" w:type="dxa"/>
            <w:vAlign w:val="bottom"/>
            <w:gridSpan w:val="3"/>
            <w:shd w:val="clear" w:color="auto" w:fill="CCEEFF"/>
          </w:tcPr>
          <w:p>
            <w:pPr>
              <w:spacing w:after="0"/>
              <w:rPr>
                <w:rFonts w:ascii="Arial" w:cs="Arial" w:eastAsia="Arial" w:hAnsi="Arial"/>
                <w:sz w:val="18"/>
                <w:szCs w:val="18"/>
                <w:color w:val="0000EE"/>
              </w:rPr>
            </w:pPr>
            <w:hyperlink r:id="rId239">
              <w:r>
                <w:rPr>
                  <w:rFonts w:ascii="Arial" w:cs="Arial" w:eastAsia="Arial" w:hAnsi="Arial"/>
                  <w:sz w:val="18"/>
                  <w:szCs w:val="18"/>
                  <w:u w:val="single" w:color="auto"/>
                  <w:color w:val="0000EE"/>
                </w:rPr>
                <w:t>Code of Conduct and Ethics (1)</w:t>
              </w:r>
              <w:r>
                <w:rPr>
                  <w:rFonts w:ascii="Arial" w:cs="Arial" w:eastAsia="Arial" w:hAnsi="Arial"/>
                  <w:sz w:val="18"/>
                  <w:szCs w:val="18"/>
                  <w:color w:val="0000EE"/>
                </w:rPr>
                <w:t>.</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0100" w:type="dxa"/>
            <w:vAlign w:val="bottom"/>
            <w:gridSpan w:val="3"/>
          </w:tcPr>
          <w:p>
            <w:pPr>
              <w:spacing w:after="0"/>
              <w:rPr>
                <w:rFonts w:ascii="Arial" w:cs="Arial" w:eastAsia="Arial" w:hAnsi="Arial"/>
                <w:sz w:val="18"/>
                <w:szCs w:val="18"/>
                <w:u w:val="single" w:color="auto"/>
                <w:color w:val="0000EE"/>
              </w:rPr>
            </w:pPr>
            <w:hyperlink w:anchor="page329">
              <w:r>
                <w:rPr>
                  <w:rFonts w:ascii="Arial" w:cs="Arial" w:eastAsia="Arial" w:hAnsi="Arial"/>
                  <w:sz w:val="18"/>
                  <w:szCs w:val="18"/>
                  <w:u w:val="single" w:color="auto"/>
                  <w:color w:val="0000EE"/>
                </w:rPr>
                <w:t>List of Subsidiaries of the Registrant.</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w:anchor="page330">
              <w:r>
                <w:rPr>
                  <w:rFonts w:ascii="Arial" w:cs="Arial" w:eastAsia="Arial" w:hAnsi="Arial"/>
                  <w:sz w:val="18"/>
                  <w:szCs w:val="18"/>
                  <w:u w:val="single" w:color="auto"/>
                  <w:color w:val="0000EE"/>
                </w:rPr>
                <w:t>Consent of Ernst &amp; Young Hua Ming LLP.</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10100" w:type="dxa"/>
            <w:vAlign w:val="bottom"/>
            <w:gridSpan w:val="3"/>
          </w:tcPr>
          <w:p>
            <w:pPr>
              <w:spacing w:after="0"/>
              <w:rPr>
                <w:rFonts w:ascii="Arial" w:cs="Arial" w:eastAsia="Arial" w:hAnsi="Arial"/>
                <w:sz w:val="18"/>
                <w:szCs w:val="18"/>
                <w:color w:val="0000EE"/>
              </w:rPr>
            </w:pPr>
            <w:hyperlink w:anchor="page331">
              <w:r>
                <w:rPr>
                  <w:rFonts w:ascii="Arial" w:cs="Arial" w:eastAsia="Arial" w:hAnsi="Arial"/>
                  <w:sz w:val="18"/>
                  <w:szCs w:val="18"/>
                  <w:u w:val="single" w:color="auto"/>
                  <w:color w:val="0000EE"/>
                </w:rPr>
                <w:t>Consent of Friedman LLP</w:t>
              </w:r>
              <w:r>
                <w:rPr>
                  <w:rFonts w:ascii="Arial" w:cs="Arial" w:eastAsia="Arial" w:hAnsi="Arial"/>
                  <w:sz w:val="18"/>
                  <w:szCs w:val="18"/>
                  <w:color w:val="0000EE"/>
                </w:rPr>
                <w:t>.</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00" w:type="dxa"/>
            <w:vAlign w:val="bottom"/>
            <w:gridSpan w:val="3"/>
            <w:shd w:val="clear" w:color="auto" w:fill="CCEEFF"/>
          </w:tcPr>
          <w:p>
            <w:pPr>
              <w:spacing w:after="0"/>
              <w:rPr>
                <w:rFonts w:ascii="Arial" w:cs="Arial" w:eastAsia="Arial" w:hAnsi="Arial"/>
                <w:sz w:val="18"/>
                <w:szCs w:val="18"/>
                <w:color w:val="0000EE"/>
              </w:rPr>
            </w:pPr>
            <w:hyperlink r:id="rId240">
              <w:r>
                <w:rPr>
                  <w:rFonts w:ascii="Arial" w:cs="Arial" w:eastAsia="Arial" w:hAnsi="Arial"/>
                  <w:sz w:val="18"/>
                  <w:szCs w:val="18"/>
                  <w:u w:val="single" w:color="auto"/>
                  <w:color w:val="0000EE"/>
                </w:rPr>
                <w:t>Charter of the Audit Committee (1)</w:t>
              </w:r>
              <w:r>
                <w:rPr>
                  <w:rFonts w:ascii="Arial" w:cs="Arial" w:eastAsia="Arial" w:hAnsi="Arial"/>
                  <w:sz w:val="18"/>
                  <w:szCs w:val="18"/>
                  <w:color w:val="0000EE"/>
                </w:rPr>
                <w:t>.</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100" w:type="dxa"/>
            <w:vAlign w:val="bottom"/>
            <w:gridSpan w:val="3"/>
          </w:tcPr>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Charter of the Compensation Committee (1).</w:t>
              </w:r>
            </w:hyperlink>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99.3</w:t>
            </w:r>
          </w:p>
        </w:tc>
        <w:tc>
          <w:tcPr>
            <w:tcW w:w="10100" w:type="dxa"/>
            <w:vAlign w:val="bottom"/>
            <w:gridSpan w:val="3"/>
            <w:shd w:val="clear" w:color="auto" w:fill="CCEEFF"/>
          </w:tcPr>
          <w:p>
            <w:pPr>
              <w:spacing w:after="0"/>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Charter of the Nominating Committee (1).</w:t>
              </w:r>
            </w:hyperlink>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9" w:lineRule="exact"/>
        <w:rPr>
          <w:sz w:val="20"/>
          <w:szCs w:val="20"/>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27, 2018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with the SEC as an exhibit to Report on Form 6-K and incorporated by reference herein.</w:t>
      </w:r>
    </w:p>
    <w:p>
      <w:pPr>
        <w:spacing w:after="0" w:line="246"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29, 2019 and incorporated by reference herein.</w:t>
      </w:r>
    </w:p>
    <w:p>
      <w:pPr>
        <w:spacing w:after="0" w:line="246"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27, 2020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November 4, 2019 and incorporated by reference herein.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4"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Ming Hui Lin</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Executive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Rui Yang</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Acting Chief Financial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0" w:name="page161"/>
    <w:bookmarkEnd w:id="160"/>
    <w:p>
      <w:pPr>
        <w:ind w:left="10540"/>
        <w:spacing w:after="0"/>
        <w:rPr>
          <w:sz w:val="20"/>
          <w:szCs w:val="20"/>
          <w:color w:val="auto"/>
        </w:rPr>
      </w:pPr>
      <w:r>
        <w:rPr>
          <w:rFonts w:ascii="Arial" w:cs="Arial" w:eastAsia="Arial" w:hAnsi="Arial"/>
          <w:sz w:val="16"/>
          <w:szCs w:val="16"/>
          <w:b w:val="1"/>
          <w:bCs w:val="1"/>
          <w:color w:val="auto"/>
        </w:rPr>
        <w:t>Exhibit 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The following are summaries of material provisions of our memorandum and articles of association and the Companies Law insofar as they relate to the material terms of our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 association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our board of directors may declare and pay dividends if justified by our financial position and permitted by law.</w:t>
      </w:r>
    </w:p>
    <w:p>
      <w:pPr>
        <w:spacing w:after="0" w:line="152"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85"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8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common shares in a notice served to such shareholders at least 14 clear days prior to the specified time of payment. The common shares that have been called upon and remain unpaid are subject to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jc w:val="both"/>
        <w:ind w:firstLine="640"/>
        <w:spacing w:after="0" w:line="274"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ectPr>
          <w:pgSz w:w="11900" w:h="16838" w:orient="portrait"/>
          <w:cols w:equalWidth="0" w:num="1">
            <w:col w:w="11240"/>
          </w:cols>
          <w:pgMar w:left="320" w:top="899" w:right="339" w:bottom="1440" w:gutter="0" w:footer="0" w:header="0"/>
        </w:sectPr>
      </w:pPr>
    </w:p>
    <w:p>
      <w:pPr>
        <w:spacing w:after="0" w:line="175"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b w:val="1"/>
          <w:bCs w:val="1"/>
          <w:i w:val="1"/>
          <w:iCs w:val="1"/>
          <w:color w:val="auto"/>
        </w:rPr>
        <w:t xml:space="preserve">Inspection of Books and Records. </w:t>
      </w:r>
      <w:r>
        <w:rPr>
          <w:rFonts w:ascii="Arial" w:cs="Arial" w:eastAsia="Arial" w:hAnsi="Arial"/>
          <w:sz w:val="16"/>
          <w:szCs w:val="16"/>
          <w:color w:val="auto"/>
        </w:rPr>
        <w:t>of our list of shareholders or our corporate Can Find Additional Information.”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Holders of our common shares have no general right under our articles of association to inspect or obtain copies records. However, we will provide our shareholders with annual audited financial statements. See “Where You</w:t>
      </w:r>
    </w:p>
    <w:p>
      <w:pPr>
        <w:spacing w:after="0" w:line="343" w:lineRule="exact"/>
        <w:rPr>
          <w:sz w:val="20"/>
          <w:szCs w:val="20"/>
          <w:color w:val="auto"/>
        </w:rPr>
      </w:pPr>
    </w:p>
    <w:p>
      <w:pPr>
        <w:sectPr>
          <w:pgSz w:w="11900" w:h="16838" w:orient="portrait"/>
          <w:cols w:equalWidth="0" w:num="2">
            <w:col w:w="3120" w:space="60"/>
            <w:col w:w="8060"/>
          </w:cols>
          <w:pgMar w:left="320" w:top="899" w:right="339" w:bottom="1440" w:gutter="0" w:footer="0" w:header="0"/>
          <w:type w:val="continuous"/>
        </w:sectPr>
      </w:pPr>
    </w:p>
    <w:p>
      <w:pPr>
        <w:jc w:val="both"/>
        <w:ind w:firstLine="640"/>
        <w:spacing w:after="0" w:line="255"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8" w:lineRule="exact"/>
        <w:rPr>
          <w:sz w:val="20"/>
          <w:szCs w:val="20"/>
          <w:color w:val="auto"/>
        </w:rPr>
      </w:pPr>
    </w:p>
    <w:p>
      <w:pPr>
        <w:ind w:left="960" w:hanging="313"/>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399415</wp:posOffset>
            </wp:positionV>
            <wp:extent cx="71342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This EMPLOYMENT AGREEMENT (the “Agreement”) is entered into as of June 11, 2019 with the effective date of June 11, 2019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by and between CLPS INCORPORATION, a Cayman Islands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having its principal place of business at c/o 2nd Floor, Building 18, Shanghai Pudong Software Park, 498 Guoshoujin Road, Pudong, Shanghai 201203, People’s Republic of China, and Li Li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and the Company and the Executive collectively referred to herein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hire Executive and to employ him as the Company’s Chief Operation Officer (“COO”)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the Parties desire to enter into this Agreement embodying the terms of such employment;</w:t>
      </w:r>
    </w:p>
    <w:p>
      <w:pPr>
        <w:spacing w:after="0" w:line="168"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NOW, THISEFORE</w:t>
      </w:r>
      <w:r>
        <w:rPr>
          <w:rFonts w:ascii="Arial" w:cs="Arial" w:eastAsia="Arial" w:hAnsi="Arial"/>
          <w:sz w:val="18"/>
          <w:szCs w:val="18"/>
          <w:color w:val="auto"/>
        </w:rPr>
        <w:t>, in consideration of the premises and the mutual covenants and promises of the Parties contained herein, the Parties, intending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legally bound, hereby agree as follows:</w:t>
      </w:r>
    </w:p>
    <w:p>
      <w:pPr>
        <w:spacing w:after="0" w:line="172" w:lineRule="exact"/>
        <w:rPr>
          <w:sz w:val="20"/>
          <w:szCs w:val="20"/>
          <w:color w:val="auto"/>
        </w:rPr>
      </w:pPr>
    </w:p>
    <w:p>
      <w:pPr>
        <w:ind w:left="820" w:hanging="173"/>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Title and Job Duties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firstLine="1288"/>
        <w:spacing w:after="0" w:line="270" w:lineRule="auto"/>
        <w:tabs>
          <w:tab w:leader="none" w:pos="1533" w:val="left"/>
        </w:tabs>
        <w:numPr>
          <w:ilvl w:val="1"/>
          <w:numId w:val="94"/>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the Company agrees to employ Executive as Chief Operation Officer. Executive shall report directly to the Chief Executive Officer of the Company (the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firstLine="1288"/>
        <w:spacing w:after="0" w:line="274" w:lineRule="auto"/>
        <w:tabs>
          <w:tab w:leader="none" w:pos="1545" w:val="left"/>
        </w:tabs>
        <w:numPr>
          <w:ilvl w:val="1"/>
          <w:numId w:val="94"/>
        </w:numPr>
        <w:rPr>
          <w:rFonts w:ascii="Arial" w:cs="Arial" w:eastAsia="Arial" w:hAnsi="Arial"/>
          <w:sz w:val="17"/>
          <w:szCs w:val="17"/>
          <w:color w:val="auto"/>
        </w:rPr>
      </w:pPr>
      <w:r>
        <w:rPr>
          <w:rFonts w:ascii="Arial" w:cs="Arial" w:eastAsia="Arial" w:hAnsi="Arial"/>
          <w:sz w:val="17"/>
          <w:szCs w:val="17"/>
          <w:color w:val="auto"/>
        </w:rPr>
        <w:t>Executive accepts such employment and agrees, during the term of his employment, to devote his full business and professional time and energy to the Company, and agrees faithfully to perform his duties and responsibilities in an efficient, trustworthy and business-like manner. Executive also agrees that the CEO shall determine from time to time such of his duties as may be assigned to him. Executive agrees to carry out and abide by such directions of the CEO. Visible leadership is expected from Executive, which will require frequent travelling.</w:t>
      </w:r>
    </w:p>
    <w:p>
      <w:pPr>
        <w:spacing w:after="0" w:line="174" w:lineRule="exact"/>
        <w:rPr>
          <w:rFonts w:ascii="Arial" w:cs="Arial" w:eastAsia="Arial" w:hAnsi="Arial"/>
          <w:sz w:val="17"/>
          <w:szCs w:val="17"/>
          <w:color w:val="auto"/>
        </w:rPr>
      </w:pPr>
    </w:p>
    <w:p>
      <w:pPr>
        <w:jc w:val="both"/>
        <w:ind w:firstLine="1288"/>
        <w:spacing w:after="0" w:line="253" w:lineRule="auto"/>
        <w:tabs>
          <w:tab w:leader="none" w:pos="1527" w:val="left"/>
        </w:tabs>
        <w:numPr>
          <w:ilvl w:val="1"/>
          <w:numId w:val="9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Executive shall not, without the written approval of the Company, render services of a business or commercial nature on his own behalf or on behalf of any person, firm, or corporation, whether for compensation or otherwise, during his employment hereunder.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89" w:lineRule="exact"/>
        <w:rPr>
          <w:rFonts w:ascii="Arial" w:cs="Arial" w:eastAsia="Arial" w:hAnsi="Arial"/>
          <w:sz w:val="18"/>
          <w:szCs w:val="18"/>
          <w:color w:val="auto"/>
        </w:rPr>
      </w:pPr>
    </w:p>
    <w:p>
      <w:pPr>
        <w:ind w:left="820" w:hanging="173"/>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Salary and Additional Compensation</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55" w:lineRule="auto"/>
        <w:tabs>
          <w:tab w:leader="none" w:pos="152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Executive an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of a total of RMB 360,000, HK$273,600, in accordance with the Company’s normal payroll procedures and an eligibility to receive 12,000 restricted shares in November 2020.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both"/>
        <w:ind w:firstLine="1288"/>
        <w:spacing w:after="0" w:line="251" w:lineRule="auto"/>
        <w:tabs>
          <w:tab w:leader="none" w:pos="1559"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Commencing with the year ending June 30, 2020, Executive will be entitled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92" w:lineRule="exact"/>
        <w:rPr>
          <w:rFonts w:ascii="Arial" w:cs="Arial" w:eastAsia="Arial" w:hAnsi="Arial"/>
          <w:sz w:val="18"/>
          <w:szCs w:val="18"/>
          <w:color w:val="auto"/>
        </w:rPr>
      </w:pPr>
    </w:p>
    <w:p>
      <w:pPr>
        <w:jc w:val="both"/>
        <w:ind w:firstLine="647"/>
        <w:spacing w:after="0" w:line="269" w:lineRule="auto"/>
        <w:tabs>
          <w:tab w:leader="none" w:pos="818"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his duties under this Agreement, including without limitation all travel expenses to and from his designated office as set forth in the opening paragraph of this Agreement, upon his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79" w:lineRule="exact"/>
        <w:rPr>
          <w:rFonts w:ascii="Arial" w:cs="Arial" w:eastAsia="Arial" w:hAnsi="Arial"/>
          <w:sz w:val="17"/>
          <w:szCs w:val="17"/>
          <w:color w:val="auto"/>
        </w:rPr>
      </w:pPr>
    </w:p>
    <w:p>
      <w:pPr>
        <w:ind w:left="820" w:hanging="173"/>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firstLine="1288"/>
        <w:spacing w:after="0" w:line="270" w:lineRule="auto"/>
        <w:tabs>
          <w:tab w:leader="none" w:pos="1522"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 Executive shall be entitled to eighteen (18) days of vacation per year , which shall accrue at a pro rata rate per pay period. Vacation must be taken in the year in which it accrues and the dates of any vacation must be approved by the CEO.</w:t>
      </w:r>
    </w:p>
    <w:p>
      <w:pPr>
        <w:spacing w:after="0" w:line="174" w:lineRule="exact"/>
        <w:rPr>
          <w:rFonts w:ascii="Arial" w:cs="Arial" w:eastAsia="Arial" w:hAnsi="Arial"/>
          <w:sz w:val="18"/>
          <w:szCs w:val="18"/>
          <w:color w:val="auto"/>
        </w:rPr>
      </w:pPr>
    </w:p>
    <w:p>
      <w:pPr>
        <w:jc w:val="both"/>
        <w:ind w:firstLine="1288"/>
        <w:spacing w:after="0" w:line="258" w:lineRule="auto"/>
        <w:tabs>
          <w:tab w:leader="none" w:pos="1546"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Health Insurance and Other Plans</w:t>
      </w:r>
      <w:r>
        <w:rPr>
          <w:rFonts w:ascii="Arial" w:cs="Arial" w:eastAsia="Arial" w:hAnsi="Arial"/>
          <w:sz w:val="18"/>
          <w:szCs w:val="18"/>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86" w:lineRule="exact"/>
        <w:rPr>
          <w:rFonts w:ascii="Arial" w:cs="Arial" w:eastAsia="Arial" w:hAnsi="Arial"/>
          <w:sz w:val="18"/>
          <w:szCs w:val="18"/>
          <w:color w:val="auto"/>
        </w:rPr>
      </w:pPr>
    </w:p>
    <w:p>
      <w:pPr>
        <w:jc w:val="both"/>
        <w:ind w:firstLine="647"/>
        <w:spacing w:after="0" w:line="286" w:lineRule="auto"/>
        <w:tabs>
          <w:tab w:leader="none" w:pos="81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employment under this Agreement (the “Term) shall be for a five-year period commencing on the Effective Date and shall be automatically extended for an additional consecutive twelve (12)-month period on the fifth (5th)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his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4" w:name="page165"/>
    <w:bookmarkEnd w:id="164"/>
    <w:p>
      <w:pPr>
        <w:ind w:left="820" w:hanging="173"/>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520" w:hanging="232"/>
        <w:spacing w:after="0"/>
        <w:tabs>
          <w:tab w:leader="none" w:pos="152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 at the Company’s Election</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928"/>
        <w:spacing w:after="0" w:line="267" w:lineRule="auto"/>
        <w:tabs>
          <w:tab w:leader="none" w:pos="2147" w:val="left"/>
        </w:tabs>
        <w:numPr>
          <w:ilvl w:val="2"/>
          <w:numId w:val="97"/>
        </w:numPr>
        <w:rPr>
          <w:rFonts w:ascii="Arial" w:cs="Arial" w:eastAsia="Arial" w:hAnsi="Arial"/>
          <w:sz w:val="17"/>
          <w:szCs w:val="17"/>
          <w:color w:val="auto"/>
        </w:rPr>
      </w:pPr>
      <w:r>
        <w:rPr>
          <w:rFonts w:ascii="Arial" w:cs="Arial" w:eastAsia="Arial" w:hAnsi="Arial"/>
          <w:sz w:val="17"/>
          <w:szCs w:val="17"/>
          <w:u w:val="single" w:color="auto"/>
          <w:color w:val="auto"/>
        </w:rPr>
        <w:t>For Cause</w:t>
      </w:r>
      <w:r>
        <w:rPr>
          <w:rFonts w:ascii="Arial" w:cs="Arial" w:eastAsia="Arial" w:hAnsi="Arial"/>
          <w:sz w:val="17"/>
          <w:szCs w:val="17"/>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his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81" w:lineRule="exact"/>
        <w:rPr>
          <w:rFonts w:ascii="Arial" w:cs="Arial" w:eastAsia="Arial" w:hAnsi="Arial"/>
          <w:sz w:val="17"/>
          <w:szCs w:val="17"/>
          <w:color w:val="auto"/>
        </w:rPr>
      </w:pPr>
    </w:p>
    <w:p>
      <w:pPr>
        <w:jc w:val="both"/>
        <w:ind w:firstLine="1928"/>
        <w:spacing w:after="0" w:line="255" w:lineRule="auto"/>
        <w:tabs>
          <w:tab w:leader="none" w:pos="2196"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Upon Disability, Death or Without Cause</w:t>
      </w:r>
      <w:r>
        <w:rPr>
          <w:rFonts w:ascii="Arial" w:cs="Arial" w:eastAsia="Arial" w:hAnsi="Arial"/>
          <w:sz w:val="18"/>
          <w:szCs w:val="18"/>
          <w:color w:val="auto"/>
        </w:rPr>
        <w:t>. At the election of the Company, Executive’s employment may be terminated: (A) should Executive have a physical or mental impairment that substantially limits a major life activity and Executive is unable to perform the essential functions of his job with or without reasonable accommodation (“</w:t>
      </w:r>
      <w:r>
        <w:rPr>
          <w:rFonts w:ascii="Arial" w:cs="Arial" w:eastAsia="Arial" w:hAnsi="Arial"/>
          <w:sz w:val="18"/>
          <w:szCs w:val="18"/>
          <w:u w:val="single" w:color="auto"/>
          <w:color w:val="auto"/>
        </w:rPr>
        <w:t>Disability</w:t>
      </w:r>
      <w:r>
        <w:rPr>
          <w:rFonts w:ascii="Arial" w:cs="Arial" w:eastAsia="Arial" w:hAnsi="Arial"/>
          <w:sz w:val="18"/>
          <w:szCs w:val="18"/>
          <w:color w:val="auto"/>
        </w:rPr>
        <w:t>”); (B) upon Executive’s death; or (C) with ninety (90) days prior written notice, at any time Without Cause for any or no reason.</w:t>
      </w:r>
    </w:p>
    <w:p>
      <w:pPr>
        <w:spacing w:after="0" w:line="187" w:lineRule="exact"/>
        <w:rPr>
          <w:rFonts w:ascii="Arial" w:cs="Arial" w:eastAsia="Arial" w:hAnsi="Arial"/>
          <w:sz w:val="18"/>
          <w:szCs w:val="18"/>
          <w:color w:val="auto"/>
        </w:rPr>
      </w:pPr>
    </w:p>
    <w:p>
      <w:pPr>
        <w:jc w:val="both"/>
        <w:ind w:firstLine="1288"/>
        <w:spacing w:after="0" w:line="284" w:lineRule="auto"/>
        <w:tabs>
          <w:tab w:leader="none" w:pos="1546"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Termination at Executive’s Election; Good Reason Termination</w:t>
      </w:r>
      <w:r>
        <w:rPr>
          <w:rFonts w:ascii="Arial" w:cs="Arial" w:eastAsia="Arial" w:hAnsi="Arial"/>
          <w:sz w:val="16"/>
          <w:szCs w:val="16"/>
          <w:color w:val="auto"/>
        </w:rPr>
        <w:t>. Notwithstanding anything contained elsewhere in this Agreement to the contrary, Executive may terminate his employment hereunder at any time and for any reason, upon thirty (30) days’ prior written notice given pursuant to Section 12 of this Agreement (“</w:t>
      </w:r>
      <w:r>
        <w:rPr>
          <w:rFonts w:ascii="Arial" w:cs="Arial" w:eastAsia="Arial" w:hAnsi="Arial"/>
          <w:sz w:val="16"/>
          <w:szCs w:val="16"/>
          <w:u w:val="single" w:color="auto"/>
          <w:color w:val="auto"/>
        </w:rPr>
        <w:t>Voluntary Resignation</w:t>
      </w:r>
      <w:r>
        <w:rPr>
          <w:rFonts w:ascii="Arial" w:cs="Arial" w:eastAsia="Arial" w:hAnsi="Arial"/>
          <w:sz w:val="16"/>
          <w:szCs w:val="16"/>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6"/>
          <w:szCs w:val="16"/>
          <w:u w:val="single" w:color="auto"/>
          <w:color w:val="auto"/>
        </w:rPr>
        <w:t>Good Reason</w:t>
      </w:r>
      <w:r>
        <w:rPr>
          <w:rFonts w:ascii="Arial" w:cs="Arial" w:eastAsia="Arial" w:hAnsi="Arial"/>
          <w:sz w:val="16"/>
          <w:szCs w:val="16"/>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166" w:lineRule="exact"/>
        <w:rPr>
          <w:rFonts w:ascii="Arial" w:cs="Arial" w:eastAsia="Arial" w:hAnsi="Arial"/>
          <w:sz w:val="16"/>
          <w:szCs w:val="16"/>
          <w:color w:val="auto"/>
        </w:rPr>
      </w:pPr>
    </w:p>
    <w:p>
      <w:pPr>
        <w:ind w:left="1520" w:hanging="232"/>
        <w:spacing w:after="0"/>
        <w:tabs>
          <w:tab w:leader="none" w:pos="152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Termination in General</w:t>
      </w:r>
      <w:r>
        <w:rPr>
          <w:rFonts w:ascii="Arial" w:cs="Arial" w:eastAsia="Arial" w:hAnsi="Arial"/>
          <w:sz w:val="16"/>
          <w:szCs w:val="16"/>
          <w:color w:val="auto"/>
        </w:rPr>
        <w:t>. If Executive’s employment with the Company terminates for any reason, the Company will pay or provide to</w:t>
      </w:r>
    </w:p>
    <w:p>
      <w:pPr>
        <w:spacing w:after="0" w:line="42" w:lineRule="exact"/>
        <w:rPr>
          <w:rFonts w:ascii="Arial" w:cs="Arial" w:eastAsia="Arial" w:hAnsi="Arial"/>
          <w:sz w:val="16"/>
          <w:szCs w:val="16"/>
          <w:color w:val="auto"/>
        </w:rPr>
      </w:pPr>
    </w:p>
    <w:p>
      <w:pPr>
        <w:jc w:val="both"/>
        <w:spacing w:after="0" w:line="249" w:lineRule="auto"/>
        <w:rPr>
          <w:rFonts w:ascii="Arial" w:cs="Arial" w:eastAsia="Arial" w:hAnsi="Arial"/>
          <w:sz w:val="16"/>
          <w:szCs w:val="16"/>
          <w:color w:val="auto"/>
        </w:rPr>
      </w:pPr>
      <w:r>
        <w:rPr>
          <w:rFonts w:ascii="Arial" w:cs="Arial" w:eastAsia="Arial" w:hAnsi="Arial"/>
          <w:sz w:val="18"/>
          <w:szCs w:val="18"/>
          <w:color w:val="auto"/>
        </w:rPr>
        <w:t>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5" w:name="page166"/>
    <w:bookmarkEnd w:id="165"/>
    <w:p>
      <w:pPr>
        <w:ind w:left="820" w:hanging="173"/>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51" w:lineRule="auto"/>
        <w:tabs>
          <w:tab w:leader="none" w:pos="1529"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Subject to Section 7(b) below, if Executive’s employment is terminated prior to the end of the Term by the Company without Cause or by Executive for Good Reason, Executive shall be entitled to receive a severance payment equal to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92" w:lineRule="exact"/>
        <w:rPr>
          <w:rFonts w:ascii="Arial" w:cs="Arial" w:eastAsia="Arial" w:hAnsi="Arial"/>
          <w:sz w:val="18"/>
          <w:szCs w:val="18"/>
          <w:color w:val="auto"/>
        </w:rPr>
      </w:pPr>
    </w:p>
    <w:p>
      <w:pPr>
        <w:jc w:val="both"/>
        <w:ind w:firstLine="1288"/>
        <w:spacing w:after="0" w:line="265" w:lineRule="auto"/>
        <w:tabs>
          <w:tab w:leader="none" w:pos="1534" w:val="left"/>
        </w:tabs>
        <w:numPr>
          <w:ilvl w:val="1"/>
          <w:numId w:val="98"/>
        </w:numPr>
        <w:rPr>
          <w:rFonts w:ascii="Arial" w:cs="Arial" w:eastAsia="Arial" w:hAnsi="Arial"/>
          <w:sz w:val="17"/>
          <w:szCs w:val="17"/>
          <w:color w:val="auto"/>
        </w:rPr>
      </w:pPr>
      <w:r>
        <w:rPr>
          <w:rFonts w:ascii="Arial" w:cs="Arial" w:eastAsia="Arial" w:hAnsi="Arial"/>
          <w:sz w:val="17"/>
          <w:szCs w:val="17"/>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RS Grant or, if the termination occurs after the Change of Control, the Substitute Grant, as applicable. For purposes of this Agreement,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7"/>
          <w:szCs w:val="17"/>
          <w:u w:val="single" w:color="auto"/>
          <w:color w:val="auto"/>
        </w:rPr>
        <w:t>Exchange Act</w:t>
      </w:r>
      <w:r>
        <w:rPr>
          <w:rFonts w:ascii="Arial" w:cs="Arial" w:eastAsia="Arial" w:hAnsi="Arial"/>
          <w:sz w:val="17"/>
          <w:szCs w:val="17"/>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85" w:lineRule="exact"/>
        <w:rPr>
          <w:rFonts w:ascii="Arial" w:cs="Arial" w:eastAsia="Arial" w:hAnsi="Arial"/>
          <w:sz w:val="17"/>
          <w:szCs w:val="17"/>
          <w:color w:val="auto"/>
        </w:rPr>
      </w:pPr>
    </w:p>
    <w:p>
      <w:pPr>
        <w:jc w:val="both"/>
        <w:ind w:firstLine="1288"/>
        <w:spacing w:after="0" w:line="253" w:lineRule="auto"/>
        <w:tabs>
          <w:tab w:leader="none" w:pos="15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6" w:name="page167"/>
    <w:bookmarkEnd w:id="166"/>
    <w:p>
      <w:pPr>
        <w:ind w:left="820" w:hanging="173"/>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82" w:lineRule="auto"/>
        <w:tabs>
          <w:tab w:leader="none" w:pos="1553" w:val="left"/>
        </w:tabs>
        <w:numPr>
          <w:ilvl w:val="1"/>
          <w:numId w:val="99"/>
        </w:numPr>
        <w:rPr>
          <w:rFonts w:ascii="Arial" w:cs="Arial" w:eastAsia="Arial" w:hAnsi="Arial"/>
          <w:sz w:val="16"/>
          <w:szCs w:val="16"/>
          <w:color w:val="auto"/>
        </w:rPr>
      </w:pPr>
      <w:r>
        <w:rPr>
          <w:rFonts w:ascii="Arial" w:cs="Arial" w:eastAsia="Arial" w:hAnsi="Arial"/>
          <w:sz w:val="16"/>
          <w:szCs w:val="16"/>
          <w:color w:val="auto"/>
        </w:rPr>
        <w:t>Executive understands that during the Term 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6"/>
          <w:szCs w:val="16"/>
          <w:u w:val="single" w:color="auto"/>
          <w:color w:val="auto"/>
        </w:rPr>
        <w:t>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or clients, including without limitation any of their actual or anticipated business, research or development, any of their technology or the implementation or exploitation thereof, including without limitation information Executive and other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 under agreements to hold such information confidential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to observe all Company policies and procedures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when necessary in the performance of his duties for the Company. Executive’s obligations under this Agreement will continue with respect to Confidential Information, whether or not his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he first notifies promptly the Company of such subpoena, order or other requirement and allows the Company the opportunity to obtain a protective order or other appropriate remedy.</w:t>
      </w:r>
    </w:p>
    <w:p>
      <w:pPr>
        <w:spacing w:after="0" w:line="175" w:lineRule="exact"/>
        <w:rPr>
          <w:rFonts w:ascii="Arial" w:cs="Arial" w:eastAsia="Arial" w:hAnsi="Arial"/>
          <w:sz w:val="16"/>
          <w:szCs w:val="16"/>
          <w:color w:val="auto"/>
        </w:rPr>
      </w:pPr>
    </w:p>
    <w:p>
      <w:pPr>
        <w:jc w:val="both"/>
        <w:ind w:firstLine="1288"/>
        <w:spacing w:after="0" w:line="252" w:lineRule="auto"/>
        <w:tabs>
          <w:tab w:leader="none" w:pos="15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 and all copies of such materials, whether of a technical, business or fiscal nature, whether on the hard drive of a laptop or desktop computer, in hard copy, disk or any other format, which are in Executive’s possession, custody or control.</w:t>
      </w:r>
    </w:p>
    <w:p>
      <w:pPr>
        <w:spacing w:after="0" w:line="190" w:lineRule="exact"/>
        <w:rPr>
          <w:rFonts w:ascii="Arial" w:cs="Arial" w:eastAsia="Arial" w:hAnsi="Arial"/>
          <w:sz w:val="18"/>
          <w:szCs w:val="18"/>
          <w:color w:val="auto"/>
        </w:rPr>
      </w:pPr>
    </w:p>
    <w:p>
      <w:pPr>
        <w:jc w:val="both"/>
        <w:ind w:firstLine="1288"/>
        <w:spacing w:after="0" w:line="285" w:lineRule="auto"/>
        <w:tabs>
          <w:tab w:leader="none" w:pos="1576" w:val="left"/>
        </w:tabs>
        <w:numPr>
          <w:ilvl w:val="1"/>
          <w:numId w:val="99"/>
        </w:numPr>
        <w:rPr>
          <w:rFonts w:ascii="Arial" w:cs="Arial" w:eastAsia="Arial" w:hAnsi="Arial"/>
          <w:sz w:val="16"/>
          <w:szCs w:val="16"/>
          <w:color w:val="auto"/>
        </w:rPr>
      </w:pPr>
      <w:r>
        <w:rPr>
          <w:rFonts w:ascii="Arial" w:cs="Arial" w:eastAsia="Arial" w:hAnsi="Arial"/>
          <w:sz w:val="16"/>
          <w:szCs w:val="16"/>
          <w:color w:val="auto"/>
        </w:rPr>
        <w:t>Executive will promptly disclose to the Company any idea, invention, discovery or improvement, whether patentable or not (“</w:t>
      </w:r>
      <w:r>
        <w:rPr>
          <w:rFonts w:ascii="Arial" w:cs="Arial" w:eastAsia="Arial" w:hAnsi="Arial"/>
          <w:sz w:val="16"/>
          <w:szCs w:val="16"/>
          <w:u w:val="single" w:color="auto"/>
          <w:color w:val="auto"/>
        </w:rPr>
        <w:t>Creations</w:t>
      </w:r>
      <w:r>
        <w:rPr>
          <w:rFonts w:ascii="Arial" w:cs="Arial" w:eastAsia="Arial" w:hAnsi="Arial"/>
          <w:sz w:val="16"/>
          <w:szCs w:val="16"/>
          <w:color w:val="auto"/>
        </w:rPr>
        <w:t>”), conceived or made by him alone or with other at any time during his employment. Executive agrees that the Company owns all such Creations, conceived or made by Executive alone or with other at any time during his employment, and Executive hereby assigns and agrees to assign to the Company all rights he has or may acquire their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Executive understands that the obligation to assign Creations to the Company shall not apply to any Creation which is developed entirely on his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his work at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7" w:name="page168"/>
    <w:bookmarkEnd w:id="167"/>
    <w:p>
      <w:pPr>
        <w:ind w:firstLine="1288"/>
        <w:spacing w:after="0" w:line="300" w:lineRule="auto"/>
        <w:tabs>
          <w:tab w:leader="none" w:pos="153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Executive will not assert any rights to any invention, discovery, idea or improvement relating to the business of the Company or any of its Affiliated Entities or to his duties hereunder as having been made or acquired by Executive prior to his work for the Company.</w:t>
      </w:r>
    </w:p>
    <w:p>
      <w:pPr>
        <w:spacing w:after="0" w:line="151" w:lineRule="exact"/>
        <w:rPr>
          <w:rFonts w:ascii="Arial" w:cs="Arial" w:eastAsia="Arial" w:hAnsi="Arial"/>
          <w:sz w:val="17"/>
          <w:szCs w:val="17"/>
          <w:color w:val="auto"/>
        </w:rPr>
      </w:pPr>
    </w:p>
    <w:p>
      <w:pPr>
        <w:jc w:val="both"/>
        <w:ind w:firstLine="1288"/>
        <w:spacing w:after="0" w:line="255" w:lineRule="auto"/>
        <w:tabs>
          <w:tab w:leader="none" w:pos="154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During the Term</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hereby granted and shall have a non- 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87" w:lineRule="exact"/>
        <w:rPr>
          <w:rFonts w:ascii="Arial" w:cs="Arial" w:eastAsia="Arial" w:hAnsi="Arial"/>
          <w:sz w:val="18"/>
          <w:szCs w:val="18"/>
          <w:color w:val="auto"/>
        </w:rPr>
      </w:pPr>
    </w:p>
    <w:p>
      <w:pPr>
        <w:jc w:val="both"/>
        <w:ind w:firstLine="1288"/>
        <w:spacing w:after="0" w:line="334" w:lineRule="auto"/>
        <w:tabs>
          <w:tab w:leader="none" w:pos="15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Executive agrees to cooperate fully with the Company,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w:t>
      </w:r>
    </w:p>
    <w:p>
      <w:pPr>
        <w:spacing w:after="0" w:line="352" w:lineRule="exact"/>
        <w:rPr>
          <w:rFonts w:ascii="Arial" w:cs="Arial" w:eastAsia="Arial" w:hAnsi="Arial"/>
          <w:sz w:val="14"/>
          <w:szCs w:val="14"/>
          <w:color w:val="auto"/>
        </w:rPr>
      </w:pPr>
    </w:p>
    <w:p>
      <w:pPr>
        <w:jc w:val="both"/>
        <w:ind w:firstLine="647"/>
        <w:spacing w:after="0" w:line="255" w:lineRule="auto"/>
        <w:tabs>
          <w:tab w:leader="none" w:pos="84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w:t>
      </w:r>
      <w:r>
        <w:rPr>
          <w:rFonts w:ascii="Arial" w:cs="Arial" w:eastAsia="Arial" w:hAnsi="Arial"/>
          <w:sz w:val="18"/>
          <w:szCs w:val="18"/>
          <w:color w:val="auto"/>
        </w:rPr>
        <w:t>. (a) Executive agrees that, during the Term of his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termination of Executive’s employment, or induce any such employee to terminate him or his employment with the Company or any of its Affiliated Entities.</w:t>
      </w:r>
    </w:p>
    <w:p>
      <w:pPr>
        <w:spacing w:after="0" w:line="187" w:lineRule="exact"/>
        <w:rPr>
          <w:rFonts w:ascii="Arial" w:cs="Arial" w:eastAsia="Arial" w:hAnsi="Arial"/>
          <w:sz w:val="18"/>
          <w:szCs w:val="18"/>
          <w:color w:val="auto"/>
        </w:rPr>
      </w:pPr>
    </w:p>
    <w:p>
      <w:pPr>
        <w:jc w:val="both"/>
        <w:ind w:firstLine="1288"/>
        <w:spacing w:after="0" w:line="289" w:lineRule="auto"/>
        <w:tabs>
          <w:tab w:leader="none" w:pos="153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Executive further agrees that, during the Term,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165" w:lineRule="exact"/>
        <w:rPr>
          <w:rFonts w:ascii="Arial" w:cs="Arial" w:eastAsia="Arial" w:hAnsi="Arial"/>
          <w:sz w:val="16"/>
          <w:szCs w:val="16"/>
          <w:color w:val="auto"/>
        </w:rPr>
      </w:pPr>
    </w:p>
    <w:p>
      <w:pPr>
        <w:jc w:val="both"/>
        <w:ind w:firstLine="1288"/>
        <w:spacing w:after="0" w:line="255" w:lineRule="auto"/>
        <w:tabs>
          <w:tab w:leader="none" w:pos="152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8" w:name="page169"/>
    <w:bookmarkEnd w:id="168"/>
    <w:p>
      <w:pPr>
        <w:ind w:firstLine="1288"/>
        <w:spacing w:after="0" w:line="270" w:lineRule="auto"/>
        <w:tabs>
          <w:tab w:leader="none" w:pos="155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74" w:lineRule="exact"/>
        <w:rPr>
          <w:rFonts w:ascii="Arial" w:cs="Arial" w:eastAsia="Arial" w:hAnsi="Arial"/>
          <w:sz w:val="18"/>
          <w:szCs w:val="18"/>
          <w:color w:val="auto"/>
        </w:rPr>
      </w:pPr>
    </w:p>
    <w:p>
      <w:pPr>
        <w:jc w:val="both"/>
        <w:ind w:firstLine="1288"/>
        <w:spacing w:after="0" w:line="268" w:lineRule="auto"/>
        <w:tabs>
          <w:tab w:leader="none" w:pos="152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the People’s Republic of China,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79" w:lineRule="exact"/>
        <w:rPr>
          <w:rFonts w:ascii="Arial" w:cs="Arial" w:eastAsia="Arial" w:hAnsi="Arial"/>
          <w:sz w:val="17"/>
          <w:szCs w:val="17"/>
          <w:color w:val="auto"/>
        </w:rPr>
      </w:pPr>
    </w:p>
    <w:p>
      <w:pPr>
        <w:jc w:val="both"/>
        <w:ind w:firstLine="647"/>
        <w:spacing w:after="0" w:line="266" w:lineRule="auto"/>
        <w:tabs>
          <w:tab w:leader="none" w:pos="90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Executive hereby acknowledges and represents that he has had the opportunity to consult with legal counsel regarding his rights and obligations under this Agreement and that 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81" w:lineRule="exact"/>
        <w:rPr>
          <w:rFonts w:ascii="Arial" w:cs="Arial" w:eastAsia="Arial" w:hAnsi="Arial"/>
          <w:sz w:val="17"/>
          <w:szCs w:val="17"/>
          <w:color w:val="auto"/>
        </w:rPr>
      </w:pPr>
    </w:p>
    <w:p>
      <w:pPr>
        <w:jc w:val="both"/>
        <w:ind w:firstLine="647"/>
        <w:spacing w:after="0" w:line="292" w:lineRule="auto"/>
        <w:tabs>
          <w:tab w:leader="none" w:pos="92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Without limiting the remedies available to the Company, Executive acknowledges that a breach of any of the covenants contained in Sections 7(c)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7(c) and 9 of this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9" w:name="page170"/>
    <w:bookmarkEnd w:id="169"/>
    <w:p>
      <w:pPr>
        <w:ind w:firstLine="647"/>
        <w:spacing w:after="0" w:line="270" w:lineRule="auto"/>
        <w:tabs>
          <w:tab w:leader="none" w:pos="93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to the Parties shall be deemed to have been given if either personally delivered, or if sent for next- day delivery by nationally recognized overnight courier, and addressed as follows:</w:t>
      </w:r>
    </w:p>
    <w:p>
      <w:pPr>
        <w:spacing w:after="0" w:line="174" w:lineRule="exact"/>
        <w:rPr>
          <w:rFonts w:ascii="Arial" w:cs="Arial" w:eastAsia="Arial" w:hAnsi="Arial"/>
          <w:sz w:val="18"/>
          <w:szCs w:val="18"/>
          <w:color w:val="auto"/>
        </w:rPr>
      </w:pPr>
    </w:p>
    <w:p>
      <w:pPr>
        <w:ind w:left="1520" w:hanging="232"/>
        <w:spacing w:after="0"/>
        <w:tabs>
          <w:tab w:leader="none" w:pos="15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to Executive, to:</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2nd Floor, Building 18, Shanghai Pudong Software Park,</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498 Guoshoujin Road, Pudong, Shanghai 201203</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People’s Republic of China</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 If to the Company, to:</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2nd Floor, Building 18, Shanghai Pudong Software Park,</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498 Guoshoujin Road, Pudong, Shanghai 201203</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People’s Republic of China</w:t>
      </w:r>
    </w:p>
    <w:p>
      <w:pPr>
        <w:spacing w:after="0" w:line="207" w:lineRule="exact"/>
        <w:rPr>
          <w:sz w:val="20"/>
          <w:szCs w:val="20"/>
          <w:color w:val="auto"/>
        </w:rPr>
      </w:pPr>
    </w:p>
    <w:p>
      <w:pPr>
        <w:ind w:firstLine="647"/>
        <w:spacing w:after="0" w:line="270" w:lineRule="auto"/>
        <w:tabs>
          <w:tab w:leader="none" w:pos="90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void or unenforceable by a court of competent jurisdiction, all other provisions shall nonetheless remain in full force and effect.</w:t>
      </w:r>
    </w:p>
    <w:p>
      <w:pPr>
        <w:spacing w:after="0" w:line="174" w:lineRule="exact"/>
        <w:rPr>
          <w:rFonts w:ascii="Arial" w:cs="Arial" w:eastAsia="Arial" w:hAnsi="Arial"/>
          <w:sz w:val="18"/>
          <w:szCs w:val="18"/>
          <w:color w:val="auto"/>
        </w:rPr>
      </w:pPr>
    </w:p>
    <w:p>
      <w:pPr>
        <w:ind w:firstLine="647"/>
        <w:spacing w:after="0" w:line="270"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 applicable withholding requirements under any federal, state or local law.</w:t>
      </w:r>
    </w:p>
    <w:p>
      <w:pPr>
        <w:spacing w:after="0" w:line="174" w:lineRule="exact"/>
        <w:rPr>
          <w:rFonts w:ascii="Arial" w:cs="Arial" w:eastAsia="Arial" w:hAnsi="Arial"/>
          <w:sz w:val="18"/>
          <w:szCs w:val="18"/>
          <w:color w:val="auto"/>
        </w:rPr>
      </w:pPr>
    </w:p>
    <w:p>
      <w:pPr>
        <w:ind w:firstLine="647"/>
        <w:spacing w:after="0" w:line="270"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that Executive will be covered by any “directors and officers” insurance policies then in effect with respect to Executive’s acts as an officer.</w:t>
      </w:r>
    </w:p>
    <w:p>
      <w:pPr>
        <w:spacing w:after="0" w:line="174" w:lineRule="exact"/>
        <w:rPr>
          <w:rFonts w:ascii="Arial" w:cs="Arial" w:eastAsia="Arial" w:hAnsi="Arial"/>
          <w:sz w:val="18"/>
          <w:szCs w:val="18"/>
          <w:color w:val="auto"/>
        </w:rPr>
      </w:pPr>
    </w:p>
    <w:p>
      <w:pPr>
        <w:ind w:firstLine="647"/>
        <w:spacing w:after="0" w:line="270" w:lineRule="auto"/>
        <w:tabs>
          <w:tab w:leader="none" w:pos="90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Hong Kong, without regard to the conflict of laws provisions thereof.</w:t>
      </w:r>
    </w:p>
    <w:p>
      <w:pPr>
        <w:spacing w:after="0" w:line="174" w:lineRule="exact"/>
        <w:rPr>
          <w:rFonts w:ascii="Arial" w:cs="Arial" w:eastAsia="Arial" w:hAnsi="Arial"/>
          <w:sz w:val="18"/>
          <w:szCs w:val="18"/>
          <w:color w:val="auto"/>
        </w:rPr>
      </w:pPr>
    </w:p>
    <w:p>
      <w:pPr>
        <w:jc w:val="both"/>
        <w:ind w:firstLine="647"/>
        <w:spacing w:after="0" w:line="255" w:lineRule="auto"/>
        <w:tabs>
          <w:tab w:leader="none" w:pos="90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187" w:lineRule="exact"/>
        <w:rPr>
          <w:rFonts w:ascii="Arial" w:cs="Arial" w:eastAsia="Arial" w:hAnsi="Arial"/>
          <w:sz w:val="18"/>
          <w:szCs w:val="18"/>
          <w:color w:val="auto"/>
        </w:rPr>
      </w:pPr>
    </w:p>
    <w:p>
      <w:pPr>
        <w:jc w:val="both"/>
        <w:ind w:firstLine="647"/>
        <w:spacing w:after="0" w:line="296" w:lineRule="auto"/>
        <w:tabs>
          <w:tab w:leader="none" w:pos="907"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0" w:name="page171"/>
    <w:bookmarkEnd w:id="170"/>
    <w:p>
      <w:pPr>
        <w:jc w:val="both"/>
        <w:ind w:firstLine="647"/>
        <w:spacing w:after="0" w:line="255" w:lineRule="auto"/>
        <w:tabs>
          <w:tab w:leader="none" w:pos="9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1" w:name="page172"/>
    <w:bookmarkEnd w:id="171"/>
    <w:p>
      <w:pPr>
        <w:ind w:left="600"/>
        <w:spacing w:after="0"/>
        <w:rPr>
          <w:sz w:val="20"/>
          <w:szCs w:val="20"/>
          <w:color w:val="auto"/>
        </w:rPr>
      </w:pPr>
      <w:r>
        <w:rPr>
          <w:rFonts w:ascii="Arial" w:cs="Arial" w:eastAsia="Arial" w:hAnsi="Arial"/>
          <w:sz w:val="16"/>
          <w:szCs w:val="16"/>
          <w:color w:val="auto"/>
        </w:rPr>
        <w:t>IN WITNESS WHEREOF, the Parties have caused this Agreement to be duly executed and delivered on the date first written above.</w:t>
      </w:r>
    </w:p>
    <w:p>
      <w:pPr>
        <w:spacing w:after="0" w:line="24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CLPS INCORPORATION</w:t>
      </w:r>
    </w:p>
    <w:p>
      <w:pPr>
        <w:spacing w:after="0" w:line="220"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3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-130175</wp:posOffset>
            </wp:positionV>
            <wp:extent cx="249110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13"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Li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21590</wp:posOffset>
            </wp:positionV>
            <wp:extent cx="28549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2019</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713422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099"/>
          </w:cols>
          <w:pgMar w:left="360" w:top="899"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Party B (Lessee): ChinaLink Professional Services Co., Ltd.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20"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1-1 The house which is rented to Party B by Party A is located in Room 18201/18202/18203/18204/18205/18206/18207/18208, Building 18,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88" w:lineRule="exact"/>
        <w:rPr>
          <w:sz w:val="20"/>
          <w:szCs w:val="20"/>
          <w:color w:val="auto"/>
        </w:rPr>
      </w:pPr>
    </w:p>
    <w:p>
      <w:pPr>
        <w:jc w:val="both"/>
        <w:ind w:left="320" w:hanging="319"/>
        <w:spacing w:after="0" w:line="270" w:lineRule="auto"/>
        <w:rPr>
          <w:sz w:val="20"/>
          <w:szCs w:val="20"/>
          <w:color w:val="auto"/>
        </w:rPr>
      </w:pPr>
      <w:r>
        <w:rPr>
          <w:rFonts w:ascii="Arial" w:cs="Arial" w:eastAsia="Arial" w:hAnsi="Arial"/>
          <w:sz w:val="18"/>
          <w:szCs w:val="18"/>
          <w:color w:val="auto"/>
        </w:rPr>
        <w:t>1-2 Party A establishes a leasing relationship with Party B as the real estate owner of the House. Party A has told Party B and Party B has fully known that the House has been mortgaged before the contract is signed.</w:t>
      </w:r>
    </w:p>
    <w:p>
      <w:pPr>
        <w:spacing w:after="0" w:line="175" w:lineRule="exact"/>
        <w:rPr>
          <w:sz w:val="20"/>
          <w:szCs w:val="20"/>
          <w:color w:val="auto"/>
        </w:rPr>
      </w:pPr>
    </w:p>
    <w:p>
      <w:pPr>
        <w:jc w:val="both"/>
        <w:ind w:left="320" w:hanging="319"/>
        <w:spacing w:after="0" w:line="274" w:lineRule="auto"/>
        <w:rPr>
          <w:sz w:val="20"/>
          <w:szCs w:val="20"/>
          <w:color w:val="auto"/>
        </w:rPr>
      </w:pPr>
      <w:r>
        <w:rPr>
          <w:rFonts w:ascii="Arial" w:cs="Arial" w:eastAsia="Arial" w:hAnsi="Arial"/>
          <w:sz w:val="17"/>
          <w:szCs w:val="17"/>
          <w:color w:val="auto"/>
        </w:rPr>
        <w:t>1-3 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75" w:lineRule="exact"/>
        <w:rPr>
          <w:sz w:val="20"/>
          <w:szCs w:val="20"/>
          <w:color w:val="auto"/>
        </w:rPr>
      </w:pPr>
    </w:p>
    <w:p>
      <w:pPr>
        <w:jc w:val="both"/>
        <w:ind w:left="320" w:hanging="319"/>
        <w:spacing w:after="0" w:line="258" w:lineRule="auto"/>
        <w:rPr>
          <w:sz w:val="20"/>
          <w:szCs w:val="20"/>
          <w:color w:val="auto"/>
        </w:rPr>
      </w:pPr>
      <w:r>
        <w:rPr>
          <w:rFonts w:ascii="Arial" w:cs="Arial" w:eastAsia="Arial" w:hAnsi="Arial"/>
          <w:sz w:val="18"/>
          <w:szCs w:val="18"/>
          <w:color w:val="auto"/>
        </w:rPr>
        <w:t>1-4 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 Rental Purposes</w:t>
      </w:r>
    </w:p>
    <w:p>
      <w:pPr>
        <w:spacing w:after="0" w:line="220" w:lineRule="exact"/>
        <w:rPr>
          <w:sz w:val="20"/>
          <w:szCs w:val="20"/>
          <w:color w:val="auto"/>
        </w:rPr>
      </w:pPr>
    </w:p>
    <w:p>
      <w:pPr>
        <w:jc w:val="both"/>
        <w:ind w:left="320" w:hanging="319"/>
        <w:spacing w:after="0" w:line="270" w:lineRule="auto"/>
        <w:rPr>
          <w:sz w:val="20"/>
          <w:szCs w:val="20"/>
          <w:color w:val="auto"/>
        </w:rPr>
      </w:pPr>
      <w:r>
        <w:rPr>
          <w:rFonts w:ascii="Arial" w:cs="Arial" w:eastAsia="Arial" w:hAnsi="Arial"/>
          <w:sz w:val="18"/>
          <w:szCs w:val="18"/>
          <w:color w:val="auto"/>
        </w:rPr>
        <w:t>2-1 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75" w:lineRule="exact"/>
        <w:rPr>
          <w:sz w:val="20"/>
          <w:szCs w:val="20"/>
          <w:color w:val="auto"/>
        </w:rPr>
      </w:pPr>
    </w:p>
    <w:p>
      <w:pPr>
        <w:jc w:val="both"/>
        <w:ind w:left="320" w:hanging="319"/>
        <w:spacing w:after="0" w:line="270" w:lineRule="auto"/>
        <w:rPr>
          <w:sz w:val="20"/>
          <w:szCs w:val="20"/>
          <w:color w:val="auto"/>
        </w:rPr>
      </w:pPr>
      <w:r>
        <w:rPr>
          <w:rFonts w:ascii="Arial" w:cs="Arial" w:eastAsia="Arial" w:hAnsi="Arial"/>
          <w:sz w:val="18"/>
          <w:szCs w:val="18"/>
          <w:color w:val="auto"/>
        </w:rPr>
        <w:t>2-2 Party B promises that the above-mentioned purpose of the use will not be changed during the rental term unless such change gets Party A’s written consent and is approved by the relevant departments according to relative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 Renewal Term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3-1 The Contract is a renewal contract based on the original contract (No. ZL20170016) which was signed for renting the House.</w:t>
      </w:r>
    </w:p>
    <w:p>
      <w:pPr>
        <w:spacing w:after="0" w:line="220" w:lineRule="exact"/>
        <w:rPr>
          <w:sz w:val="20"/>
          <w:szCs w:val="20"/>
          <w:color w:val="auto"/>
        </w:rPr>
      </w:pPr>
    </w:p>
    <w:p>
      <w:pPr>
        <w:jc w:val="both"/>
        <w:ind w:left="320" w:hanging="319"/>
        <w:spacing w:after="0" w:line="189" w:lineRule="auto"/>
        <w:rPr>
          <w:sz w:val="20"/>
          <w:szCs w:val="20"/>
          <w:color w:val="auto"/>
        </w:rPr>
      </w:pPr>
      <w:r>
        <w:rPr>
          <w:rFonts w:ascii="Arial" w:cs="Arial" w:eastAsia="Arial" w:hAnsi="Arial"/>
          <w:sz w:val="35"/>
          <w:szCs w:val="35"/>
          <w:color w:val="auto"/>
          <w:vertAlign w:val="superscript"/>
        </w:rPr>
        <w:t>3-2</w:t>
      </w:r>
      <w:r>
        <w:rPr>
          <w:rFonts w:ascii="Arial" w:cs="Arial" w:eastAsia="Arial" w:hAnsi="Arial"/>
          <w:sz w:val="18"/>
          <w:szCs w:val="18"/>
          <w:color w:val="auto"/>
        </w:rPr>
        <w:t xml:space="preserve"> The renewal term is from July 1</w:t>
      </w:r>
      <w:r>
        <w:rPr>
          <w:rFonts w:ascii="Arial" w:cs="Arial" w:eastAsia="Arial" w:hAnsi="Arial"/>
          <w:sz w:val="29"/>
          <w:szCs w:val="29"/>
          <w:color w:val="auto"/>
          <w:vertAlign w:val="superscript"/>
        </w:rPr>
        <w:t>st</w:t>
      </w:r>
      <w:r>
        <w:rPr>
          <w:rFonts w:ascii="Arial" w:cs="Arial" w:eastAsia="Arial" w:hAnsi="Arial"/>
          <w:sz w:val="18"/>
          <w:szCs w:val="18"/>
          <w:color w:val="auto"/>
        </w:rPr>
        <w:t>, 2019 (hereinafter referred to as “lease date”) to June 30</w:t>
      </w:r>
      <w:r>
        <w:rPr>
          <w:rFonts w:ascii="Arial" w:cs="Arial" w:eastAsia="Arial" w:hAnsi="Arial"/>
          <w:sz w:val="29"/>
          <w:szCs w:val="29"/>
          <w:color w:val="auto"/>
          <w:vertAlign w:val="superscript"/>
        </w:rPr>
        <w:t>th</w:t>
      </w:r>
      <w:r>
        <w:rPr>
          <w:rFonts w:ascii="Arial" w:cs="Arial" w:eastAsia="Arial" w:hAnsi="Arial"/>
          <w:sz w:val="18"/>
          <w:szCs w:val="18"/>
          <w:color w:val="auto"/>
        </w:rPr>
        <w:t>, 2021 (hereinafter referred to as “terminal date”). The rent will be counted from July 1st, 2019 (hereinafter referred to as “rent date”) to terminal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4-1 Both Parties agree that the unit rental price is counted according to the daily construction area per square meter.</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July 1st, 2019 to June 30</w:t>
      </w:r>
      <w:r>
        <w:rPr>
          <w:rFonts w:ascii="Arial" w:cs="Arial" w:eastAsia="Arial" w:hAnsi="Arial"/>
          <w:sz w:val="29"/>
          <w:szCs w:val="29"/>
          <w:color w:val="auto"/>
          <w:vertAlign w:val="superscript"/>
        </w:rPr>
        <w:t>th</w:t>
      </w:r>
      <w:r>
        <w:rPr>
          <w:rFonts w:ascii="Arial" w:cs="Arial" w:eastAsia="Arial" w:hAnsi="Arial"/>
          <w:sz w:val="18"/>
          <w:szCs w:val="18"/>
          <w:color w:val="auto"/>
        </w:rPr>
        <w:t>, 2020, the unit rental price is RMB 3.71 yuan (US$0.51).</w:t>
      </w:r>
    </w:p>
    <w:p>
      <w:pPr>
        <w:ind w:left="320"/>
        <w:spacing w:after="0"/>
        <w:rPr>
          <w:sz w:val="20"/>
          <w:szCs w:val="20"/>
          <w:color w:val="auto"/>
        </w:rPr>
      </w:pPr>
      <w:r>
        <w:rPr>
          <w:rFonts w:ascii="Arial" w:cs="Arial" w:eastAsia="Arial" w:hAnsi="Arial"/>
          <w:sz w:val="18"/>
          <w:szCs w:val="18"/>
          <w:color w:val="auto"/>
        </w:rPr>
        <w:t>From July 1st, 2020 to June 30</w:t>
      </w:r>
      <w:r>
        <w:rPr>
          <w:rFonts w:ascii="Arial" w:cs="Arial" w:eastAsia="Arial" w:hAnsi="Arial"/>
          <w:sz w:val="29"/>
          <w:szCs w:val="29"/>
          <w:color w:val="auto"/>
          <w:vertAlign w:val="superscript"/>
        </w:rPr>
        <w:t>th</w:t>
      </w:r>
      <w:r>
        <w:rPr>
          <w:rFonts w:ascii="Arial" w:cs="Arial" w:eastAsia="Arial" w:hAnsi="Arial"/>
          <w:sz w:val="18"/>
          <w:szCs w:val="18"/>
          <w:color w:val="auto"/>
        </w:rPr>
        <w:t>, 2021, the unit rental price is RMB 3.86 yuan (US$0.53).</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above unit rental prices are tax-inclusive prices)</w:t>
      </w:r>
    </w:p>
    <w:p>
      <w:pPr>
        <w:spacing w:after="0" w:line="220" w:lineRule="exact"/>
        <w:rPr>
          <w:sz w:val="20"/>
          <w:szCs w:val="20"/>
          <w:color w:val="auto"/>
        </w:rPr>
      </w:pPr>
    </w:p>
    <w:p>
      <w:pPr>
        <w:jc w:val="both"/>
        <w:ind w:left="320" w:hanging="319"/>
        <w:spacing w:after="0" w:line="219" w:lineRule="exact"/>
        <w:rPr>
          <w:sz w:val="20"/>
          <w:szCs w:val="20"/>
          <w:color w:val="auto"/>
        </w:rPr>
      </w:pPr>
      <w:r>
        <w:rPr>
          <w:rFonts w:ascii="Arial" w:cs="Arial" w:eastAsia="Arial" w:hAnsi="Arial"/>
          <w:sz w:val="16"/>
          <w:szCs w:val="16"/>
          <w:color w:val="auto"/>
        </w:rPr>
        <w:t xml:space="preserve">4-2 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Arial" w:cs="Arial" w:eastAsia="Arial" w:hAnsi="Arial"/>
          <w:sz w:val="16"/>
          <w:szCs w:val="16"/>
          <w:color w:val="auto"/>
        </w:rPr>
        <w:t xml:space="preserve"> unit rental price </w:t>
      </w:r>
      <w:r>
        <w:rPr>
          <w:rFonts w:ascii="MS PGothic" w:cs="MS PGothic" w:eastAsia="MS PGothic" w:hAnsi="MS PGothic"/>
          <w:sz w:val="16"/>
          <w:szCs w:val="16"/>
          <w:color w:val="auto"/>
        </w:rPr>
        <w:t>╳</w:t>
      </w:r>
      <w:r>
        <w:rPr>
          <w:rFonts w:ascii="Arial" w:cs="Arial" w:eastAsia="Arial" w:hAnsi="Arial"/>
          <w:sz w:val="16"/>
          <w:szCs w:val="16"/>
          <w:color w:val="auto"/>
        </w:rPr>
        <w:t xml:space="preserve"> the calendar days of the month. The monthly rental amount is rounded to one decimal place).</w:t>
      </w:r>
    </w:p>
    <w:p>
      <w:pPr>
        <w:spacing w:after="0" w:line="1" w:lineRule="exact"/>
        <w:rPr>
          <w:sz w:val="20"/>
          <w:szCs w:val="20"/>
          <w:color w:val="auto"/>
        </w:rPr>
      </w:pPr>
    </w:p>
    <w:p>
      <w:pPr>
        <w:jc w:val="both"/>
        <w:ind w:left="320"/>
        <w:spacing w:after="0" w:line="230" w:lineRule="auto"/>
        <w:rPr>
          <w:sz w:val="20"/>
          <w:szCs w:val="20"/>
          <w:color w:val="auto"/>
        </w:rPr>
      </w:pPr>
      <w:r>
        <w:rPr>
          <w:rFonts w:ascii="Arial" w:cs="Arial" w:eastAsia="Arial" w:hAnsi="Arial"/>
          <w:sz w:val="16"/>
          <w:szCs w:val="16"/>
          <w:color w:val="auto"/>
        </w:rPr>
        <w:t>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w:t>
      </w:r>
    </w:p>
    <w:p>
      <w:pPr>
        <w:spacing w:after="0" w:line="1" w:lineRule="exact"/>
        <w:rPr>
          <w:sz w:val="20"/>
          <w:szCs w:val="20"/>
          <w:color w:val="auto"/>
        </w:rPr>
      </w:pPr>
    </w:p>
    <w:p>
      <w:pPr>
        <w:jc w:val="both"/>
        <w:ind w:left="320"/>
        <w:spacing w:after="0" w:line="218" w:lineRule="auto"/>
        <w:rPr>
          <w:sz w:val="20"/>
          <w:szCs w:val="20"/>
          <w:color w:val="auto"/>
        </w:rPr>
      </w:pPr>
      <w:r>
        <w:rPr>
          <w:rFonts w:ascii="Arial" w:cs="Arial" w:eastAsia="Arial" w:hAnsi="Arial"/>
          <w:sz w:val="18"/>
          <w:szCs w:val="18"/>
          <w:color w:val="auto"/>
        </w:rPr>
        <w:t>should be paid before the terminal date. If the days of the last month are not less than 10, the last month’s rent should be paid before the10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425450</wp:posOffset>
            </wp:positionV>
            <wp:extent cx="713422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left="320" w:hanging="319"/>
        <w:spacing w:after="0" w:line="255" w:lineRule="auto"/>
        <w:rPr>
          <w:sz w:val="20"/>
          <w:szCs w:val="20"/>
          <w:color w:val="auto"/>
        </w:rPr>
      </w:pPr>
      <w:r>
        <w:rPr>
          <w:rFonts w:ascii="Arial" w:cs="Arial" w:eastAsia="Arial" w:hAnsi="Arial"/>
          <w:sz w:val="18"/>
          <w:szCs w:val="18"/>
          <w:color w:val="auto"/>
        </w:rPr>
        <w:t>4-3 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4-4 Party B pays the rent to Party A’s following account by check or transfer: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[_]</w:t>
      </w:r>
    </w:p>
    <w:p>
      <w:pPr>
        <w:spacing w:after="0" w:line="224" w:lineRule="exact"/>
        <w:rPr>
          <w:sz w:val="20"/>
          <w:szCs w:val="20"/>
          <w:color w:val="auto"/>
        </w:rPr>
      </w:pPr>
    </w:p>
    <w:p>
      <w:pPr>
        <w:jc w:val="both"/>
        <w:ind w:left="320" w:hanging="319"/>
        <w:spacing w:after="0" w:line="258" w:lineRule="auto"/>
        <w:rPr>
          <w:sz w:val="20"/>
          <w:szCs w:val="20"/>
          <w:color w:val="auto"/>
        </w:rPr>
      </w:pPr>
      <w:r>
        <w:rPr>
          <w:rFonts w:ascii="Arial" w:cs="Arial" w:eastAsia="Arial" w:hAnsi="Arial"/>
          <w:sz w:val="18"/>
          <w:szCs w:val="18"/>
          <w:color w:val="auto"/>
        </w:rPr>
        <w:t>4-5 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4-6 Party A may entrust a property management company to assist in collecting the rent.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20" w:lineRule="exact"/>
        <w:rPr>
          <w:sz w:val="20"/>
          <w:szCs w:val="20"/>
          <w:color w:val="auto"/>
        </w:rPr>
      </w:pPr>
    </w:p>
    <w:p>
      <w:pPr>
        <w:jc w:val="both"/>
        <w:ind w:left="320" w:hanging="319"/>
        <w:spacing w:after="0" w:line="287" w:lineRule="auto"/>
        <w:rPr>
          <w:sz w:val="20"/>
          <w:szCs w:val="20"/>
          <w:color w:val="auto"/>
        </w:rPr>
      </w:pPr>
      <w:r>
        <w:rPr>
          <w:rFonts w:ascii="Arial" w:cs="Arial" w:eastAsia="Arial" w:hAnsi="Arial"/>
          <w:sz w:val="16"/>
          <w:szCs w:val="16"/>
          <w:color w:val="auto"/>
        </w:rPr>
        <w:t>5-1 Both Parties agree that Party B shall pay rental deposit to Party A within 5 working days after signing the Contract. The amount of the deposit is equivalent to the rent for the three months (90 days) of the highest unit price within the lease term, which is RMB437,703 (US$59,714) yuan. Party B has paid RMB 404,819.00 (US$55,198) yuan for rental deposit under the original contract, and it will be automatically converted to the deposit under the Contract after the Contract becomes effective. The margin of the deposit is RMB 32,884.00 (US$4,516) yuan,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4" w:name="page175"/>
    <w:bookmarkEnd w:id="174"/>
    <w:p>
      <w:pPr>
        <w:jc w:val="both"/>
        <w:ind w:left="320"/>
        <w:spacing w:after="0" w:line="253" w:lineRule="auto"/>
        <w:rPr>
          <w:sz w:val="20"/>
          <w:szCs w:val="20"/>
          <w:color w:val="auto"/>
        </w:rPr>
      </w:pPr>
      <w:r>
        <w:rPr>
          <w:rFonts w:ascii="Arial" w:cs="Arial" w:eastAsia="Arial" w:hAnsi="Arial"/>
          <w:sz w:val="18"/>
          <w:szCs w:val="18"/>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90" w:lineRule="exact"/>
        <w:rPr>
          <w:sz w:val="20"/>
          <w:szCs w:val="20"/>
          <w:color w:val="auto"/>
        </w:rPr>
      </w:pPr>
    </w:p>
    <w:p>
      <w:pPr>
        <w:jc w:val="both"/>
        <w:ind w:left="320"/>
        <w:spacing w:after="0" w:line="292" w:lineRule="auto"/>
        <w:rPr>
          <w:sz w:val="20"/>
          <w:szCs w:val="20"/>
          <w:color w:val="auto"/>
        </w:rPr>
      </w:pPr>
      <w:r>
        <w:rPr>
          <w:rFonts w:ascii="Arial" w:cs="Arial" w:eastAsia="Arial" w:hAnsi="Arial"/>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62"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5-2 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8" w:lineRule="exact"/>
        <w:rPr>
          <w:sz w:val="20"/>
          <w:szCs w:val="20"/>
          <w:color w:val="auto"/>
        </w:rPr>
      </w:pPr>
    </w:p>
    <w:p>
      <w:pPr>
        <w:jc w:val="both"/>
        <w:ind w:left="320" w:hanging="319"/>
        <w:spacing w:after="0" w:line="252" w:lineRule="auto"/>
        <w:rPr>
          <w:sz w:val="20"/>
          <w:szCs w:val="20"/>
          <w:color w:val="auto"/>
        </w:rPr>
      </w:pPr>
      <w:r>
        <w:rPr>
          <w:rFonts w:ascii="Arial" w:cs="Arial" w:eastAsia="Arial" w:hAnsi="Arial"/>
          <w:sz w:val="18"/>
          <w:szCs w:val="18"/>
          <w:color w:val="auto"/>
        </w:rPr>
        <w:t>5-3 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20" w:lineRule="exact"/>
        <w:rPr>
          <w:sz w:val="20"/>
          <w:szCs w:val="20"/>
          <w:color w:val="auto"/>
        </w:rPr>
      </w:pPr>
    </w:p>
    <w:p>
      <w:pPr>
        <w:jc w:val="both"/>
        <w:ind w:left="320" w:hanging="319"/>
        <w:spacing w:after="0" w:line="252" w:lineRule="auto"/>
        <w:rPr>
          <w:sz w:val="20"/>
          <w:szCs w:val="20"/>
          <w:color w:val="auto"/>
        </w:rPr>
      </w:pPr>
      <w:r>
        <w:rPr>
          <w:rFonts w:ascii="Arial" w:cs="Arial" w:eastAsia="Arial" w:hAnsi="Arial"/>
          <w:sz w:val="18"/>
          <w:szCs w:val="18"/>
          <w:color w:val="auto"/>
        </w:rPr>
        <w:t>6-1 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90" w:lineRule="exact"/>
        <w:rPr>
          <w:sz w:val="20"/>
          <w:szCs w:val="20"/>
          <w:color w:val="auto"/>
        </w:rPr>
      </w:pPr>
    </w:p>
    <w:p>
      <w:pPr>
        <w:jc w:val="both"/>
        <w:ind w:left="320" w:hanging="319"/>
        <w:spacing w:after="0" w:line="292" w:lineRule="auto"/>
        <w:rPr>
          <w:sz w:val="20"/>
          <w:szCs w:val="20"/>
          <w:color w:val="auto"/>
        </w:rPr>
      </w:pPr>
      <w:r>
        <w:rPr>
          <w:rFonts w:ascii="Arial" w:cs="Arial" w:eastAsia="Arial" w:hAnsi="Arial"/>
          <w:sz w:val="16"/>
          <w:szCs w:val="16"/>
          <w:color w:val="auto"/>
        </w:rPr>
        <w:t>6-2 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62" w:lineRule="exact"/>
        <w:rPr>
          <w:sz w:val="20"/>
          <w:szCs w:val="20"/>
          <w:color w:val="auto"/>
        </w:rPr>
      </w:pPr>
    </w:p>
    <w:p>
      <w:pPr>
        <w:jc w:val="both"/>
        <w:ind w:left="320" w:hanging="319"/>
        <w:spacing w:after="0" w:line="296" w:lineRule="auto"/>
        <w:rPr>
          <w:sz w:val="20"/>
          <w:szCs w:val="20"/>
          <w:color w:val="auto"/>
        </w:rPr>
      </w:pPr>
      <w:r>
        <w:rPr>
          <w:rFonts w:ascii="Arial" w:cs="Arial" w:eastAsia="Arial" w:hAnsi="Arial"/>
          <w:sz w:val="16"/>
          <w:szCs w:val="16"/>
          <w:color w:val="auto"/>
        </w:rPr>
        <w:t>6-3 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60" w:lineRule="exact"/>
        <w:rPr>
          <w:sz w:val="20"/>
          <w:szCs w:val="20"/>
          <w:color w:val="auto"/>
        </w:rPr>
      </w:pPr>
    </w:p>
    <w:p>
      <w:pPr>
        <w:jc w:val="both"/>
        <w:ind w:left="320" w:hanging="319"/>
        <w:spacing w:after="0" w:line="300" w:lineRule="auto"/>
        <w:rPr>
          <w:sz w:val="20"/>
          <w:szCs w:val="20"/>
          <w:color w:val="auto"/>
        </w:rPr>
      </w:pPr>
      <w:r>
        <w:rPr>
          <w:rFonts w:ascii="Arial" w:cs="Arial" w:eastAsia="Arial" w:hAnsi="Arial"/>
          <w:sz w:val="17"/>
          <w:szCs w:val="17"/>
          <w:color w:val="auto"/>
        </w:rPr>
        <w:t>6-4 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6" w:name="page177"/>
    <w:bookmarkEnd w:id="176"/>
    <w:p>
      <w:pPr>
        <w:jc w:val="both"/>
        <w:ind w:left="320" w:hanging="319"/>
        <w:spacing w:after="0" w:line="270" w:lineRule="auto"/>
        <w:rPr>
          <w:sz w:val="20"/>
          <w:szCs w:val="20"/>
          <w:color w:val="auto"/>
        </w:rPr>
      </w:pPr>
      <w:r>
        <w:rPr>
          <w:rFonts w:ascii="Arial" w:cs="Arial" w:eastAsia="Arial" w:hAnsi="Arial"/>
          <w:sz w:val="18"/>
          <w:szCs w:val="18"/>
          <w:color w:val="auto"/>
        </w:rPr>
        <w:t>6-5 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20" w:lineRule="exact"/>
        <w:rPr>
          <w:sz w:val="20"/>
          <w:szCs w:val="20"/>
          <w:color w:val="auto"/>
        </w:rPr>
      </w:pPr>
    </w:p>
    <w:p>
      <w:pPr>
        <w:jc w:val="both"/>
        <w:ind w:left="320" w:hanging="319"/>
        <w:spacing w:after="0" w:line="292" w:lineRule="auto"/>
        <w:rPr>
          <w:sz w:val="20"/>
          <w:szCs w:val="20"/>
          <w:color w:val="auto"/>
        </w:rPr>
      </w:pPr>
      <w:r>
        <w:rPr>
          <w:rFonts w:ascii="Arial" w:cs="Arial" w:eastAsia="Arial" w:hAnsi="Arial"/>
          <w:sz w:val="16"/>
          <w:szCs w:val="16"/>
          <w:color w:val="auto"/>
        </w:rPr>
        <w:t>7-1 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62" w:lineRule="exact"/>
        <w:rPr>
          <w:sz w:val="20"/>
          <w:szCs w:val="20"/>
          <w:color w:val="auto"/>
        </w:rPr>
      </w:pPr>
    </w:p>
    <w:p>
      <w:pPr>
        <w:jc w:val="both"/>
        <w:ind w:left="320" w:hanging="319"/>
        <w:spacing w:after="0" w:line="253" w:lineRule="auto"/>
        <w:rPr>
          <w:sz w:val="20"/>
          <w:szCs w:val="20"/>
          <w:color w:val="auto"/>
        </w:rPr>
      </w:pPr>
      <w:r>
        <w:rPr>
          <w:rFonts w:ascii="Arial" w:cs="Arial" w:eastAsia="Arial" w:hAnsi="Arial"/>
          <w:sz w:val="18"/>
          <w:szCs w:val="18"/>
          <w:color w:val="auto"/>
        </w:rPr>
        <w:t>7-2 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90" w:lineRule="exact"/>
        <w:rPr>
          <w:sz w:val="20"/>
          <w:szCs w:val="20"/>
          <w:color w:val="auto"/>
        </w:rPr>
      </w:pPr>
    </w:p>
    <w:p>
      <w:pPr>
        <w:jc w:val="both"/>
        <w:ind w:left="320" w:hanging="319"/>
        <w:spacing w:after="0" w:line="253" w:lineRule="auto"/>
        <w:rPr>
          <w:sz w:val="20"/>
          <w:szCs w:val="20"/>
          <w:color w:val="auto"/>
        </w:rPr>
      </w:pPr>
      <w:r>
        <w:rPr>
          <w:rFonts w:ascii="Arial" w:cs="Arial" w:eastAsia="Arial" w:hAnsi="Arial"/>
          <w:sz w:val="18"/>
          <w:szCs w:val="18"/>
          <w:color w:val="auto"/>
        </w:rPr>
        <w:t>7-3 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7" w:name="page178"/>
    <w:bookmarkEnd w:id="177"/>
    <w:p>
      <w:pPr>
        <w:jc w:val="both"/>
        <w:ind w:left="320" w:hanging="319"/>
        <w:spacing w:after="0" w:line="306" w:lineRule="auto"/>
        <w:rPr>
          <w:sz w:val="20"/>
          <w:szCs w:val="20"/>
          <w:color w:val="auto"/>
        </w:rPr>
      </w:pPr>
      <w:r>
        <w:rPr>
          <w:rFonts w:ascii="Arial" w:cs="Arial" w:eastAsia="Arial" w:hAnsi="Arial"/>
          <w:sz w:val="16"/>
          <w:szCs w:val="16"/>
          <w:color w:val="auto"/>
        </w:rPr>
        <w:t>7-4 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50" w:lineRule="exact"/>
        <w:rPr>
          <w:sz w:val="20"/>
          <w:szCs w:val="20"/>
          <w:color w:val="auto"/>
        </w:rPr>
      </w:pPr>
    </w:p>
    <w:p>
      <w:pPr>
        <w:jc w:val="both"/>
        <w:ind w:left="320" w:hanging="319"/>
        <w:spacing w:after="0" w:line="253" w:lineRule="auto"/>
        <w:rPr>
          <w:sz w:val="20"/>
          <w:szCs w:val="20"/>
          <w:color w:val="auto"/>
        </w:rPr>
      </w:pPr>
      <w:r>
        <w:rPr>
          <w:rFonts w:ascii="Arial" w:cs="Arial" w:eastAsia="Arial" w:hAnsi="Arial"/>
          <w:sz w:val="18"/>
          <w:szCs w:val="18"/>
          <w:color w:val="auto"/>
        </w:rPr>
        <w:t>7-5 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20" w:lineRule="exact"/>
        <w:rPr>
          <w:sz w:val="20"/>
          <w:szCs w:val="20"/>
          <w:color w:val="auto"/>
        </w:rPr>
      </w:pPr>
    </w:p>
    <w:p>
      <w:pPr>
        <w:jc w:val="both"/>
        <w:ind w:left="320" w:hanging="319"/>
        <w:spacing w:after="0" w:line="296" w:lineRule="auto"/>
        <w:rPr>
          <w:sz w:val="20"/>
          <w:szCs w:val="20"/>
          <w:color w:val="auto"/>
        </w:rPr>
      </w:pPr>
      <w:r>
        <w:rPr>
          <w:rFonts w:ascii="Arial" w:cs="Arial" w:eastAsia="Arial" w:hAnsi="Arial"/>
          <w:sz w:val="16"/>
          <w:szCs w:val="16"/>
          <w:color w:val="auto"/>
        </w:rPr>
        <w:t>8-1 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60" w:lineRule="exact"/>
        <w:rPr>
          <w:sz w:val="20"/>
          <w:szCs w:val="20"/>
          <w:color w:val="auto"/>
        </w:rPr>
      </w:pPr>
    </w:p>
    <w:p>
      <w:pPr>
        <w:jc w:val="both"/>
        <w:ind w:left="320" w:hanging="319"/>
        <w:spacing w:after="0" w:line="281" w:lineRule="auto"/>
        <w:rPr>
          <w:sz w:val="20"/>
          <w:szCs w:val="20"/>
          <w:color w:val="auto"/>
        </w:rPr>
      </w:pPr>
      <w:r>
        <w:rPr>
          <w:rFonts w:ascii="Arial" w:cs="Arial" w:eastAsia="Arial" w:hAnsi="Arial"/>
          <w:sz w:val="17"/>
          <w:szCs w:val="17"/>
          <w:color w:val="auto"/>
        </w:rPr>
        <w:t>8-2 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9. Sublet, Mix, Transfer and Exchange</w:t>
      </w:r>
    </w:p>
    <w:p>
      <w:pPr>
        <w:spacing w:after="0" w:line="220" w:lineRule="exact"/>
        <w:rPr>
          <w:sz w:val="20"/>
          <w:szCs w:val="20"/>
          <w:color w:val="auto"/>
        </w:rPr>
      </w:pPr>
    </w:p>
    <w:p>
      <w:pPr>
        <w:jc w:val="both"/>
        <w:ind w:left="320" w:hanging="319"/>
        <w:spacing w:after="0" w:line="258" w:lineRule="auto"/>
        <w:rPr>
          <w:sz w:val="20"/>
          <w:szCs w:val="20"/>
          <w:color w:val="auto"/>
        </w:rPr>
      </w:pPr>
      <w:r>
        <w:rPr>
          <w:rFonts w:ascii="Arial" w:cs="Arial" w:eastAsia="Arial" w:hAnsi="Arial"/>
          <w:sz w:val="18"/>
          <w:szCs w:val="18"/>
          <w:color w:val="auto"/>
        </w:rPr>
        <w:t>9-1 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86" w:lineRule="exact"/>
        <w:rPr>
          <w:sz w:val="20"/>
          <w:szCs w:val="20"/>
          <w:color w:val="auto"/>
        </w:rPr>
      </w:pPr>
    </w:p>
    <w:p>
      <w:pPr>
        <w:jc w:val="both"/>
        <w:ind w:left="320" w:hanging="319"/>
        <w:spacing w:after="0" w:line="281" w:lineRule="auto"/>
        <w:rPr>
          <w:sz w:val="20"/>
          <w:szCs w:val="20"/>
          <w:color w:val="auto"/>
        </w:rPr>
      </w:pPr>
      <w:r>
        <w:rPr>
          <w:rFonts w:ascii="Arial" w:cs="Arial" w:eastAsia="Arial" w:hAnsi="Arial"/>
          <w:sz w:val="17"/>
          <w:szCs w:val="17"/>
          <w:color w:val="auto"/>
        </w:rPr>
        <w:t>9-2 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10. Priority Renewal Rights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10- If the lease of the Contract expires and Party B needs to continue leasing the House, Party B shall submit a written request for renewal to Party A at least</w:t>
      </w:r>
    </w:p>
    <w:p>
      <w:pPr>
        <w:spacing w:after="0" w:line="42" w:lineRule="exact"/>
        <w:rPr>
          <w:sz w:val="20"/>
          <w:szCs w:val="20"/>
          <w:color w:val="auto"/>
        </w:rPr>
      </w:pPr>
    </w:p>
    <w:p>
      <w:pPr>
        <w:jc w:val="both"/>
        <w:ind w:left="320" w:hanging="313"/>
        <w:spacing w:after="0" w:line="250" w:lineRule="auto"/>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10- After Party A agrees with Party B’s renewal and renewal conditions, both parties shall conclude a rental contract for the renewal of the House 3 months</w:t>
      </w:r>
    </w:p>
    <w:p>
      <w:pPr>
        <w:spacing w:after="0" w:line="42" w:lineRule="exact"/>
        <w:rPr>
          <w:sz w:val="20"/>
          <w:szCs w:val="20"/>
          <w:color w:val="auto"/>
        </w:rPr>
      </w:pPr>
    </w:p>
    <w:p>
      <w:pPr>
        <w:ind w:left="320" w:hanging="313"/>
        <w:spacing w:after="0" w:line="255" w:lineRule="auto"/>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before the expiry date of the Contract. If Party B fails to sign the renewal contract with Party A overdue, it shall be deemed that Party B renounces the priority of renewal. The renewal rent is determined according to the renewal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11-1Party B shall return the House to Party A no later than the expiry date of the lease or the date on which the Contract is terminated prematurely.</w:t>
      </w:r>
    </w:p>
    <w:p>
      <w:pPr>
        <w:spacing w:after="0" w:line="231"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11-2Before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9" w:name="page180"/>
    <w:bookmarkEnd w:id="179"/>
    <w:p>
      <w:pPr>
        <w:jc w:val="both"/>
        <w:ind w:left="320" w:hanging="319"/>
        <w:spacing w:after="0" w:line="252" w:lineRule="auto"/>
        <w:rPr>
          <w:sz w:val="20"/>
          <w:szCs w:val="20"/>
          <w:color w:val="auto"/>
        </w:rPr>
      </w:pPr>
      <w:r>
        <w:rPr>
          <w:rFonts w:ascii="Arial" w:cs="Arial" w:eastAsia="Arial" w:hAnsi="Arial"/>
          <w:sz w:val="18"/>
          <w:szCs w:val="18"/>
          <w:color w:val="auto"/>
        </w:rPr>
        <w:t>11-3Party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90" w:lineRule="exact"/>
        <w:rPr>
          <w:sz w:val="20"/>
          <w:szCs w:val="20"/>
          <w:color w:val="auto"/>
        </w:rPr>
      </w:pPr>
    </w:p>
    <w:p>
      <w:pPr>
        <w:jc w:val="both"/>
        <w:ind w:left="320" w:hanging="319"/>
        <w:spacing w:after="0" w:line="267" w:lineRule="auto"/>
        <w:rPr>
          <w:sz w:val="20"/>
          <w:szCs w:val="20"/>
          <w:color w:val="auto"/>
        </w:rPr>
      </w:pPr>
      <w:r>
        <w:rPr>
          <w:rFonts w:ascii="Arial" w:cs="Arial" w:eastAsia="Arial" w:hAnsi="Arial"/>
          <w:sz w:val="17"/>
          <w:szCs w:val="17"/>
          <w:color w:val="auto"/>
        </w:rPr>
        <w:t>11-4If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12- During the rental term, when Party B occupies the House and its ancillary facilities, public facilities, if Party B causes any loss of property, damage and</w:t>
      </w:r>
    </w:p>
    <w:p>
      <w:pPr>
        <w:spacing w:after="0" w:line="42" w:lineRule="exact"/>
        <w:rPr>
          <w:sz w:val="20"/>
          <w:szCs w:val="20"/>
          <w:color w:val="auto"/>
        </w:rPr>
      </w:pPr>
    </w:p>
    <w:p>
      <w:pPr>
        <w:ind w:left="320" w:hanging="313"/>
        <w:spacing w:after="0" w:line="255" w:lineRule="auto"/>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personal injury caused by any of the following circumstances, Party B hereby agree, not because of Party A’s intention or gross negligence, Party A does not bear any responsibility:</w:t>
      </w:r>
    </w:p>
    <w:p>
      <w:pPr>
        <w:spacing w:after="0" w:line="187" w:lineRule="exact"/>
        <w:rPr>
          <w:rFonts w:ascii="Arial" w:cs="Arial" w:eastAsia="Arial" w:hAnsi="Arial"/>
          <w:sz w:val="18"/>
          <w:szCs w:val="18"/>
          <w:color w:val="auto"/>
        </w:rPr>
      </w:pPr>
    </w:p>
    <w:p>
      <w:pPr>
        <w:ind w:left="640" w:hanging="313"/>
        <w:spacing w:after="0"/>
        <w:tabs>
          <w:tab w:leader="none" w:pos="6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loss or damage due to expropriation, acquisition, confiscation, nationalization or any force majeure caused by state or government agencies;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0" w:name="page181"/>
    <w:bookmarkEnd w:id="180"/>
    <w:p>
      <w:pPr>
        <w:ind w:left="640" w:hanging="313"/>
        <w:spacing w:after="0"/>
        <w:tabs>
          <w:tab w:leader="none" w:pos="6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19" w:lineRule="exact"/>
        <w:rPr>
          <w:rFonts w:ascii="Arial" w:cs="Arial" w:eastAsia="Arial" w:hAnsi="Arial"/>
          <w:sz w:val="18"/>
          <w:szCs w:val="18"/>
          <w:color w:val="auto"/>
        </w:rPr>
      </w:pPr>
    </w:p>
    <w:p>
      <w:pPr>
        <w:ind w:left="640" w:hanging="313"/>
        <w:spacing w:after="0" w:line="333" w:lineRule="auto"/>
        <w:tabs>
          <w:tab w:leader="none" w:pos="6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29" w:lineRule="exact"/>
        <w:rPr>
          <w:rFonts w:ascii="Arial" w:cs="Arial" w:eastAsia="Arial" w:hAnsi="Arial"/>
          <w:sz w:val="16"/>
          <w:szCs w:val="16"/>
          <w:color w:val="auto"/>
        </w:rPr>
      </w:pPr>
    </w:p>
    <w:p>
      <w:pPr>
        <w:ind w:left="640" w:hanging="313"/>
        <w:spacing w:after="0"/>
        <w:tabs>
          <w:tab w:leader="none" w:pos="6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74" w:lineRule="exact"/>
        <w:rPr>
          <w:rFonts w:ascii="Arial" w:cs="Arial" w:eastAsia="Arial" w:hAnsi="Arial"/>
          <w:sz w:val="18"/>
          <w:szCs w:val="18"/>
          <w:color w:val="auto"/>
        </w:rPr>
      </w:pPr>
    </w:p>
    <w:p>
      <w:pPr>
        <w:ind w:left="280" w:hanging="273"/>
        <w:spacing w:after="0"/>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13- Party A’s default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7" w:lineRule="exact"/>
        <w:rPr>
          <w:sz w:val="20"/>
          <w:szCs w:val="20"/>
          <w:color w:val="auto"/>
        </w:rPr>
      </w:pPr>
    </w:p>
    <w:p>
      <w:pPr>
        <w:ind w:left="640" w:hanging="313"/>
        <w:spacing w:after="0" w:line="270" w:lineRule="auto"/>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74"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86" w:lineRule="exact"/>
        <w:rPr>
          <w:rFonts w:ascii="Arial" w:cs="Arial" w:eastAsia="Arial" w:hAnsi="Arial"/>
          <w:sz w:val="18"/>
          <w:szCs w:val="18"/>
          <w:color w:val="auto"/>
        </w:rPr>
      </w:pPr>
    </w:p>
    <w:p>
      <w:pPr>
        <w:jc w:val="both"/>
        <w:ind w:left="640" w:hanging="313"/>
        <w:spacing w:after="0" w:line="292" w:lineRule="auto"/>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13- Party B’s default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7" w:lineRule="exact"/>
        <w:rPr>
          <w:sz w:val="20"/>
          <w:szCs w:val="20"/>
          <w:color w:val="auto"/>
        </w:rPr>
      </w:pPr>
    </w:p>
    <w:p>
      <w:pPr>
        <w:jc w:val="both"/>
        <w:ind w:left="640" w:hanging="313"/>
        <w:spacing w:after="0" w:line="306" w:lineRule="auto"/>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50" w:lineRule="exact"/>
        <w:rPr>
          <w:rFonts w:ascii="Arial" w:cs="Arial" w:eastAsia="Arial" w:hAnsi="Arial"/>
          <w:sz w:val="16"/>
          <w:szCs w:val="16"/>
          <w:color w:val="auto"/>
        </w:rPr>
      </w:pPr>
    </w:p>
    <w:p>
      <w:pPr>
        <w:jc w:val="both"/>
        <w:ind w:left="640" w:hanging="313"/>
        <w:spacing w:after="0" w:line="306" w:lineRule="auto"/>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50" w:lineRule="exact"/>
        <w:rPr>
          <w:rFonts w:ascii="Arial" w:cs="Arial" w:eastAsia="Arial" w:hAnsi="Arial"/>
          <w:sz w:val="16"/>
          <w:szCs w:val="16"/>
          <w:color w:val="auto"/>
        </w:rPr>
      </w:pPr>
    </w:p>
    <w:p>
      <w:pPr>
        <w:ind w:left="640" w:hanging="313"/>
        <w:spacing w:after="0" w:line="300"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51" w:lineRule="exact"/>
        <w:rPr>
          <w:rFonts w:ascii="Arial" w:cs="Arial" w:eastAsia="Arial" w:hAnsi="Arial"/>
          <w:sz w:val="17"/>
          <w:szCs w:val="17"/>
          <w:color w:val="auto"/>
        </w:rPr>
      </w:pPr>
    </w:p>
    <w:p>
      <w:pPr>
        <w:jc w:val="both"/>
        <w:ind w:left="640" w:hanging="313"/>
        <w:spacing w:after="0" w:line="253" w:lineRule="auto"/>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8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Retirement refers to the behavior that Party B decides to terminate the lease relationship early for its own reasons, limited to a written statement.</w:t>
      </w:r>
    </w:p>
    <w:p>
      <w:pPr>
        <w:spacing w:after="0" w:line="242"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86" w:lineRule="exact"/>
        <w:rPr>
          <w:rFonts w:ascii="Arial" w:cs="Arial" w:eastAsia="Arial" w:hAnsi="Arial"/>
          <w:sz w:val="18"/>
          <w:szCs w:val="18"/>
          <w:color w:val="auto"/>
        </w:rPr>
      </w:pPr>
    </w:p>
    <w:p>
      <w:pPr>
        <w:ind w:left="640" w:hanging="313"/>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Party A has right to request Party B to compensate Party A for the losses suffered thereby, if Party B takes the following actions:</w:t>
      </w:r>
    </w:p>
    <w:p>
      <w:pPr>
        <w:spacing w:after="0" w:line="219" w:lineRule="exact"/>
        <w:rPr>
          <w:rFonts w:ascii="Arial" w:cs="Arial" w:eastAsia="Arial" w:hAnsi="Arial"/>
          <w:sz w:val="18"/>
          <w:szCs w:val="18"/>
          <w:color w:val="auto"/>
        </w:rPr>
      </w:pPr>
    </w:p>
    <w:p>
      <w:pPr>
        <w:ind w:left="1020" w:hanging="373"/>
        <w:spacing w:after="0"/>
        <w:tabs>
          <w:tab w:leader="none" w:pos="10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2" w:name="page183"/>
    <w:bookmarkEnd w:id="182"/>
    <w:p>
      <w:pPr>
        <w:ind w:left="1020" w:hanging="373"/>
        <w:spacing w:after="0"/>
        <w:tabs>
          <w:tab w:leader="none" w:pos="10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19" w:lineRule="exact"/>
        <w:rPr>
          <w:rFonts w:ascii="Arial" w:cs="Arial" w:eastAsia="Arial" w:hAnsi="Arial"/>
          <w:sz w:val="18"/>
          <w:szCs w:val="18"/>
          <w:color w:val="auto"/>
        </w:rPr>
      </w:pPr>
    </w:p>
    <w:p>
      <w:pPr>
        <w:jc w:val="both"/>
        <w:ind w:left="1020" w:hanging="373"/>
        <w:spacing w:after="0" w:line="258" w:lineRule="auto"/>
        <w:tabs>
          <w:tab w:leader="none" w:pos="10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6" w:lineRule="exact"/>
        <w:rPr>
          <w:rFonts w:ascii="Arial" w:cs="Arial" w:eastAsia="Arial" w:hAnsi="Arial"/>
          <w:sz w:val="18"/>
          <w:szCs w:val="18"/>
          <w:color w:val="auto"/>
        </w:rPr>
      </w:pPr>
    </w:p>
    <w:p>
      <w:pPr>
        <w:ind w:left="280" w:hanging="273"/>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14- If either the Property or any part of the Building is destroyed or is not suitable for research and development and office during the lease period due to</w:t>
      </w:r>
    </w:p>
    <w:p>
      <w:pPr>
        <w:spacing w:after="0" w:line="42" w:lineRule="exact"/>
        <w:rPr>
          <w:sz w:val="20"/>
          <w:szCs w:val="20"/>
          <w:color w:val="auto"/>
        </w:rPr>
      </w:pPr>
    </w:p>
    <w:p>
      <w:pPr>
        <w:jc w:val="both"/>
        <w:ind w:left="320" w:hanging="313"/>
        <w:spacing w:after="0" w:line="267" w:lineRule="auto"/>
        <w:tabs>
          <w:tab w:leader="none" w:pos="3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14- The above “force majeure” means any unforeseen event beyond the reasonable control of one party and which is unavoidable despite reasonable care is</w:t>
      </w:r>
    </w:p>
    <w:p>
      <w:pPr>
        <w:spacing w:after="0" w:line="42" w:lineRule="exact"/>
        <w:rPr>
          <w:sz w:val="20"/>
          <w:szCs w:val="20"/>
          <w:color w:val="auto"/>
        </w:rPr>
      </w:pPr>
    </w:p>
    <w:p>
      <w:pPr>
        <w:ind w:left="320" w:right="20" w:hanging="313"/>
        <w:spacing w:after="0" w:line="255" w:lineRule="auto"/>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given by the party, including but not limited to, earthquake, typhoon, plague, flood, fire, storms, tidal waves or other natural disasters, declared or undeclared war, riots and so 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15- Both Parties agree that one party may be written notice to the other party to terminate the Contract under the following situations, and the party</w:t>
      </w:r>
    </w:p>
    <w:p>
      <w:pPr>
        <w:spacing w:after="0" w:line="31" w:lineRule="exact"/>
        <w:rPr>
          <w:sz w:val="20"/>
          <w:szCs w:val="20"/>
          <w:color w:val="auto"/>
        </w:rPr>
      </w:pPr>
    </w:p>
    <w:p>
      <w:pPr>
        <w:ind w:left="320" w:hanging="313"/>
        <w:spacing w:after="0" w:line="316" w:lineRule="auto"/>
        <w:tabs>
          <w:tab w:leader="none" w:pos="3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3" w:name="page184"/>
    <w:bookmarkEnd w:id="183"/>
    <w:p>
      <w:pPr>
        <w:ind w:left="1020" w:hanging="373"/>
        <w:spacing w:after="0"/>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A fails to deliver the House on time and still cannot deliver the House 30 days after the written notice from Party B;</w:t>
      </w:r>
    </w:p>
    <w:p>
      <w:pPr>
        <w:spacing w:after="0" w:line="187" w:lineRule="exact"/>
        <w:rPr>
          <w:rFonts w:ascii="Arial" w:cs="Arial" w:eastAsia="Arial" w:hAnsi="Arial"/>
          <w:sz w:val="18"/>
          <w:szCs w:val="18"/>
          <w:color w:val="auto"/>
        </w:rPr>
      </w:pPr>
    </w:p>
    <w:p>
      <w:pPr>
        <w:ind w:left="1020" w:right="20" w:hanging="373"/>
        <w:spacing w:after="0" w:line="236" w:lineRule="exact"/>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02" w:lineRule="exact"/>
        <w:rPr>
          <w:rFonts w:ascii="Arial" w:cs="Arial" w:eastAsia="Arial" w:hAnsi="Arial"/>
          <w:sz w:val="18"/>
          <w:szCs w:val="18"/>
          <w:color w:val="auto"/>
        </w:rPr>
      </w:pPr>
    </w:p>
    <w:p>
      <w:pPr>
        <w:ind w:left="1020" w:hanging="373"/>
        <w:spacing w:after="0"/>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19" w:lineRule="exact"/>
        <w:rPr>
          <w:rFonts w:ascii="Arial" w:cs="Arial" w:eastAsia="Arial" w:hAnsi="Arial"/>
          <w:sz w:val="18"/>
          <w:szCs w:val="18"/>
          <w:color w:val="auto"/>
        </w:rPr>
      </w:pPr>
    </w:p>
    <w:p>
      <w:pPr>
        <w:ind w:left="1020" w:hanging="373"/>
        <w:spacing w:after="0"/>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19" w:lineRule="exact"/>
        <w:rPr>
          <w:rFonts w:ascii="Arial" w:cs="Arial" w:eastAsia="Arial" w:hAnsi="Arial"/>
          <w:sz w:val="18"/>
          <w:szCs w:val="18"/>
          <w:color w:val="auto"/>
        </w:rPr>
      </w:pPr>
    </w:p>
    <w:p>
      <w:pPr>
        <w:ind w:left="1020" w:right="20" w:hanging="373"/>
        <w:spacing w:after="0" w:line="270" w:lineRule="auto"/>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74" w:lineRule="exact"/>
        <w:rPr>
          <w:rFonts w:ascii="Arial" w:cs="Arial" w:eastAsia="Arial" w:hAnsi="Arial"/>
          <w:sz w:val="18"/>
          <w:szCs w:val="18"/>
          <w:color w:val="auto"/>
        </w:rPr>
      </w:pPr>
    </w:p>
    <w:p>
      <w:pPr>
        <w:ind w:left="1020" w:hanging="373"/>
        <w:spacing w:after="0" w:line="333" w:lineRule="auto"/>
        <w:tabs>
          <w:tab w:leader="none" w:pos="10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29" w:lineRule="exact"/>
        <w:rPr>
          <w:rFonts w:ascii="Arial" w:cs="Arial" w:eastAsia="Arial" w:hAnsi="Arial"/>
          <w:sz w:val="16"/>
          <w:szCs w:val="16"/>
          <w:color w:val="auto"/>
        </w:rPr>
      </w:pPr>
    </w:p>
    <w:p>
      <w:pPr>
        <w:ind w:left="1020" w:hanging="373"/>
        <w:spacing w:after="0" w:line="270" w:lineRule="auto"/>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74" w:lineRule="exact"/>
        <w:rPr>
          <w:rFonts w:ascii="Arial" w:cs="Arial" w:eastAsia="Arial" w:hAnsi="Arial"/>
          <w:sz w:val="18"/>
          <w:szCs w:val="18"/>
          <w:color w:val="auto"/>
        </w:rPr>
      </w:pPr>
    </w:p>
    <w:p>
      <w:pPr>
        <w:ind w:left="1020" w:hanging="373"/>
        <w:spacing w:after="0"/>
        <w:tabs>
          <w:tab w:leader="none" w:pos="10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15- Due to the breach of item (8) of the preceding paragraph, the Party A has the right to retain all the articles in the House until Party B pays all the money</w:t>
      </w:r>
    </w:p>
    <w:p>
      <w:pPr>
        <w:spacing w:after="0" w:line="42" w:lineRule="exact"/>
        <w:rPr>
          <w:sz w:val="20"/>
          <w:szCs w:val="20"/>
          <w:color w:val="auto"/>
        </w:rPr>
      </w:pPr>
    </w:p>
    <w:p>
      <w:pPr>
        <w:ind w:left="320" w:hanging="313"/>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(including the liquidated damages) to Party 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15- Both Parties agree that the Contract is terminated under the following situations, and neither of them should be responsible for the termination.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7" w:lineRule="exact"/>
        <w:rPr>
          <w:sz w:val="20"/>
          <w:szCs w:val="20"/>
          <w:color w:val="auto"/>
        </w:rPr>
      </w:pPr>
    </w:p>
    <w:p>
      <w:pPr>
        <w:ind w:left="700" w:hanging="373"/>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16. Statements and Guarantees</w:t>
      </w:r>
    </w:p>
    <w:p>
      <w:pPr>
        <w:spacing w:after="0" w:line="220" w:lineRule="exact"/>
        <w:rPr>
          <w:sz w:val="20"/>
          <w:szCs w:val="20"/>
          <w:color w:val="auto"/>
        </w:rPr>
      </w:pPr>
    </w:p>
    <w:p>
      <w:pPr>
        <w:ind w:left="320" w:hanging="313"/>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19" w:lineRule="exact"/>
        <w:rPr>
          <w:rFonts w:ascii="Arial" w:cs="Arial" w:eastAsia="Arial" w:hAnsi="Arial"/>
          <w:sz w:val="18"/>
          <w:szCs w:val="18"/>
          <w:color w:val="auto"/>
        </w:rPr>
      </w:pPr>
    </w:p>
    <w:p>
      <w:pPr>
        <w:ind w:left="700" w:hanging="373"/>
        <w:spacing w:after="0" w:line="270" w:lineRule="auto"/>
        <w:tabs>
          <w:tab w:leader="none" w:pos="7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74" w:lineRule="exact"/>
        <w:rPr>
          <w:rFonts w:ascii="Arial" w:cs="Arial" w:eastAsia="Arial" w:hAnsi="Arial"/>
          <w:sz w:val="18"/>
          <w:szCs w:val="18"/>
          <w:color w:val="auto"/>
        </w:rPr>
      </w:pPr>
    </w:p>
    <w:p>
      <w:pPr>
        <w:ind w:left="700" w:hanging="373"/>
        <w:spacing w:after="0" w:line="270" w:lineRule="auto"/>
        <w:tabs>
          <w:tab w:leader="none" w:pos="7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74" w:lineRule="exact"/>
        <w:rPr>
          <w:rFonts w:ascii="Arial" w:cs="Arial" w:eastAsia="Arial" w:hAnsi="Arial"/>
          <w:sz w:val="18"/>
          <w:szCs w:val="18"/>
          <w:color w:val="auto"/>
        </w:rPr>
      </w:pPr>
    </w:p>
    <w:p>
      <w:pPr>
        <w:ind w:left="700" w:hanging="373"/>
        <w:spacing w:after="0" w:line="270" w:lineRule="auto"/>
        <w:tabs>
          <w:tab w:leader="none" w:pos="7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74" w:lineRule="exact"/>
        <w:rPr>
          <w:rFonts w:ascii="Arial" w:cs="Arial" w:eastAsia="Arial" w:hAnsi="Arial"/>
          <w:sz w:val="18"/>
          <w:szCs w:val="18"/>
          <w:color w:val="auto"/>
        </w:rPr>
      </w:pPr>
    </w:p>
    <w:p>
      <w:pPr>
        <w:ind w:left="540" w:hanging="373"/>
        <w:spacing w:after="0"/>
        <w:tabs>
          <w:tab w:leader="none" w:pos="5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19" w:lineRule="exact"/>
        <w:rPr>
          <w:rFonts w:ascii="Arial" w:cs="Arial" w:eastAsia="Arial" w:hAnsi="Arial"/>
          <w:sz w:val="18"/>
          <w:szCs w:val="18"/>
          <w:color w:val="auto"/>
        </w:rPr>
      </w:pPr>
    </w:p>
    <w:p>
      <w:pPr>
        <w:ind w:left="700" w:hanging="373"/>
        <w:spacing w:after="0" w:line="300" w:lineRule="auto"/>
        <w:tabs>
          <w:tab w:leader="none" w:pos="70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51" w:lineRule="exact"/>
        <w:rPr>
          <w:rFonts w:ascii="Arial" w:cs="Arial" w:eastAsia="Arial" w:hAnsi="Arial"/>
          <w:sz w:val="17"/>
          <w:szCs w:val="17"/>
          <w:color w:val="auto"/>
        </w:rPr>
      </w:pPr>
    </w:p>
    <w:p>
      <w:pPr>
        <w:ind w:left="700" w:hanging="373"/>
        <w:spacing w:after="0" w:line="270" w:lineRule="auto"/>
        <w:tabs>
          <w:tab w:leader="none" w:pos="7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17. Safe Production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17- Party B shall strictly comply with the safety management code of the park including the Notice on Enterprise Safety Management in Shanghai Pudong</w:t>
      </w:r>
    </w:p>
    <w:p>
      <w:pPr>
        <w:spacing w:after="0" w:line="39" w:lineRule="exact"/>
        <w:rPr>
          <w:sz w:val="20"/>
          <w:szCs w:val="20"/>
          <w:color w:val="auto"/>
        </w:rPr>
      </w:pPr>
    </w:p>
    <w:p>
      <w:pPr>
        <w:jc w:val="both"/>
        <w:ind w:left="320" w:hanging="313"/>
        <w:spacing w:after="0" w:line="214" w:lineRule="exact"/>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Software Park (see Annex </w:t>
      </w:r>
      <w:r>
        <w:rPr>
          <w:rFonts w:ascii="MS PGothic" w:cs="MS PGothic" w:eastAsia="MS PGothic" w:hAnsi="MS PGothic"/>
          <w:sz w:val="18"/>
          <w:szCs w:val="18"/>
          <w:color w:val="auto"/>
        </w:rPr>
        <w:t>Ⅲ</w:t>
      </w:r>
      <w:r>
        <w:rPr>
          <w:rFonts w:ascii="Arial" w:cs="Arial" w:eastAsia="Arial" w:hAnsi="Arial"/>
          <w:sz w:val="18"/>
          <w:szCs w:val="18"/>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t>17- During the rental term of the Contract, Party A shall have the right to recourse to Party B and terminate the Contract if Party B produces safety accident</w:t>
      </w:r>
    </w:p>
    <w:p>
      <w:pPr>
        <w:spacing w:after="0" w:line="42" w:lineRule="exact"/>
        <w:rPr>
          <w:sz w:val="20"/>
          <w:szCs w:val="20"/>
          <w:color w:val="auto"/>
        </w:rPr>
      </w:pPr>
    </w:p>
    <w:p>
      <w:pPr>
        <w:ind w:left="320" w:hanging="313"/>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area of Shanghai Pudong Software Park. If the safety accidents cause loss of Party A, Party B should compensate Party 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17- Party B’s safety records shall be used as a reference for Party B’s priority rights such as renewal and extension of lease (if 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18- The Contract takes effect immediately after both parties have signed and sealed the contract.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18- The unaccomplished matters of the Contract may be concluded by the supplementary agreements or terms between Party A and Party B. The</w:t>
      </w:r>
    </w:p>
    <w:p>
      <w:pPr>
        <w:spacing w:after="0" w:line="31" w:lineRule="exact"/>
        <w:rPr>
          <w:sz w:val="20"/>
          <w:szCs w:val="20"/>
          <w:color w:val="auto"/>
        </w:rPr>
      </w:pPr>
    </w:p>
    <w:p>
      <w:pPr>
        <w:ind w:left="320" w:hanging="313"/>
        <w:spacing w:after="0" w:line="255" w:lineRule="auto"/>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18- When both parties sign the Contract, they shall clearly understand their respective rights, obligations and responsibilities and are willing to fulfill their</w:t>
      </w:r>
    </w:p>
    <w:p>
      <w:pPr>
        <w:spacing w:after="0" w:line="42" w:lineRule="exact"/>
        <w:rPr>
          <w:sz w:val="20"/>
          <w:szCs w:val="20"/>
          <w:color w:val="auto"/>
        </w:rPr>
      </w:pPr>
    </w:p>
    <w:p>
      <w:pPr>
        <w:ind w:left="320" w:hanging="313"/>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obligations strictly according to the Contract. If one party violates the Contract, the other party is entitled to claim according to the Contract.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18- Party A and Party B shall settle their disputes through negotiation during the performance of the Contract. If they fail to reach a consensus through</w:t>
      </w:r>
    </w:p>
    <w:p>
      <w:pPr>
        <w:spacing w:after="0" w:line="42" w:lineRule="exact"/>
        <w:rPr>
          <w:sz w:val="20"/>
          <w:szCs w:val="20"/>
          <w:color w:val="auto"/>
        </w:rPr>
      </w:pPr>
    </w:p>
    <w:p>
      <w:pPr>
        <w:ind w:left="320" w:hanging="313"/>
        <w:spacing w:after="0"/>
        <w:tabs>
          <w:tab w:leader="none" w:pos="3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negotiation, both parties agree to choose the following method (2) to settle in accordance with the laws of the People’s Republic of China:</w:t>
      </w:r>
    </w:p>
    <w:p>
      <w:pPr>
        <w:spacing w:after="0" w:line="218" w:lineRule="exact"/>
        <w:rPr>
          <w:rFonts w:ascii="Arial" w:cs="Arial" w:eastAsia="Arial" w:hAnsi="Arial"/>
          <w:sz w:val="17"/>
          <w:szCs w:val="17"/>
          <w:color w:val="auto"/>
        </w:rPr>
      </w:pPr>
    </w:p>
    <w:p>
      <w:pPr>
        <w:ind w:left="700" w:hanging="373"/>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20" w:lineRule="exact"/>
        <w:rPr>
          <w:sz w:val="20"/>
          <w:szCs w:val="20"/>
          <w:color w:val="auto"/>
        </w:rPr>
      </w:pPr>
    </w:p>
    <w:p>
      <w:pPr>
        <w:ind w:left="420" w:hanging="413"/>
        <w:spacing w:after="0" w:line="270" w:lineRule="auto"/>
        <w:rPr>
          <w:sz w:val="20"/>
          <w:szCs w:val="20"/>
          <w:color w:val="auto"/>
        </w:rPr>
      </w:pPr>
      <w:r>
        <w:rPr>
          <w:rFonts w:ascii="Arial" w:cs="Arial" w:eastAsia="Arial" w:hAnsi="Arial"/>
          <w:sz w:val="18"/>
          <w:szCs w:val="18"/>
          <w:color w:val="auto"/>
        </w:rPr>
        <w:t>18-5 The Contract has four copies with the Annex, and Party A, Party B, the business department, the tax department each hold a copy. All of them have the same effect.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18- All fees and taxes related to the registration of the Contract (including but not limited to stamp duty) should be borne by both parties in accordance with</w:t>
      </w:r>
    </w:p>
    <w:p>
      <w:pPr>
        <w:spacing w:after="0" w:line="42" w:lineRule="exact"/>
        <w:rPr>
          <w:sz w:val="20"/>
          <w:szCs w:val="20"/>
          <w:color w:val="auto"/>
        </w:rPr>
      </w:pPr>
    </w:p>
    <w:p>
      <w:pPr>
        <w:ind w:left="320" w:hanging="313"/>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regulations of the People’s Republic of China and Shanghai.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18- Party B is obliged to cooperate with Party A to complete all forms of non-profitable research activities for the purpose of industry research, including but</w:t>
      </w:r>
    </w:p>
    <w:p>
      <w:pPr>
        <w:spacing w:after="0" w:line="42" w:lineRule="exact"/>
        <w:rPr>
          <w:sz w:val="20"/>
          <w:szCs w:val="20"/>
          <w:color w:val="auto"/>
        </w:rPr>
      </w:pPr>
    </w:p>
    <w:p>
      <w:pPr>
        <w:jc w:val="both"/>
        <w:ind w:left="320" w:hanging="313"/>
        <w:spacing w:after="0" w:line="251" w:lineRule="auto"/>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color w:val="auto"/>
        </w:rPr>
        <w:t>Annex 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Plan of the House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t>Annex II</w:t>
      </w:r>
    </w:p>
    <w:p>
      <w:pPr>
        <w:spacing w:after="0" w:line="22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12700</wp:posOffset>
            </wp:positionV>
            <wp:extent cx="713422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60" w:top="899" w:right="37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color w:val="auto"/>
        </w:rPr>
        <w:t>Annex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67" w:lineRule="exact"/>
        <w:rPr>
          <w:sz w:val="20"/>
          <w:szCs w:val="20"/>
          <w:color w:val="auto"/>
        </w:rPr>
      </w:pPr>
    </w:p>
    <w:p>
      <w:pPr>
        <w:ind w:left="320" w:hanging="313"/>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19" w:lineRule="exact"/>
        <w:rPr>
          <w:rFonts w:ascii="Arial" w:cs="Arial" w:eastAsia="Arial" w:hAnsi="Arial"/>
          <w:sz w:val="18"/>
          <w:szCs w:val="18"/>
          <w:color w:val="auto"/>
        </w:rPr>
      </w:pPr>
    </w:p>
    <w:p>
      <w:pPr>
        <w:ind w:left="320"/>
        <w:spacing w:after="0" w:line="270"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74" w:lineRule="exact"/>
        <w:rPr>
          <w:rFonts w:ascii="Arial" w:cs="Arial" w:eastAsia="Arial" w:hAnsi="Arial"/>
          <w:sz w:val="18"/>
          <w:szCs w:val="18"/>
          <w:color w:val="auto"/>
        </w:rPr>
      </w:pPr>
    </w:p>
    <w:p>
      <w:pPr>
        <w:jc w:val="both"/>
        <w:ind w:left="700" w:hanging="373"/>
        <w:spacing w:after="0" w:line="306" w:lineRule="auto"/>
        <w:tabs>
          <w:tab w:leader="none" w:pos="7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50" w:lineRule="exact"/>
        <w:rPr>
          <w:rFonts w:ascii="Arial" w:cs="Arial" w:eastAsia="Arial" w:hAnsi="Arial"/>
          <w:sz w:val="16"/>
          <w:szCs w:val="16"/>
          <w:color w:val="auto"/>
        </w:rPr>
      </w:pPr>
    </w:p>
    <w:p>
      <w:pPr>
        <w:ind w:left="700" w:hanging="373"/>
        <w:spacing w:after="0" w:line="270" w:lineRule="auto"/>
        <w:tabs>
          <w:tab w:leader="none" w:pos="7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74" w:lineRule="exact"/>
        <w:rPr>
          <w:rFonts w:ascii="Arial" w:cs="Arial" w:eastAsia="Arial" w:hAnsi="Arial"/>
          <w:sz w:val="18"/>
          <w:szCs w:val="18"/>
          <w:color w:val="auto"/>
        </w:rPr>
      </w:pPr>
    </w:p>
    <w:p>
      <w:pPr>
        <w:jc w:val="both"/>
        <w:ind w:left="700" w:hanging="373"/>
        <w:spacing w:after="0" w:line="258" w:lineRule="auto"/>
        <w:tabs>
          <w:tab w:leader="none" w:pos="7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19" w:lineRule="exact"/>
        <w:rPr>
          <w:rFonts w:ascii="Arial" w:cs="Arial" w:eastAsia="Arial" w:hAnsi="Arial"/>
          <w:sz w:val="18"/>
          <w:szCs w:val="18"/>
          <w:color w:val="auto"/>
        </w:rPr>
      </w:pPr>
    </w:p>
    <w:p>
      <w:pPr>
        <w:jc w:val="both"/>
        <w:ind w:left="700" w:hanging="373"/>
        <w:spacing w:after="0" w:line="258" w:lineRule="auto"/>
        <w:tabs>
          <w:tab w:leader="none" w:pos="7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86" w:lineRule="exact"/>
        <w:rPr>
          <w:rFonts w:ascii="Arial" w:cs="Arial" w:eastAsia="Arial" w:hAnsi="Arial"/>
          <w:sz w:val="18"/>
          <w:szCs w:val="18"/>
          <w:color w:val="auto"/>
        </w:rPr>
      </w:pPr>
    </w:p>
    <w:p>
      <w:pPr>
        <w:ind w:left="700" w:hanging="373"/>
        <w:spacing w:after="0" w:line="333" w:lineRule="auto"/>
        <w:tabs>
          <w:tab w:leader="none" w:pos="7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29" w:lineRule="exact"/>
        <w:rPr>
          <w:rFonts w:ascii="Arial" w:cs="Arial" w:eastAsia="Arial" w:hAnsi="Arial"/>
          <w:sz w:val="16"/>
          <w:szCs w:val="16"/>
          <w:color w:val="auto"/>
        </w:rPr>
      </w:pPr>
    </w:p>
    <w:p>
      <w:pPr>
        <w:jc w:val="both"/>
        <w:ind w:left="700" w:hanging="373"/>
        <w:spacing w:after="0" w:line="258" w:lineRule="auto"/>
        <w:tabs>
          <w:tab w:leader="none" w:pos="7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9" w:name="page190"/>
    <w:bookmarkEnd w:id="189"/>
    <w:p>
      <w:pPr>
        <w:ind w:left="700" w:hanging="373"/>
        <w:spacing w:after="0"/>
        <w:tabs>
          <w:tab w:leader="none" w:pos="7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19" w:lineRule="exact"/>
        <w:rPr>
          <w:rFonts w:ascii="Arial" w:cs="Arial" w:eastAsia="Arial" w:hAnsi="Arial"/>
          <w:sz w:val="18"/>
          <w:szCs w:val="18"/>
          <w:color w:val="auto"/>
        </w:rPr>
      </w:pPr>
    </w:p>
    <w:p>
      <w:pPr>
        <w:ind w:left="700" w:right="20" w:hanging="373"/>
        <w:spacing w:after="0" w:line="270" w:lineRule="auto"/>
        <w:tabs>
          <w:tab w:leader="none" w:pos="7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19" w:lineRule="exact"/>
        <w:rPr>
          <w:rFonts w:ascii="Arial" w:cs="Arial" w:eastAsia="Arial" w:hAnsi="Arial"/>
          <w:sz w:val="18"/>
          <w:szCs w:val="18"/>
          <w:color w:val="auto"/>
        </w:rPr>
      </w:pPr>
    </w:p>
    <w:p>
      <w:pPr>
        <w:ind w:left="700" w:hanging="373"/>
        <w:spacing w:after="0" w:line="270" w:lineRule="auto"/>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74" w:lineRule="exact"/>
        <w:rPr>
          <w:rFonts w:ascii="Arial" w:cs="Arial" w:eastAsia="Arial" w:hAnsi="Arial"/>
          <w:sz w:val="18"/>
          <w:szCs w:val="18"/>
          <w:color w:val="auto"/>
        </w:rPr>
      </w:pPr>
    </w:p>
    <w:p>
      <w:pPr>
        <w:ind w:left="700" w:hanging="373"/>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19" w:lineRule="exact"/>
        <w:rPr>
          <w:rFonts w:ascii="Arial" w:cs="Arial" w:eastAsia="Arial" w:hAnsi="Arial"/>
          <w:sz w:val="18"/>
          <w:szCs w:val="18"/>
          <w:color w:val="auto"/>
        </w:rPr>
      </w:pPr>
    </w:p>
    <w:p>
      <w:pPr>
        <w:ind w:left="700" w:hanging="373"/>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19" w:lineRule="exact"/>
        <w:rPr>
          <w:rFonts w:ascii="Arial" w:cs="Arial" w:eastAsia="Arial" w:hAnsi="Arial"/>
          <w:sz w:val="18"/>
          <w:szCs w:val="18"/>
          <w:color w:val="auto"/>
        </w:rPr>
      </w:pPr>
    </w:p>
    <w:p>
      <w:pPr>
        <w:ind w:left="700" w:hanging="373"/>
        <w:spacing w:after="0" w:line="270" w:lineRule="auto"/>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74" w:lineRule="exact"/>
        <w:rPr>
          <w:rFonts w:ascii="Arial" w:cs="Arial" w:eastAsia="Arial" w:hAnsi="Arial"/>
          <w:sz w:val="18"/>
          <w:szCs w:val="18"/>
          <w:color w:val="auto"/>
        </w:rPr>
      </w:pPr>
    </w:p>
    <w:p>
      <w:pPr>
        <w:ind w:left="700" w:hanging="373"/>
        <w:spacing w:after="0" w:line="270" w:lineRule="auto"/>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No.ZL (N) 20180016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Party B (Lessee): ChinaLink Professional Services Co., Ltd.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20"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1-1 The house which is rented to Party B by Party A is located in Room 18101/18102/18103/18104, Building 18, Guo Shoujing Road No.498, Zhang Jiang High Tech Park, Pudong, Shanghai (hereinafter referred to as “the House”). The building area of the House is 914.62 square meters. The House should be used for research and development and office. The structure of the House is reinforced concrete structure. The plan of the house is shown in Annex I of this contract.</w:t>
      </w:r>
    </w:p>
    <w:p>
      <w:pPr>
        <w:spacing w:after="0" w:line="188" w:lineRule="exact"/>
        <w:rPr>
          <w:sz w:val="20"/>
          <w:szCs w:val="20"/>
          <w:color w:val="auto"/>
        </w:rPr>
      </w:pPr>
    </w:p>
    <w:p>
      <w:pPr>
        <w:jc w:val="both"/>
        <w:ind w:left="320" w:hanging="319"/>
        <w:spacing w:after="0" w:line="270" w:lineRule="auto"/>
        <w:rPr>
          <w:sz w:val="20"/>
          <w:szCs w:val="20"/>
          <w:color w:val="auto"/>
        </w:rPr>
      </w:pPr>
      <w:r>
        <w:rPr>
          <w:rFonts w:ascii="Arial" w:cs="Arial" w:eastAsia="Arial" w:hAnsi="Arial"/>
          <w:sz w:val="18"/>
          <w:szCs w:val="18"/>
          <w:color w:val="auto"/>
        </w:rPr>
        <w:t>1-2 Party A establishes a leasing relationship with Party B as the real estate owner of the House. Party A has told Party B and Party B has fully known that the House has been mortgaged before the contract is signed.</w:t>
      </w:r>
    </w:p>
    <w:p>
      <w:pPr>
        <w:spacing w:after="0" w:line="175" w:lineRule="exact"/>
        <w:rPr>
          <w:sz w:val="20"/>
          <w:szCs w:val="20"/>
          <w:color w:val="auto"/>
        </w:rPr>
      </w:pPr>
    </w:p>
    <w:p>
      <w:pPr>
        <w:jc w:val="both"/>
        <w:ind w:left="320" w:hanging="319"/>
        <w:spacing w:after="0" w:line="274" w:lineRule="auto"/>
        <w:rPr>
          <w:sz w:val="20"/>
          <w:szCs w:val="20"/>
          <w:color w:val="auto"/>
        </w:rPr>
      </w:pPr>
      <w:r>
        <w:rPr>
          <w:rFonts w:ascii="Arial" w:cs="Arial" w:eastAsia="Arial" w:hAnsi="Arial"/>
          <w:sz w:val="17"/>
          <w:szCs w:val="17"/>
          <w:color w:val="auto"/>
        </w:rPr>
        <w:t>1-3 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75" w:lineRule="exact"/>
        <w:rPr>
          <w:sz w:val="20"/>
          <w:szCs w:val="20"/>
          <w:color w:val="auto"/>
        </w:rPr>
      </w:pPr>
    </w:p>
    <w:p>
      <w:pPr>
        <w:jc w:val="both"/>
        <w:ind w:left="320" w:hanging="319"/>
        <w:spacing w:after="0" w:line="258" w:lineRule="auto"/>
        <w:rPr>
          <w:sz w:val="20"/>
          <w:szCs w:val="20"/>
          <w:color w:val="auto"/>
        </w:rPr>
      </w:pPr>
      <w:r>
        <w:rPr>
          <w:rFonts w:ascii="Arial" w:cs="Arial" w:eastAsia="Arial" w:hAnsi="Arial"/>
          <w:sz w:val="18"/>
          <w:szCs w:val="18"/>
          <w:color w:val="auto"/>
        </w:rPr>
        <w:t>1-4 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2. Rental Purposes</w:t>
      </w:r>
    </w:p>
    <w:p>
      <w:pPr>
        <w:spacing w:after="0" w:line="220" w:lineRule="exact"/>
        <w:rPr>
          <w:sz w:val="20"/>
          <w:szCs w:val="20"/>
          <w:color w:val="auto"/>
        </w:rPr>
      </w:pPr>
    </w:p>
    <w:p>
      <w:pPr>
        <w:jc w:val="both"/>
        <w:ind w:left="320" w:hanging="319"/>
        <w:spacing w:after="0" w:line="270" w:lineRule="auto"/>
        <w:rPr>
          <w:sz w:val="20"/>
          <w:szCs w:val="20"/>
          <w:color w:val="auto"/>
        </w:rPr>
      </w:pPr>
      <w:r>
        <w:rPr>
          <w:rFonts w:ascii="Arial" w:cs="Arial" w:eastAsia="Arial" w:hAnsi="Arial"/>
          <w:sz w:val="18"/>
          <w:szCs w:val="18"/>
          <w:color w:val="auto"/>
        </w:rPr>
        <w:t>2-1 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75" w:lineRule="exact"/>
        <w:rPr>
          <w:sz w:val="20"/>
          <w:szCs w:val="20"/>
          <w:color w:val="auto"/>
        </w:rPr>
      </w:pPr>
    </w:p>
    <w:p>
      <w:pPr>
        <w:jc w:val="both"/>
        <w:ind w:left="320" w:hanging="319"/>
        <w:spacing w:after="0" w:line="270" w:lineRule="auto"/>
        <w:rPr>
          <w:sz w:val="20"/>
          <w:szCs w:val="20"/>
          <w:color w:val="auto"/>
        </w:rPr>
      </w:pPr>
      <w:r>
        <w:rPr>
          <w:rFonts w:ascii="Arial" w:cs="Arial" w:eastAsia="Arial" w:hAnsi="Arial"/>
          <w:sz w:val="18"/>
          <w:szCs w:val="18"/>
          <w:color w:val="auto"/>
        </w:rPr>
        <w:t>2-2 Party B promises that the above-mentioned purpose of the use will not be changed during the rental term unless such change gets Party A’s written consent and is approved by the relevant departments according to relative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 Lease Term</w:t>
      </w:r>
    </w:p>
    <w:p>
      <w:pPr>
        <w:spacing w:after="0" w:line="220" w:lineRule="exact"/>
        <w:rPr>
          <w:sz w:val="20"/>
          <w:szCs w:val="20"/>
          <w:color w:val="auto"/>
        </w:rPr>
      </w:pPr>
    </w:p>
    <w:p>
      <w:pPr>
        <w:jc w:val="both"/>
        <w:ind w:left="320" w:hanging="319"/>
        <w:spacing w:after="0" w:line="209" w:lineRule="auto"/>
        <w:rPr>
          <w:sz w:val="20"/>
          <w:szCs w:val="20"/>
          <w:color w:val="auto"/>
        </w:rPr>
      </w:pPr>
      <w:r>
        <w:rPr>
          <w:rFonts w:ascii="Arial" w:cs="Arial" w:eastAsia="Arial" w:hAnsi="Arial"/>
          <w:sz w:val="35"/>
          <w:szCs w:val="35"/>
          <w:color w:val="auto"/>
          <w:vertAlign w:val="superscript"/>
        </w:rPr>
        <w:t>3-1</w:t>
      </w:r>
      <w:r>
        <w:rPr>
          <w:rFonts w:ascii="Arial" w:cs="Arial" w:eastAsia="Arial" w:hAnsi="Arial"/>
          <w:sz w:val="18"/>
          <w:szCs w:val="18"/>
          <w:color w:val="auto"/>
        </w:rPr>
        <w:t xml:space="preserve"> The lease term is from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,2019 (hereinafter referred to as “lease date”) to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,2020 (hereinafter referred to as “terminal date”). The rent will be counted from February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2019 (hereinafter referred to as “rent date”) to terminal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3-2 The delivery date of the house is January 1, 2019.</w:t>
      </w:r>
    </w:p>
    <w:p>
      <w:pPr>
        <w:spacing w:after="0" w:line="220"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3-3 Party A shall inform Party B of the acceptance and handover of the house at least one day in advance and no later than the delivery date. Party B shall send representatives to jointly inspect and accept the house with Party A and or the property management company entrusted by Party A according to the time notified by Party A. After the acceptance, Party B shall sign a written House acceptance handover letter to show that Party A has delivered the house to Party B.</w:t>
      </w:r>
    </w:p>
    <w:p>
      <w:pPr>
        <w:spacing w:after="0" w:line="188"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If the house and its ancillary facilities do not meet the delivery standard agreed in this contract after both parties check, Party A shall correct it within 3 days or within a reasonable period agreed by both parties to meet the delivery standard, and inform Party B and Party A to jointly check and accept the house again. After the re acceptance, Party B shall sign a written “House acceptance handover letter” to show that Party A has delivered the house to Party B.</w:t>
      </w:r>
    </w:p>
    <w:p>
      <w:pPr>
        <w:spacing w:after="0" w:line="188" w:lineRule="exact"/>
        <w:rPr>
          <w:sz w:val="20"/>
          <w:szCs w:val="20"/>
          <w:color w:val="auto"/>
        </w:rPr>
      </w:pPr>
    </w:p>
    <w:p>
      <w:pPr>
        <w:jc w:val="both"/>
        <w:ind w:left="320"/>
        <w:spacing w:after="0" w:line="289" w:lineRule="auto"/>
        <w:rPr>
          <w:sz w:val="20"/>
          <w:szCs w:val="20"/>
          <w:color w:val="auto"/>
        </w:rPr>
      </w:pPr>
      <w:r>
        <w:rPr>
          <w:rFonts w:ascii="Arial" w:cs="Arial" w:eastAsia="Arial" w:hAnsi="Arial"/>
          <w:sz w:val="16"/>
          <w:szCs w:val="16"/>
          <w:color w:val="auto"/>
        </w:rPr>
        <w:t>If the House fails to be delivered to Party B due to Party A’s reasons, Party A shall postpone Party B’s starting date of the lease as of the date specified in article 3-1, and the new starting date shall be calculated from the actual delivery date. If the house is delayed in delivery for more than 10 working days due to Party A’s reasons, Party A shall pay 10% of the daily rent of the house to Party B as liquidated damages for each day of delayed delivery from the 11th working day after the lease starting date of article 3-1, and the lease starting date of Party B shall be postponed. The new lease starting date shall be calculated from the actual delivery date. If the starting date of rent is postponed in accordance with this clause, the starting date of rent shall be postponed accordingly. If the above-mentioned breach of contract by Party A lasts for more than 30 days, Party B has the right to terminate this contract.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2" w:name="page193"/>
    <w:bookmarkEnd w:id="192"/>
    <w:p>
      <w:pPr>
        <w:jc w:val="both"/>
        <w:ind w:left="320" w:hanging="319"/>
        <w:spacing w:after="0" w:line="255" w:lineRule="auto"/>
        <w:rPr>
          <w:sz w:val="20"/>
          <w:szCs w:val="20"/>
          <w:color w:val="auto"/>
        </w:rPr>
      </w:pPr>
      <w:r>
        <w:rPr>
          <w:rFonts w:ascii="Arial" w:cs="Arial" w:eastAsia="Arial" w:hAnsi="Arial"/>
          <w:sz w:val="18"/>
          <w:szCs w:val="18"/>
          <w:color w:val="auto"/>
        </w:rPr>
        <w:t>3-4 Party B shall handle the relevant handover procedures of the leased house no later than the delivery date. Party B’s delay in handling the handover procedures does not affect the rent payable by Party B from the date of rent payment and other expenses that shall be borne by Party B. If Party B fails to complete the relevant handover procedures within 30 days after the delivery date agreed in this contract due to Party B’s reasons, Party A has the right to terminate this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4-1 Both Parties agree that the unit rental price is counted according to the daily construction area per square meter.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Within the lease term agreed in this contract, the rent free period is from January 1, 2019 to February 14, 2019.</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February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2019 to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,2019, the unit rental price is RMB 3.85 yuan (US$0.55).</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2020 to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,2020, the unit rental price is RMB 3.97 yuan (US$0.56).</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above unit rental prices are tax-inclusive prices)</w:t>
      </w:r>
    </w:p>
    <w:p>
      <w:pPr>
        <w:spacing w:after="0" w:line="220" w:lineRule="exact"/>
        <w:rPr>
          <w:sz w:val="20"/>
          <w:szCs w:val="20"/>
          <w:color w:val="auto"/>
        </w:rPr>
      </w:pPr>
    </w:p>
    <w:p>
      <w:pPr>
        <w:jc w:val="both"/>
        <w:ind w:left="320" w:hanging="319"/>
        <w:spacing w:after="0" w:line="219" w:lineRule="exact"/>
        <w:rPr>
          <w:sz w:val="20"/>
          <w:szCs w:val="20"/>
          <w:color w:val="auto"/>
        </w:rPr>
      </w:pPr>
      <w:r>
        <w:rPr>
          <w:rFonts w:ascii="Arial" w:cs="Arial" w:eastAsia="Arial" w:hAnsi="Arial"/>
          <w:sz w:val="16"/>
          <w:szCs w:val="16"/>
          <w:color w:val="auto"/>
        </w:rPr>
        <w:t xml:space="preserve">4-2 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Arial" w:cs="Arial" w:eastAsia="Arial" w:hAnsi="Arial"/>
          <w:sz w:val="16"/>
          <w:szCs w:val="16"/>
          <w:color w:val="auto"/>
        </w:rPr>
        <w:t xml:space="preserve"> unit rental price </w:t>
      </w:r>
      <w:r>
        <w:rPr>
          <w:rFonts w:ascii="MS PGothic" w:cs="MS PGothic" w:eastAsia="MS PGothic" w:hAnsi="MS PGothic"/>
          <w:sz w:val="16"/>
          <w:szCs w:val="16"/>
          <w:color w:val="auto"/>
        </w:rPr>
        <w:t>☒</w:t>
      </w:r>
      <w:r>
        <w:rPr>
          <w:rFonts w:ascii="Arial" w:cs="Arial" w:eastAsia="Arial" w:hAnsi="Arial"/>
          <w:sz w:val="16"/>
          <w:szCs w:val="16"/>
          <w:color w:val="auto"/>
        </w:rPr>
        <w:t xml:space="preserve"> the calendar days of the month. The monthly rental amount is rounded to one decimal place).</w:t>
      </w:r>
    </w:p>
    <w:p>
      <w:pPr>
        <w:spacing w:after="0" w:line="1" w:lineRule="exact"/>
        <w:rPr>
          <w:sz w:val="20"/>
          <w:szCs w:val="20"/>
          <w:color w:val="auto"/>
        </w:rPr>
      </w:pPr>
    </w:p>
    <w:p>
      <w:pPr>
        <w:jc w:val="both"/>
        <w:ind w:left="320"/>
        <w:spacing w:after="0" w:line="230" w:lineRule="auto"/>
        <w:rPr>
          <w:sz w:val="20"/>
          <w:szCs w:val="20"/>
          <w:color w:val="auto"/>
        </w:rPr>
      </w:pPr>
      <w:r>
        <w:rPr>
          <w:rFonts w:ascii="Arial" w:cs="Arial" w:eastAsia="Arial" w:hAnsi="Arial"/>
          <w:sz w:val="16"/>
          <w:szCs w:val="16"/>
          <w:color w:val="auto"/>
        </w:rPr>
        <w:t>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w:t>
      </w:r>
    </w:p>
    <w:p>
      <w:pPr>
        <w:spacing w:after="0" w:line="1" w:lineRule="exact"/>
        <w:rPr>
          <w:sz w:val="20"/>
          <w:szCs w:val="20"/>
          <w:color w:val="auto"/>
        </w:rPr>
      </w:pPr>
    </w:p>
    <w:p>
      <w:pPr>
        <w:jc w:val="both"/>
        <w:ind w:left="320"/>
        <w:spacing w:after="0" w:line="218" w:lineRule="auto"/>
        <w:rPr>
          <w:sz w:val="20"/>
          <w:szCs w:val="20"/>
          <w:color w:val="auto"/>
        </w:rPr>
      </w:pPr>
      <w:r>
        <w:rPr>
          <w:rFonts w:ascii="Arial" w:cs="Arial" w:eastAsia="Arial" w:hAnsi="Arial"/>
          <w:sz w:val="18"/>
          <w:szCs w:val="18"/>
          <w:color w:val="auto"/>
        </w:rPr>
        <w:t>should be paid before the terminal date. If the days of the last month are not less than 10, the last month’s rent should be paid before the10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193" w:name="page194"/>
    <w:bookmarkEnd w:id="193"/>
    <w:p>
      <w:pPr>
        <w:jc w:val="both"/>
        <w:ind w:left="320" w:hanging="319"/>
        <w:spacing w:after="0" w:line="255" w:lineRule="auto"/>
        <w:rPr>
          <w:sz w:val="20"/>
          <w:szCs w:val="20"/>
          <w:color w:val="auto"/>
        </w:rPr>
      </w:pPr>
      <w:r>
        <w:rPr>
          <w:rFonts w:ascii="Arial" w:cs="Arial" w:eastAsia="Arial" w:hAnsi="Arial"/>
          <w:sz w:val="18"/>
          <w:szCs w:val="18"/>
          <w:color w:val="auto"/>
        </w:rPr>
        <w:t>4-3 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4-4 Party B pays the rent to Party A’s following account by check or transfer: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[_]</w:t>
      </w:r>
    </w:p>
    <w:p>
      <w:pPr>
        <w:spacing w:after="0" w:line="224" w:lineRule="exact"/>
        <w:rPr>
          <w:sz w:val="20"/>
          <w:szCs w:val="20"/>
          <w:color w:val="auto"/>
        </w:rPr>
      </w:pPr>
    </w:p>
    <w:p>
      <w:pPr>
        <w:jc w:val="both"/>
        <w:ind w:left="320" w:hanging="319"/>
        <w:spacing w:after="0" w:line="258" w:lineRule="auto"/>
        <w:rPr>
          <w:sz w:val="20"/>
          <w:szCs w:val="20"/>
          <w:color w:val="auto"/>
        </w:rPr>
      </w:pPr>
      <w:r>
        <w:rPr>
          <w:rFonts w:ascii="Arial" w:cs="Arial" w:eastAsia="Arial" w:hAnsi="Arial"/>
          <w:sz w:val="18"/>
          <w:szCs w:val="18"/>
          <w:color w:val="auto"/>
        </w:rPr>
        <w:t>4-5 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4-6 Party A may entrust a property management company to assist in collecting the rent.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20" w:lineRule="exact"/>
        <w:rPr>
          <w:sz w:val="20"/>
          <w:szCs w:val="20"/>
          <w:color w:val="auto"/>
        </w:rPr>
      </w:pPr>
    </w:p>
    <w:p>
      <w:pPr>
        <w:jc w:val="both"/>
        <w:ind w:left="320" w:hanging="319"/>
        <w:spacing w:after="0" w:line="271" w:lineRule="auto"/>
        <w:rPr>
          <w:sz w:val="20"/>
          <w:szCs w:val="20"/>
          <w:color w:val="auto"/>
        </w:rPr>
      </w:pPr>
      <w:r>
        <w:rPr>
          <w:rFonts w:ascii="Arial" w:cs="Arial" w:eastAsia="Arial" w:hAnsi="Arial"/>
          <w:sz w:val="17"/>
          <w:szCs w:val="17"/>
          <w:color w:val="auto"/>
        </w:rPr>
        <w:t>5-1 Both Parties agree that Party B shall pay rental deposit to Party A within 5 working days after signing the Contract. The amount of the deposit is equivalent to the rent for the three months (90 days) of the highest unit price within the lease term, which is RMB326,794.00 (US$46,255) yuan.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4" w:name="page195"/>
    <w:bookmarkEnd w:id="194"/>
    <w:p>
      <w:pPr>
        <w:jc w:val="both"/>
        <w:ind w:left="320"/>
        <w:spacing w:after="0" w:line="253" w:lineRule="auto"/>
        <w:rPr>
          <w:sz w:val="20"/>
          <w:szCs w:val="20"/>
          <w:color w:val="auto"/>
        </w:rPr>
      </w:pPr>
      <w:r>
        <w:rPr>
          <w:rFonts w:ascii="Arial" w:cs="Arial" w:eastAsia="Arial" w:hAnsi="Arial"/>
          <w:sz w:val="18"/>
          <w:szCs w:val="18"/>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90" w:lineRule="exact"/>
        <w:rPr>
          <w:sz w:val="20"/>
          <w:szCs w:val="20"/>
          <w:color w:val="auto"/>
        </w:rPr>
      </w:pPr>
    </w:p>
    <w:p>
      <w:pPr>
        <w:jc w:val="both"/>
        <w:ind w:left="320"/>
        <w:spacing w:after="0" w:line="292" w:lineRule="auto"/>
        <w:rPr>
          <w:sz w:val="20"/>
          <w:szCs w:val="20"/>
          <w:color w:val="auto"/>
        </w:rPr>
      </w:pPr>
      <w:r>
        <w:rPr>
          <w:rFonts w:ascii="Arial" w:cs="Arial" w:eastAsia="Arial" w:hAnsi="Arial"/>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62"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5-2 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8" w:lineRule="exact"/>
        <w:rPr>
          <w:sz w:val="20"/>
          <w:szCs w:val="20"/>
          <w:color w:val="auto"/>
        </w:rPr>
      </w:pPr>
    </w:p>
    <w:p>
      <w:pPr>
        <w:jc w:val="both"/>
        <w:ind w:left="320" w:hanging="319"/>
        <w:spacing w:after="0" w:line="252" w:lineRule="auto"/>
        <w:rPr>
          <w:sz w:val="20"/>
          <w:szCs w:val="20"/>
          <w:color w:val="auto"/>
        </w:rPr>
      </w:pPr>
      <w:r>
        <w:rPr>
          <w:rFonts w:ascii="Arial" w:cs="Arial" w:eastAsia="Arial" w:hAnsi="Arial"/>
          <w:sz w:val="18"/>
          <w:szCs w:val="18"/>
          <w:color w:val="auto"/>
        </w:rPr>
        <w:t>5-3 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20" w:lineRule="exact"/>
        <w:rPr>
          <w:sz w:val="20"/>
          <w:szCs w:val="20"/>
          <w:color w:val="auto"/>
        </w:rPr>
      </w:pPr>
    </w:p>
    <w:p>
      <w:pPr>
        <w:jc w:val="both"/>
        <w:ind w:left="320" w:hanging="319"/>
        <w:spacing w:after="0" w:line="252" w:lineRule="auto"/>
        <w:rPr>
          <w:sz w:val="20"/>
          <w:szCs w:val="20"/>
          <w:color w:val="auto"/>
        </w:rPr>
      </w:pPr>
      <w:r>
        <w:rPr>
          <w:rFonts w:ascii="Arial" w:cs="Arial" w:eastAsia="Arial" w:hAnsi="Arial"/>
          <w:sz w:val="18"/>
          <w:szCs w:val="18"/>
          <w:color w:val="auto"/>
        </w:rPr>
        <w:t>6-1 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90" w:lineRule="exact"/>
        <w:rPr>
          <w:sz w:val="20"/>
          <w:szCs w:val="20"/>
          <w:color w:val="auto"/>
        </w:rPr>
      </w:pPr>
    </w:p>
    <w:p>
      <w:pPr>
        <w:jc w:val="both"/>
        <w:ind w:left="320" w:hanging="319"/>
        <w:spacing w:after="0" w:line="292" w:lineRule="auto"/>
        <w:rPr>
          <w:sz w:val="20"/>
          <w:szCs w:val="20"/>
          <w:color w:val="auto"/>
        </w:rPr>
      </w:pPr>
      <w:r>
        <w:rPr>
          <w:rFonts w:ascii="Arial" w:cs="Arial" w:eastAsia="Arial" w:hAnsi="Arial"/>
          <w:sz w:val="16"/>
          <w:szCs w:val="16"/>
          <w:color w:val="auto"/>
        </w:rPr>
        <w:t>6-2 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62" w:lineRule="exact"/>
        <w:rPr>
          <w:sz w:val="20"/>
          <w:szCs w:val="20"/>
          <w:color w:val="auto"/>
        </w:rPr>
      </w:pPr>
    </w:p>
    <w:p>
      <w:pPr>
        <w:jc w:val="both"/>
        <w:ind w:left="320" w:hanging="319"/>
        <w:spacing w:after="0" w:line="296" w:lineRule="auto"/>
        <w:rPr>
          <w:sz w:val="20"/>
          <w:szCs w:val="20"/>
          <w:color w:val="auto"/>
        </w:rPr>
      </w:pPr>
      <w:r>
        <w:rPr>
          <w:rFonts w:ascii="Arial" w:cs="Arial" w:eastAsia="Arial" w:hAnsi="Arial"/>
          <w:sz w:val="16"/>
          <w:szCs w:val="16"/>
          <w:color w:val="auto"/>
        </w:rPr>
        <w:t>6-3 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60" w:lineRule="exact"/>
        <w:rPr>
          <w:sz w:val="20"/>
          <w:szCs w:val="20"/>
          <w:color w:val="auto"/>
        </w:rPr>
      </w:pPr>
    </w:p>
    <w:p>
      <w:pPr>
        <w:jc w:val="both"/>
        <w:ind w:left="320" w:hanging="319"/>
        <w:spacing w:after="0" w:line="300" w:lineRule="auto"/>
        <w:rPr>
          <w:sz w:val="20"/>
          <w:szCs w:val="20"/>
          <w:color w:val="auto"/>
        </w:rPr>
      </w:pPr>
      <w:r>
        <w:rPr>
          <w:rFonts w:ascii="Arial" w:cs="Arial" w:eastAsia="Arial" w:hAnsi="Arial"/>
          <w:sz w:val="17"/>
          <w:szCs w:val="17"/>
          <w:color w:val="auto"/>
        </w:rPr>
        <w:t>6-4 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6" w:name="page197"/>
    <w:bookmarkEnd w:id="196"/>
    <w:p>
      <w:pPr>
        <w:jc w:val="both"/>
        <w:ind w:left="420" w:hanging="413"/>
        <w:spacing w:after="0" w:line="270" w:lineRule="auto"/>
        <w:tabs>
          <w:tab w:leader="none" w:pos="400" w:val="left"/>
        </w:tabs>
        <w:rPr>
          <w:sz w:val="20"/>
          <w:szCs w:val="20"/>
          <w:color w:val="auto"/>
        </w:rPr>
      </w:pPr>
      <w:r>
        <w:rPr>
          <w:rFonts w:ascii="Arial" w:cs="Arial" w:eastAsia="Arial" w:hAnsi="Arial"/>
          <w:sz w:val="18"/>
          <w:szCs w:val="18"/>
          <w:color w:val="auto"/>
        </w:rPr>
        <w:t>6-5</w:t>
        <w:tab/>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20" w:lineRule="exact"/>
        <w:rPr>
          <w:sz w:val="20"/>
          <w:szCs w:val="20"/>
          <w:color w:val="auto"/>
        </w:rPr>
      </w:pPr>
    </w:p>
    <w:p>
      <w:pPr>
        <w:jc w:val="both"/>
        <w:ind w:left="420" w:hanging="413"/>
        <w:spacing w:after="0" w:line="292" w:lineRule="auto"/>
        <w:tabs>
          <w:tab w:leader="none" w:pos="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62" w:lineRule="exact"/>
        <w:rPr>
          <w:sz w:val="20"/>
          <w:szCs w:val="20"/>
          <w:color w:val="auto"/>
        </w:rPr>
      </w:pPr>
    </w:p>
    <w:p>
      <w:pPr>
        <w:jc w:val="both"/>
        <w:ind w:left="420" w:hanging="413"/>
        <w:spacing w:after="0" w:line="253" w:lineRule="auto"/>
        <w:tabs>
          <w:tab w:leader="none" w:pos="400" w:val="left"/>
        </w:tabs>
        <w:rPr>
          <w:sz w:val="20"/>
          <w:szCs w:val="20"/>
          <w:color w:val="auto"/>
        </w:rPr>
      </w:pPr>
      <w:r>
        <w:rPr>
          <w:rFonts w:ascii="Arial" w:cs="Arial" w:eastAsia="Arial" w:hAnsi="Arial"/>
          <w:sz w:val="18"/>
          <w:szCs w:val="18"/>
          <w:color w:val="auto"/>
        </w:rPr>
        <w:t>7-2</w:t>
        <w:tab/>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90" w:lineRule="exact"/>
        <w:rPr>
          <w:sz w:val="20"/>
          <w:szCs w:val="20"/>
          <w:color w:val="auto"/>
        </w:rPr>
      </w:pPr>
    </w:p>
    <w:p>
      <w:pPr>
        <w:jc w:val="both"/>
        <w:ind w:left="420" w:hanging="413"/>
        <w:spacing w:after="0" w:line="253" w:lineRule="auto"/>
        <w:tabs>
          <w:tab w:leader="none" w:pos="400" w:val="left"/>
        </w:tabs>
        <w:rPr>
          <w:sz w:val="20"/>
          <w:szCs w:val="20"/>
          <w:color w:val="auto"/>
        </w:rPr>
      </w:pPr>
      <w:r>
        <w:rPr>
          <w:rFonts w:ascii="Arial" w:cs="Arial" w:eastAsia="Arial" w:hAnsi="Arial"/>
          <w:sz w:val="18"/>
          <w:szCs w:val="18"/>
          <w:color w:val="auto"/>
        </w:rPr>
        <w:t>7-3</w:t>
        <w:tab/>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7" w:name="page198"/>
    <w:bookmarkEnd w:id="197"/>
    <w:p>
      <w:pPr>
        <w:jc w:val="both"/>
        <w:ind w:left="320" w:hanging="319"/>
        <w:spacing w:after="0" w:line="306" w:lineRule="auto"/>
        <w:rPr>
          <w:sz w:val="20"/>
          <w:szCs w:val="20"/>
          <w:color w:val="auto"/>
        </w:rPr>
      </w:pPr>
      <w:r>
        <w:rPr>
          <w:rFonts w:ascii="Arial" w:cs="Arial" w:eastAsia="Arial" w:hAnsi="Arial"/>
          <w:sz w:val="16"/>
          <w:szCs w:val="16"/>
          <w:color w:val="auto"/>
        </w:rPr>
        <w:t>7-4 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50" w:lineRule="exact"/>
        <w:rPr>
          <w:sz w:val="20"/>
          <w:szCs w:val="20"/>
          <w:color w:val="auto"/>
        </w:rPr>
      </w:pPr>
    </w:p>
    <w:p>
      <w:pPr>
        <w:jc w:val="both"/>
        <w:ind w:left="320" w:hanging="319"/>
        <w:spacing w:after="0" w:line="253" w:lineRule="auto"/>
        <w:rPr>
          <w:sz w:val="20"/>
          <w:szCs w:val="20"/>
          <w:color w:val="auto"/>
        </w:rPr>
      </w:pPr>
      <w:r>
        <w:rPr>
          <w:rFonts w:ascii="Arial" w:cs="Arial" w:eastAsia="Arial" w:hAnsi="Arial"/>
          <w:sz w:val="18"/>
          <w:szCs w:val="18"/>
          <w:color w:val="auto"/>
        </w:rPr>
        <w:t>7-5 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20" w:lineRule="exact"/>
        <w:rPr>
          <w:sz w:val="20"/>
          <w:szCs w:val="20"/>
          <w:color w:val="auto"/>
        </w:rPr>
      </w:pPr>
    </w:p>
    <w:p>
      <w:pPr>
        <w:jc w:val="both"/>
        <w:ind w:left="320" w:hanging="319"/>
        <w:spacing w:after="0" w:line="296" w:lineRule="auto"/>
        <w:rPr>
          <w:sz w:val="20"/>
          <w:szCs w:val="20"/>
          <w:color w:val="auto"/>
        </w:rPr>
      </w:pPr>
      <w:r>
        <w:rPr>
          <w:rFonts w:ascii="Arial" w:cs="Arial" w:eastAsia="Arial" w:hAnsi="Arial"/>
          <w:sz w:val="16"/>
          <w:szCs w:val="16"/>
          <w:color w:val="auto"/>
        </w:rPr>
        <w:t>8-1 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60" w:lineRule="exact"/>
        <w:rPr>
          <w:sz w:val="20"/>
          <w:szCs w:val="20"/>
          <w:color w:val="auto"/>
        </w:rPr>
      </w:pPr>
    </w:p>
    <w:p>
      <w:pPr>
        <w:jc w:val="both"/>
        <w:ind w:left="320" w:hanging="319"/>
        <w:spacing w:after="0" w:line="281" w:lineRule="auto"/>
        <w:rPr>
          <w:sz w:val="20"/>
          <w:szCs w:val="20"/>
          <w:color w:val="auto"/>
        </w:rPr>
      </w:pPr>
      <w:r>
        <w:rPr>
          <w:rFonts w:ascii="Arial" w:cs="Arial" w:eastAsia="Arial" w:hAnsi="Arial"/>
          <w:sz w:val="17"/>
          <w:szCs w:val="17"/>
          <w:color w:val="auto"/>
        </w:rPr>
        <w:t>8-2 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9. Sublet, Mix, Transfer and Exchange</w:t>
      </w:r>
    </w:p>
    <w:p>
      <w:pPr>
        <w:spacing w:after="0" w:line="220" w:lineRule="exact"/>
        <w:rPr>
          <w:sz w:val="20"/>
          <w:szCs w:val="20"/>
          <w:color w:val="auto"/>
        </w:rPr>
      </w:pPr>
    </w:p>
    <w:p>
      <w:pPr>
        <w:jc w:val="both"/>
        <w:ind w:left="320" w:hanging="319"/>
        <w:spacing w:after="0" w:line="258" w:lineRule="auto"/>
        <w:rPr>
          <w:sz w:val="20"/>
          <w:szCs w:val="20"/>
          <w:color w:val="auto"/>
        </w:rPr>
      </w:pPr>
      <w:r>
        <w:rPr>
          <w:rFonts w:ascii="Arial" w:cs="Arial" w:eastAsia="Arial" w:hAnsi="Arial"/>
          <w:sz w:val="18"/>
          <w:szCs w:val="18"/>
          <w:color w:val="auto"/>
        </w:rPr>
        <w:t>9-1 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86" w:lineRule="exact"/>
        <w:rPr>
          <w:sz w:val="20"/>
          <w:szCs w:val="20"/>
          <w:color w:val="auto"/>
        </w:rPr>
      </w:pPr>
    </w:p>
    <w:p>
      <w:pPr>
        <w:jc w:val="both"/>
        <w:ind w:left="320" w:hanging="319"/>
        <w:spacing w:after="0" w:line="281" w:lineRule="auto"/>
        <w:rPr>
          <w:sz w:val="20"/>
          <w:szCs w:val="20"/>
          <w:color w:val="auto"/>
        </w:rPr>
      </w:pPr>
      <w:r>
        <w:rPr>
          <w:rFonts w:ascii="Arial" w:cs="Arial" w:eastAsia="Arial" w:hAnsi="Arial"/>
          <w:sz w:val="17"/>
          <w:szCs w:val="17"/>
          <w:color w:val="auto"/>
        </w:rPr>
        <w:t>9-2 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10. Priority Renewal Rights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10- If the lease of the Contract expires and Party B needs to continue leasing the House, Party B shall submit a written request for renewal to Party A at least</w:t>
      </w:r>
    </w:p>
    <w:p>
      <w:pPr>
        <w:spacing w:after="0" w:line="42" w:lineRule="exact"/>
        <w:rPr>
          <w:sz w:val="20"/>
          <w:szCs w:val="20"/>
          <w:color w:val="auto"/>
        </w:rPr>
      </w:pPr>
    </w:p>
    <w:p>
      <w:pPr>
        <w:jc w:val="both"/>
        <w:ind w:left="320" w:hanging="313"/>
        <w:spacing w:after="0" w:line="250" w:lineRule="auto"/>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10- After Party A agrees with Party B’s renewal and renewal conditions, both parties shall conclude a rental contract for the renewal of the House 3 months</w:t>
      </w:r>
    </w:p>
    <w:p>
      <w:pPr>
        <w:spacing w:after="0" w:line="42" w:lineRule="exact"/>
        <w:rPr>
          <w:sz w:val="20"/>
          <w:szCs w:val="20"/>
          <w:color w:val="auto"/>
        </w:rPr>
      </w:pPr>
    </w:p>
    <w:p>
      <w:pPr>
        <w:ind w:left="320" w:hanging="313"/>
        <w:spacing w:after="0" w:line="255" w:lineRule="auto"/>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before the expiry date of the Contract. If Party B fails to sign the renewal contract with Party A overdue, it shall be deemed that Party B renounces the priority of renewal. The renewal rent is determined according to the renewal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11-1Party B shall return the House to Party A no later than the expiry date of the lease or the date on which the Contract is terminated prematurely.</w:t>
      </w:r>
    </w:p>
    <w:p>
      <w:pPr>
        <w:spacing w:after="0" w:line="231" w:lineRule="exact"/>
        <w:rPr>
          <w:sz w:val="20"/>
          <w:szCs w:val="20"/>
          <w:color w:val="auto"/>
        </w:rPr>
      </w:pPr>
    </w:p>
    <w:p>
      <w:pPr>
        <w:jc w:val="both"/>
        <w:ind w:left="320" w:hanging="319"/>
        <w:spacing w:after="0" w:line="255" w:lineRule="auto"/>
        <w:rPr>
          <w:sz w:val="20"/>
          <w:szCs w:val="20"/>
          <w:color w:val="auto"/>
        </w:rPr>
      </w:pPr>
      <w:r>
        <w:rPr>
          <w:rFonts w:ascii="Arial" w:cs="Arial" w:eastAsia="Arial" w:hAnsi="Arial"/>
          <w:sz w:val="18"/>
          <w:szCs w:val="18"/>
          <w:color w:val="auto"/>
        </w:rPr>
        <w:t>11-2Before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9" w:name="page200"/>
    <w:bookmarkEnd w:id="199"/>
    <w:p>
      <w:pPr>
        <w:jc w:val="both"/>
        <w:ind w:left="420" w:hanging="413"/>
        <w:spacing w:after="0" w:line="252" w:lineRule="auto"/>
        <w:rPr>
          <w:sz w:val="20"/>
          <w:szCs w:val="20"/>
          <w:color w:val="auto"/>
        </w:rPr>
      </w:pPr>
      <w:r>
        <w:rPr>
          <w:rFonts w:ascii="Arial" w:cs="Arial" w:eastAsia="Arial" w:hAnsi="Arial"/>
          <w:sz w:val="18"/>
          <w:szCs w:val="18"/>
          <w:color w:val="auto"/>
        </w:rPr>
        <w:t>11-3 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90" w:lineRule="exact"/>
        <w:rPr>
          <w:sz w:val="20"/>
          <w:szCs w:val="20"/>
          <w:color w:val="auto"/>
        </w:rPr>
      </w:pPr>
    </w:p>
    <w:p>
      <w:pPr>
        <w:jc w:val="both"/>
        <w:ind w:left="420" w:hanging="413"/>
        <w:spacing w:after="0" w:line="267" w:lineRule="auto"/>
        <w:rPr>
          <w:sz w:val="20"/>
          <w:szCs w:val="20"/>
          <w:color w:val="auto"/>
        </w:rPr>
      </w:pPr>
      <w:r>
        <w:rPr>
          <w:rFonts w:ascii="Arial" w:cs="Arial" w:eastAsia="Arial" w:hAnsi="Arial"/>
          <w:sz w:val="17"/>
          <w:szCs w:val="17"/>
          <w:color w:val="auto"/>
        </w:rPr>
        <w:t>11-4 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20" w:lineRule="exact"/>
        <w:rPr>
          <w:sz w:val="20"/>
          <w:szCs w:val="20"/>
          <w:color w:val="auto"/>
        </w:rPr>
      </w:pPr>
    </w:p>
    <w:p>
      <w:pPr>
        <w:jc w:val="both"/>
        <w:ind w:left="420" w:hanging="413"/>
        <w:spacing w:after="0" w:line="258" w:lineRule="auto"/>
        <w:rPr>
          <w:sz w:val="20"/>
          <w:szCs w:val="20"/>
          <w:color w:val="auto"/>
        </w:rPr>
      </w:pPr>
      <w:r>
        <w:rPr>
          <w:rFonts w:ascii="Arial" w:cs="Arial" w:eastAsia="Arial" w:hAnsi="Arial"/>
          <w:sz w:val="18"/>
          <w:szCs w:val="18"/>
          <w:color w:val="auto"/>
        </w:rPr>
        <w:t>12-1 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Any loss or damage due to expropriation, acquisition, confiscation, nationalization or any force majeure caused by state or government agencies;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0" w:name="page201"/>
    <w:bookmarkEnd w:id="200"/>
    <w:p>
      <w:pPr>
        <w:ind w:left="640" w:hanging="313"/>
        <w:spacing w:after="0"/>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19" w:lineRule="exact"/>
        <w:rPr>
          <w:rFonts w:ascii="Arial" w:cs="Arial" w:eastAsia="Arial" w:hAnsi="Arial"/>
          <w:sz w:val="18"/>
          <w:szCs w:val="18"/>
          <w:color w:val="auto"/>
        </w:rPr>
      </w:pPr>
    </w:p>
    <w:p>
      <w:pPr>
        <w:ind w:left="640" w:hanging="313"/>
        <w:spacing w:after="0" w:line="333" w:lineRule="auto"/>
        <w:tabs>
          <w:tab w:leader="none" w:pos="64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29" w:lineRule="exact"/>
        <w:rPr>
          <w:rFonts w:ascii="Arial" w:cs="Arial" w:eastAsia="Arial" w:hAnsi="Arial"/>
          <w:sz w:val="16"/>
          <w:szCs w:val="16"/>
          <w:color w:val="auto"/>
        </w:rPr>
      </w:pPr>
    </w:p>
    <w:p>
      <w:pPr>
        <w:ind w:left="640" w:hanging="313"/>
        <w:spacing w:after="0"/>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74" w:lineRule="exact"/>
        <w:rPr>
          <w:rFonts w:ascii="Arial" w:cs="Arial" w:eastAsia="Arial" w:hAnsi="Arial"/>
          <w:sz w:val="18"/>
          <w:szCs w:val="18"/>
          <w:color w:val="auto"/>
        </w:rPr>
      </w:pPr>
    </w:p>
    <w:p>
      <w:pPr>
        <w:ind w:left="280" w:hanging="273"/>
        <w:spacing w:after="0"/>
        <w:tabs>
          <w:tab w:leader="none" w:pos="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13-1 Party A’s default</w:t>
      </w:r>
    </w:p>
    <w:p>
      <w:pPr>
        <w:spacing w:after="0" w:line="220" w:lineRule="exact"/>
        <w:rPr>
          <w:sz w:val="20"/>
          <w:szCs w:val="20"/>
          <w:color w:val="auto"/>
        </w:rPr>
      </w:pPr>
    </w:p>
    <w:p>
      <w:pPr>
        <w:ind w:left="640" w:hanging="313"/>
        <w:spacing w:after="0" w:line="270"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74"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86" w:lineRule="exact"/>
        <w:rPr>
          <w:rFonts w:ascii="Arial" w:cs="Arial" w:eastAsia="Arial" w:hAnsi="Arial"/>
          <w:sz w:val="18"/>
          <w:szCs w:val="18"/>
          <w:color w:val="auto"/>
        </w:rPr>
      </w:pPr>
    </w:p>
    <w:p>
      <w:pPr>
        <w:jc w:val="both"/>
        <w:ind w:left="640" w:hanging="313"/>
        <w:spacing w:after="0" w:line="292" w:lineRule="auto"/>
        <w:tabs>
          <w:tab w:leader="none" w:pos="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13- Party B’s default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7" w:lineRule="exact"/>
        <w:rPr>
          <w:sz w:val="20"/>
          <w:szCs w:val="20"/>
          <w:color w:val="auto"/>
        </w:rPr>
      </w:pPr>
    </w:p>
    <w:p>
      <w:pPr>
        <w:jc w:val="both"/>
        <w:ind w:left="640" w:hanging="313"/>
        <w:spacing w:after="0" w:line="306" w:lineRule="auto"/>
        <w:tabs>
          <w:tab w:leader="none" w:pos="6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50" w:lineRule="exact"/>
        <w:rPr>
          <w:rFonts w:ascii="Arial" w:cs="Arial" w:eastAsia="Arial" w:hAnsi="Arial"/>
          <w:sz w:val="16"/>
          <w:szCs w:val="16"/>
          <w:color w:val="auto"/>
        </w:rPr>
      </w:pPr>
    </w:p>
    <w:p>
      <w:pPr>
        <w:jc w:val="both"/>
        <w:ind w:left="640" w:hanging="313"/>
        <w:spacing w:after="0" w:line="306" w:lineRule="auto"/>
        <w:tabs>
          <w:tab w:leader="none" w:pos="6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50" w:lineRule="exact"/>
        <w:rPr>
          <w:rFonts w:ascii="Arial" w:cs="Arial" w:eastAsia="Arial" w:hAnsi="Arial"/>
          <w:sz w:val="16"/>
          <w:szCs w:val="16"/>
          <w:color w:val="auto"/>
        </w:rPr>
      </w:pPr>
    </w:p>
    <w:p>
      <w:pPr>
        <w:ind w:left="640" w:hanging="313"/>
        <w:spacing w:after="0" w:line="300"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51" w:lineRule="exact"/>
        <w:rPr>
          <w:rFonts w:ascii="Arial" w:cs="Arial" w:eastAsia="Arial" w:hAnsi="Arial"/>
          <w:sz w:val="17"/>
          <w:szCs w:val="17"/>
          <w:color w:val="auto"/>
        </w:rPr>
      </w:pPr>
    </w:p>
    <w:p>
      <w:pPr>
        <w:jc w:val="both"/>
        <w:ind w:left="640" w:hanging="313"/>
        <w:spacing w:after="0" w:line="253" w:lineRule="auto"/>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Retirement refers to the behavior that Party B decides to terminate the lease relationship early for its own reasons, limited to a written statement.</w:t>
      </w:r>
    </w:p>
    <w:p>
      <w:pPr>
        <w:spacing w:after="0" w:line="231" w:lineRule="exact"/>
        <w:rPr>
          <w:sz w:val="20"/>
          <w:szCs w:val="20"/>
          <w:color w:val="auto"/>
        </w:rPr>
      </w:pPr>
    </w:p>
    <w:p>
      <w:pPr>
        <w:jc w:val="both"/>
        <w:ind w:left="640" w:hanging="313"/>
        <w:spacing w:after="0" w:line="258"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86" w:lineRule="exact"/>
        <w:rPr>
          <w:rFonts w:ascii="Arial" w:cs="Arial" w:eastAsia="Arial" w:hAnsi="Arial"/>
          <w:sz w:val="18"/>
          <w:szCs w:val="18"/>
          <w:color w:val="auto"/>
        </w:rPr>
      </w:pPr>
    </w:p>
    <w:p>
      <w:pPr>
        <w:ind w:left="640" w:hanging="313"/>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Party A has right to request Party B to compensate Party A for the losses suffered thereby, if Party B takes the following actions:</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960" w:hanging="313"/>
        <w:spacing w:after="0"/>
        <w:tabs>
          <w:tab w:leader="none" w:pos="9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2" w:name="page203"/>
    <w:bookmarkEnd w:id="202"/>
    <w:p>
      <w:pPr>
        <w:ind w:left="960" w:hanging="313"/>
        <w:spacing w:after="0"/>
        <w:tabs>
          <w:tab w:leader="none" w:pos="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19" w:lineRule="exact"/>
        <w:rPr>
          <w:rFonts w:ascii="Arial" w:cs="Arial" w:eastAsia="Arial" w:hAnsi="Arial"/>
          <w:sz w:val="18"/>
          <w:szCs w:val="18"/>
          <w:color w:val="auto"/>
        </w:rPr>
      </w:pPr>
    </w:p>
    <w:p>
      <w:pPr>
        <w:jc w:val="both"/>
        <w:ind w:left="960" w:hanging="313"/>
        <w:spacing w:after="0" w:line="258" w:lineRule="auto"/>
        <w:tabs>
          <w:tab w:leader="none" w:pos="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6" w:lineRule="exact"/>
        <w:rPr>
          <w:rFonts w:ascii="Arial" w:cs="Arial" w:eastAsia="Arial" w:hAnsi="Arial"/>
          <w:sz w:val="18"/>
          <w:szCs w:val="18"/>
          <w:color w:val="auto"/>
        </w:rPr>
      </w:pPr>
    </w:p>
    <w:p>
      <w:pPr>
        <w:ind w:left="280" w:hanging="273"/>
        <w:spacing w:after="0"/>
        <w:tabs>
          <w:tab w:leader="none" w:pos="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14- If either the Property or any part of the Building is destroyed or is not suitable for research and development and office during the lease period due to</w:t>
      </w:r>
    </w:p>
    <w:p>
      <w:pPr>
        <w:spacing w:after="0" w:line="42" w:lineRule="exact"/>
        <w:rPr>
          <w:sz w:val="20"/>
          <w:szCs w:val="20"/>
          <w:color w:val="auto"/>
        </w:rPr>
      </w:pPr>
    </w:p>
    <w:p>
      <w:pPr>
        <w:jc w:val="both"/>
        <w:ind w:left="320" w:hanging="313"/>
        <w:spacing w:after="0" w:line="267" w:lineRule="auto"/>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14- The above “force majeure” means any unforeseen event beyond the reasonable control of one party and which is unavoidable despite reasonable care is</w:t>
      </w:r>
    </w:p>
    <w:p>
      <w:pPr>
        <w:spacing w:after="0" w:line="42" w:lineRule="exact"/>
        <w:rPr>
          <w:sz w:val="20"/>
          <w:szCs w:val="20"/>
          <w:color w:val="auto"/>
        </w:rPr>
      </w:pPr>
    </w:p>
    <w:p>
      <w:pPr>
        <w:ind w:left="320" w:right="20" w:hanging="313"/>
        <w:spacing w:after="0" w:line="255" w:lineRule="auto"/>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given by the party, including but not limited to, earthquake, typhoon, plague, flood, fire, storms, tidal waves or other natural disasters, declared or undeclared war, riots and so 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15- Both Parties agree that one party may be written notice to the other party to terminate the Contract under the following situations, and the party</w:t>
      </w:r>
    </w:p>
    <w:p>
      <w:pPr>
        <w:spacing w:after="0" w:line="31" w:lineRule="exact"/>
        <w:rPr>
          <w:sz w:val="20"/>
          <w:szCs w:val="20"/>
          <w:color w:val="auto"/>
        </w:rPr>
      </w:pPr>
    </w:p>
    <w:p>
      <w:pPr>
        <w:ind w:left="320" w:hanging="313"/>
        <w:spacing w:after="0" w:line="316" w:lineRule="auto"/>
        <w:tabs>
          <w:tab w:leader="none" w:pos="3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3" w:name="page204"/>
    <w:bookmarkEnd w:id="203"/>
    <w:p>
      <w:pPr>
        <w:ind w:left="960" w:hanging="313"/>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A fails to deliver the House on time and still cannot deliver the House 30 days after the written notice from Party 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60" w:hanging="313"/>
        <w:spacing w:after="0" w:line="236" w:lineRule="exact"/>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02" w:lineRule="exact"/>
        <w:rPr>
          <w:rFonts w:ascii="Arial" w:cs="Arial" w:eastAsia="Arial" w:hAnsi="Arial"/>
          <w:sz w:val="18"/>
          <w:szCs w:val="18"/>
          <w:color w:val="auto"/>
        </w:rPr>
      </w:pPr>
    </w:p>
    <w:p>
      <w:pPr>
        <w:ind w:left="960" w:hanging="313"/>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74" w:lineRule="exact"/>
        <w:rPr>
          <w:rFonts w:ascii="Arial" w:cs="Arial" w:eastAsia="Arial" w:hAnsi="Arial"/>
          <w:sz w:val="18"/>
          <w:szCs w:val="18"/>
          <w:color w:val="auto"/>
        </w:rPr>
      </w:pPr>
    </w:p>
    <w:p>
      <w:pPr>
        <w:ind w:left="960" w:hanging="313"/>
        <w:spacing w:after="0" w:line="333" w:lineRule="auto"/>
        <w:tabs>
          <w:tab w:leader="none" w:pos="9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29" w:lineRule="exact"/>
        <w:rPr>
          <w:rFonts w:ascii="Arial" w:cs="Arial" w:eastAsia="Arial" w:hAnsi="Arial"/>
          <w:sz w:val="16"/>
          <w:szCs w:val="16"/>
          <w:color w:val="auto"/>
        </w:rPr>
      </w:pPr>
    </w:p>
    <w:p>
      <w:pPr>
        <w:ind w:left="960" w:hanging="313"/>
        <w:spacing w:after="0" w:line="270"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15- Due to the breach of item (8) of the preceding paragraph, the Party A has the right to retain all the articles in the House until Party B pays all the money</w:t>
      </w:r>
    </w:p>
    <w:p>
      <w:pPr>
        <w:spacing w:after="0" w:line="42" w:lineRule="exact"/>
        <w:rPr>
          <w:sz w:val="20"/>
          <w:szCs w:val="20"/>
          <w:color w:val="auto"/>
        </w:rPr>
      </w:pPr>
    </w:p>
    <w:p>
      <w:pPr>
        <w:ind w:left="320" w:hanging="313"/>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(including the liquidated damages) to Party 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15- Both Parties agree that the Contract is terminated under the following situations, and neither of them should be responsible for the termination.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7" w:lineRule="exact"/>
        <w:rPr>
          <w:sz w:val="20"/>
          <w:szCs w:val="20"/>
          <w:color w:val="auto"/>
        </w:rPr>
      </w:pPr>
    </w:p>
    <w:p>
      <w:pPr>
        <w:ind w:left="640" w:hanging="313"/>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16. Statements and Guarantees</w:t>
      </w:r>
    </w:p>
    <w:p>
      <w:pPr>
        <w:spacing w:after="0" w:line="220" w:lineRule="exact"/>
        <w:rPr>
          <w:sz w:val="20"/>
          <w:szCs w:val="20"/>
          <w:color w:val="auto"/>
        </w:rPr>
      </w:pPr>
    </w:p>
    <w:p>
      <w:pPr>
        <w:ind w:left="320" w:hanging="313"/>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19" w:lineRule="exact"/>
        <w:rPr>
          <w:rFonts w:ascii="Arial" w:cs="Arial" w:eastAsia="Arial" w:hAnsi="Arial"/>
          <w:sz w:val="18"/>
          <w:szCs w:val="18"/>
          <w:color w:val="auto"/>
        </w:rPr>
      </w:pPr>
    </w:p>
    <w:p>
      <w:pPr>
        <w:ind w:left="640" w:hanging="313"/>
        <w:spacing w:after="0" w:line="300" w:lineRule="auto"/>
        <w:tabs>
          <w:tab w:leader="none" w:pos="6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51"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17. Safe Production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17- Party B shall strictly comply with the safety management code of the park including the Notice on Enterprise Safety Management in Shanghai Pudong</w:t>
      </w:r>
    </w:p>
    <w:p>
      <w:pPr>
        <w:spacing w:after="0" w:line="39" w:lineRule="exact"/>
        <w:rPr>
          <w:sz w:val="20"/>
          <w:szCs w:val="20"/>
          <w:color w:val="auto"/>
        </w:rPr>
      </w:pPr>
    </w:p>
    <w:p>
      <w:pPr>
        <w:jc w:val="both"/>
        <w:ind w:left="320" w:hanging="313"/>
        <w:spacing w:after="0" w:line="214" w:lineRule="exact"/>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Software Park (see Annex </w:t>
      </w:r>
      <w:r>
        <w:rPr>
          <w:rFonts w:ascii="MS PGothic" w:cs="MS PGothic" w:eastAsia="MS PGothic" w:hAnsi="MS PGothic"/>
          <w:sz w:val="18"/>
          <w:szCs w:val="18"/>
          <w:color w:val="auto"/>
        </w:rPr>
        <w:t>Ⅲ</w:t>
      </w:r>
      <w:r>
        <w:rPr>
          <w:rFonts w:ascii="Arial" w:cs="Arial" w:eastAsia="Arial" w:hAnsi="Arial"/>
          <w:sz w:val="18"/>
          <w:szCs w:val="18"/>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17- During the rental term of the Contract, Party A shall have the right to recourse to Party B and terminate the Contract if Party B produces safety accident</w:t>
      </w:r>
    </w:p>
    <w:p>
      <w:pPr>
        <w:spacing w:after="0" w:line="42" w:lineRule="exact"/>
        <w:rPr>
          <w:sz w:val="20"/>
          <w:szCs w:val="20"/>
          <w:color w:val="auto"/>
        </w:rPr>
      </w:pPr>
    </w:p>
    <w:p>
      <w:pPr>
        <w:ind w:left="320" w:hanging="313"/>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area of Shanghai Pudong Software Park. If the safety accidents cause loss of Party A, Party B should compensate Party 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17- Party B’s safety records shall be used as a reference for Party B’s priority rights such as renewal and extension of lease (if 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18- The Contract takes effect immediately after both parties have signed and sealed the contract.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18- The unaccomplished matters of the Contract may be concluded by the supplementary agreements or terms between Party A and Party B. The</w:t>
      </w:r>
    </w:p>
    <w:p>
      <w:pPr>
        <w:spacing w:after="0" w:line="31" w:lineRule="exact"/>
        <w:rPr>
          <w:sz w:val="20"/>
          <w:szCs w:val="20"/>
          <w:color w:val="auto"/>
        </w:rPr>
      </w:pPr>
    </w:p>
    <w:p>
      <w:pPr>
        <w:ind w:left="320" w:hanging="313"/>
        <w:spacing w:after="0" w:line="255" w:lineRule="auto"/>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18- When both parties sign the Contract, they shall clearly understand their respective rights, obligations and responsibilities and are willing to fulfill their</w:t>
      </w:r>
    </w:p>
    <w:p>
      <w:pPr>
        <w:spacing w:after="0" w:line="42" w:lineRule="exact"/>
        <w:rPr>
          <w:sz w:val="20"/>
          <w:szCs w:val="20"/>
          <w:color w:val="auto"/>
        </w:rPr>
      </w:pPr>
    </w:p>
    <w:p>
      <w:pPr>
        <w:ind w:left="320" w:hanging="313"/>
        <w:spacing w:after="0"/>
        <w:tabs>
          <w:tab w:leader="none" w:pos="3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obligations strictly according to the Contract. If one party violates the Contract, the other party is entitled to claim according to the Contract.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18- Party A and Party B shall settle their disputes through negotiation during the performance of the Contract. If they fail to reach a consensus through</w:t>
      </w:r>
    </w:p>
    <w:p>
      <w:pPr>
        <w:spacing w:after="0" w:line="42" w:lineRule="exact"/>
        <w:rPr>
          <w:sz w:val="20"/>
          <w:szCs w:val="20"/>
          <w:color w:val="auto"/>
        </w:rPr>
      </w:pPr>
    </w:p>
    <w:p>
      <w:pPr>
        <w:ind w:left="320" w:hanging="313"/>
        <w:spacing w:after="0"/>
        <w:tabs>
          <w:tab w:leader="none" w:pos="3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negotiation, both parties agree to choose the following method (2) to settle in accordance with the laws of the People’s Republic of China:</w:t>
      </w:r>
    </w:p>
    <w:p>
      <w:pPr>
        <w:spacing w:after="0" w:line="218" w:lineRule="exact"/>
        <w:rPr>
          <w:rFonts w:ascii="Arial" w:cs="Arial" w:eastAsia="Arial" w:hAnsi="Arial"/>
          <w:sz w:val="17"/>
          <w:szCs w:val="17"/>
          <w:color w:val="auto"/>
        </w:rPr>
      </w:pPr>
    </w:p>
    <w:p>
      <w:pPr>
        <w:ind w:left="640" w:hanging="313"/>
        <w:spacing w:after="0"/>
        <w:tabs>
          <w:tab w:leader="none" w:pos="6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18- The Contract has four copies with the Annex, and Party A, Party B, the business department, the tax department each hold a copy. All of them have the</w:t>
      </w:r>
    </w:p>
    <w:p>
      <w:pPr>
        <w:spacing w:after="0" w:line="42" w:lineRule="exact"/>
        <w:rPr>
          <w:sz w:val="20"/>
          <w:szCs w:val="20"/>
          <w:color w:val="auto"/>
        </w:rPr>
      </w:pPr>
    </w:p>
    <w:p>
      <w:pPr>
        <w:ind w:left="320" w:hanging="313"/>
        <w:spacing w:after="0"/>
        <w:tabs>
          <w:tab w:leader="none" w:pos="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same effect.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18- All fees and taxes related to the registration of the Contract (including but not limited to stamp duty) should be borne by both parties in accordance with</w:t>
      </w:r>
    </w:p>
    <w:p>
      <w:pPr>
        <w:spacing w:after="0" w:line="42" w:lineRule="exact"/>
        <w:rPr>
          <w:sz w:val="20"/>
          <w:szCs w:val="20"/>
          <w:color w:val="auto"/>
        </w:rPr>
      </w:pPr>
    </w:p>
    <w:p>
      <w:pPr>
        <w:ind w:left="320" w:hanging="313"/>
        <w:spacing w:after="0"/>
        <w:tabs>
          <w:tab w:leader="none" w:pos="3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regulations of the People’s Republic of China and Shanghai.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18- Party B is obliged to cooperate with Party A to complete all forms of non-profitable research activities for the purpose of industry research, including but</w:t>
      </w:r>
    </w:p>
    <w:p>
      <w:pPr>
        <w:spacing w:after="0" w:line="42" w:lineRule="exact"/>
        <w:rPr>
          <w:sz w:val="20"/>
          <w:szCs w:val="20"/>
          <w:color w:val="auto"/>
        </w:rPr>
      </w:pPr>
    </w:p>
    <w:p>
      <w:pPr>
        <w:jc w:val="both"/>
        <w:ind w:left="320" w:hanging="313"/>
        <w:spacing w:after="0" w:line="251" w:lineRule="auto"/>
        <w:tabs>
          <w:tab w:leader="none" w:pos="3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color w:val="auto"/>
        </w:rPr>
        <w:t>Annex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Plan of the House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color w:val="auto"/>
        </w:rPr>
        <w:t>Annex II</w:t>
      </w:r>
    </w:p>
    <w:p>
      <w:pPr>
        <w:spacing w:after="0" w:line="22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12700</wp:posOffset>
            </wp:positionV>
            <wp:extent cx="713422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60" w:top="899" w:right="37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color w:val="auto"/>
        </w:rPr>
        <w:t>Annex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67" w:lineRule="exact"/>
        <w:rPr>
          <w:sz w:val="20"/>
          <w:szCs w:val="20"/>
          <w:color w:val="auto"/>
        </w:rPr>
      </w:pPr>
    </w:p>
    <w:p>
      <w:pPr>
        <w:ind w:left="320" w:hanging="313"/>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19" w:lineRule="exact"/>
        <w:rPr>
          <w:rFonts w:ascii="Arial" w:cs="Arial" w:eastAsia="Arial" w:hAnsi="Arial"/>
          <w:sz w:val="18"/>
          <w:szCs w:val="18"/>
          <w:color w:val="auto"/>
        </w:rPr>
      </w:pPr>
    </w:p>
    <w:p>
      <w:pPr>
        <w:ind w:left="320"/>
        <w:spacing w:after="0" w:line="270"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74" w:lineRule="exact"/>
        <w:rPr>
          <w:rFonts w:ascii="Arial" w:cs="Arial" w:eastAsia="Arial" w:hAnsi="Arial"/>
          <w:sz w:val="18"/>
          <w:szCs w:val="18"/>
          <w:color w:val="auto"/>
        </w:rPr>
      </w:pPr>
    </w:p>
    <w:p>
      <w:pPr>
        <w:jc w:val="both"/>
        <w:ind w:left="640" w:hanging="313"/>
        <w:spacing w:after="0" w:line="306" w:lineRule="auto"/>
        <w:tabs>
          <w:tab w:leader="none" w:pos="6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50" w:lineRule="exact"/>
        <w:rPr>
          <w:rFonts w:ascii="Arial" w:cs="Arial" w:eastAsia="Arial" w:hAnsi="Arial"/>
          <w:sz w:val="16"/>
          <w:szCs w:val="16"/>
          <w:color w:val="auto"/>
        </w:rPr>
      </w:pPr>
    </w:p>
    <w:p>
      <w:pPr>
        <w:ind w:left="640" w:hanging="313"/>
        <w:spacing w:after="0" w:line="270" w:lineRule="auto"/>
        <w:tabs>
          <w:tab w:leader="none" w:pos="6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74"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19"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86" w:lineRule="exact"/>
        <w:rPr>
          <w:rFonts w:ascii="Arial" w:cs="Arial" w:eastAsia="Arial" w:hAnsi="Arial"/>
          <w:sz w:val="18"/>
          <w:szCs w:val="18"/>
          <w:color w:val="auto"/>
        </w:rPr>
      </w:pPr>
    </w:p>
    <w:p>
      <w:pPr>
        <w:ind w:left="640" w:hanging="313"/>
        <w:spacing w:after="0" w:line="333" w:lineRule="auto"/>
        <w:tabs>
          <w:tab w:leader="none" w:pos="6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29" w:lineRule="exact"/>
        <w:rPr>
          <w:rFonts w:ascii="Arial" w:cs="Arial" w:eastAsia="Arial" w:hAnsi="Arial"/>
          <w:sz w:val="16"/>
          <w:szCs w:val="16"/>
          <w:color w:val="auto"/>
        </w:rPr>
      </w:pPr>
    </w:p>
    <w:p>
      <w:pPr>
        <w:jc w:val="both"/>
        <w:ind w:left="640" w:hanging="313"/>
        <w:spacing w:after="0" w:line="258" w:lineRule="auto"/>
        <w:tabs>
          <w:tab w:leader="none" w:pos="6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9" w:name="page210"/>
    <w:bookmarkEnd w:id="209"/>
    <w:p>
      <w:pPr>
        <w:ind w:left="640" w:hanging="313"/>
        <w:spacing w:after="0"/>
        <w:tabs>
          <w:tab w:leader="none" w:pos="6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19" w:lineRule="exact"/>
        <w:rPr>
          <w:rFonts w:ascii="Arial" w:cs="Arial" w:eastAsia="Arial" w:hAnsi="Arial"/>
          <w:sz w:val="18"/>
          <w:szCs w:val="18"/>
          <w:color w:val="auto"/>
        </w:rPr>
      </w:pPr>
    </w:p>
    <w:p>
      <w:pPr>
        <w:ind w:left="640" w:right="20" w:hanging="313"/>
        <w:spacing w:after="0" w:line="270" w:lineRule="auto"/>
        <w:tabs>
          <w:tab w:leader="none" w:pos="6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0" w:name="page211"/>
    <w:bookmarkEnd w:id="210"/>
    <w:p>
      <w:pPr>
        <w:ind w:left="8920"/>
        <w:spacing w:after="0"/>
        <w:rPr>
          <w:sz w:val="20"/>
          <w:szCs w:val="20"/>
          <w:color w:val="auto"/>
        </w:rPr>
      </w:pPr>
      <w:r>
        <w:rPr>
          <w:rFonts w:ascii="Arial" w:cs="Arial" w:eastAsia="Arial" w:hAnsi="Arial"/>
          <w:sz w:val="19"/>
          <w:szCs w:val="19"/>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184150</wp:posOffset>
            </wp:positionV>
            <wp:extent cx="7134225" cy="893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9510395</wp:posOffset>
            </wp:positionV>
            <wp:extent cx="713422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9300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34225" cy="893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10.17</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Z1912LN15693732</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Current Fund Loan Contract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(Applicable to 531)</w:t>
      </w:r>
    </w:p>
    <w:p>
      <w:pPr>
        <w:spacing w:after="0" w:line="20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422275</wp:posOffset>
            </wp:positionV>
            <wp:extent cx="713422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Z1912LN15693732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Fund Loan Contract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Important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8630" cy="559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4278630" cy="559435"/>
                    </a:xfrm>
                    <a:prstGeom prst="rect">
                      <a:avLst/>
                    </a:prstGeom>
                    <a:noFill/>
                  </pic:spPr>
                </pic:pic>
              </a:graphicData>
            </a:graphic>
          </wp:anchor>
        </w:drawing>
      </w:r>
    </w:p>
    <w:p>
      <w:pPr>
        <w:spacing w:after="0" w:line="200" w:lineRule="exact"/>
        <w:rPr>
          <w:sz w:val="20"/>
          <w:szCs w:val="20"/>
          <w:color w:val="auto"/>
        </w:rPr>
      </w:pPr>
    </w:p>
    <w:p>
      <w:pPr>
        <w:ind w:left="2360" w:right="2360"/>
        <w:spacing w:after="0" w:line="270" w:lineRule="auto"/>
        <w:rPr>
          <w:sz w:val="20"/>
          <w:szCs w:val="20"/>
          <w:color w:val="auto"/>
        </w:rPr>
      </w:pPr>
      <w:r>
        <w:rPr>
          <w:rFonts w:ascii="Arial" w:cs="Arial" w:eastAsia="Arial" w:hAnsi="Arial"/>
          <w:sz w:val="18"/>
          <w:szCs w:val="18"/>
          <w:color w:val="auto"/>
        </w:rPr>
        <w:t>Please read the full text of this contract carefully, especially those articles marked with ▲▲. Please inquire the loaner in case of any question.</w:t>
      </w:r>
    </w:p>
    <w:p>
      <w:pPr>
        <w:spacing w:after="0" w:line="188"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Whereas, the borrower applies to the loaner for the line of credit of current fund, both parties hereby enter into this contract through negotiations to clarify the obligations of each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w:t>
      </w:r>
    </w:p>
    <w:p>
      <w:pPr>
        <w:spacing w:after="0" w:line="224"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“Revolving line of credit” refers to the line of credit within which the borrower may apply for the loan for several times according to this contract.</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“Balance of loan” refers to the sum of principal of the outstanding loan that the borrower obtains under this contract.</w:t>
      </w:r>
    </w:p>
    <w:p>
      <w:pPr>
        <w:spacing w:after="0" w:line="22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“Balance of line of credit” refers to the balance of the line of credit deducted with the balance of loan (under the revolving line of credit) or total loan (under the one-time line of credit).</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“Period of loan” refers to the period of each loan that both parties determine in the corresponding </w:t>
      </w:r>
      <w:r>
        <w:rPr>
          <w:rFonts w:ascii="Arial" w:cs="Arial" w:eastAsia="Arial" w:hAnsi="Arial"/>
          <w:sz w:val="18"/>
          <w:szCs w:val="18"/>
          <w:i w:val="1"/>
          <w:iCs w:val="1"/>
          <w:color w:val="auto"/>
        </w:rPr>
        <w:t>Application for Use of Line of Credit of Bank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(hereinafter referred to as</w:t>
      </w:r>
      <w:r>
        <w:rPr>
          <w:rFonts w:ascii="Arial" w:cs="Arial" w:eastAsia="Arial" w:hAnsi="Arial"/>
          <w:sz w:val="18"/>
          <w:szCs w:val="18"/>
          <w:i w:val="1"/>
          <w:iCs w:val="1"/>
          <w:color w:val="auto"/>
        </w:rPr>
        <w:t xml:space="preserve"> Application for Use of Line of Credit</w:t>
      </w:r>
      <w:r>
        <w:rPr>
          <w:rFonts w:ascii="Arial" w:cs="Arial" w:eastAsia="Arial" w:hAnsi="Arial"/>
          <w:sz w:val="18"/>
          <w:szCs w:val="18"/>
          <w:color w:val="auto"/>
        </w:rPr>
        <w:t>).</w:t>
      </w:r>
    </w:p>
    <w:p>
      <w:pPr>
        <w:spacing w:after="0" w:line="17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86" w:lineRule="exact"/>
        <w:rPr>
          <w:sz w:val="20"/>
          <w:szCs w:val="20"/>
          <w:color w:val="auto"/>
        </w:rPr>
      </w:pPr>
    </w:p>
    <w:p>
      <w:pPr>
        <w:jc w:val="both"/>
        <w:ind w:firstLine="374"/>
        <w:spacing w:after="0" w:line="333" w:lineRule="auto"/>
        <w:rPr>
          <w:sz w:val="20"/>
          <w:szCs w:val="20"/>
          <w:color w:val="auto"/>
        </w:rPr>
      </w:pPr>
      <w:r>
        <w:rPr>
          <w:rFonts w:ascii="Arial" w:cs="Arial" w:eastAsia="Arial" w:hAnsi="Arial"/>
          <w:sz w:val="16"/>
          <w:szCs w:val="16"/>
          <w:color w:val="auto"/>
        </w:rPr>
        <w:t xml:space="preserve">Terms including affiliate, affiliate transaction and major investor should contain the same meaning with those contained in the </w:t>
      </w:r>
      <w:r>
        <w:rPr>
          <w:rFonts w:ascii="Arial" w:cs="Arial" w:eastAsia="Arial" w:hAnsi="Arial"/>
          <w:sz w:val="16"/>
          <w:szCs w:val="16"/>
          <w:i w:val="1"/>
          <w:iCs w:val="1"/>
          <w:color w:val="auto"/>
        </w:rPr>
        <w:t>Accounting Standards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Enterprises No.36 – Disclosure of Affiliates </w:t>
      </w:r>
      <w:r>
        <w:rPr>
          <w:rFonts w:ascii="Arial" w:cs="Arial" w:eastAsia="Arial" w:hAnsi="Arial"/>
          <w:sz w:val="16"/>
          <w:szCs w:val="16"/>
          <w:color w:val="auto"/>
        </w:rPr>
        <w:t>(CK [2006] No.3) published by the Ministry of Finance, as well as its subsequent revisions.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color w:val="auto"/>
        </w:rPr>
        <w:t>Article 2. Use of Line of Credit</w:t>
      </w:r>
    </w:p>
    <w:p>
      <w:pPr>
        <w:spacing w:after="0" w:line="224" w:lineRule="exact"/>
        <w:rPr>
          <w:sz w:val="20"/>
          <w:szCs w:val="20"/>
          <w:color w:val="auto"/>
        </w:rPr>
      </w:pPr>
    </w:p>
    <w:p>
      <w:pPr>
        <w:ind w:firstLine="374"/>
        <w:spacing w:after="0" w:line="300" w:lineRule="auto"/>
        <w:rPr>
          <w:sz w:val="20"/>
          <w:szCs w:val="20"/>
          <w:color w:val="auto"/>
        </w:rPr>
      </w:pPr>
      <w:r>
        <w:rPr>
          <w:rFonts w:ascii="Arial" w:cs="Arial" w:eastAsia="Arial" w:hAnsi="Arial"/>
          <w:sz w:val="17"/>
          <w:szCs w:val="17"/>
          <w:color w:val="auto"/>
        </w:rPr>
        <w:t xml:space="preserve">2.1 Each time when needing to use the line of credit, the borrower should submit the application to the loaner at least 5 business days in advance. The borrower should fill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to obtain the approval by the loaner before using the line of credit.</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 Use of the line of credit must meeting following conditions:</w:t>
      </w:r>
    </w:p>
    <w:p>
      <w:pPr>
        <w:spacing w:after="0" w:line="220" w:lineRule="exact"/>
        <w:rPr>
          <w:sz w:val="20"/>
          <w:szCs w:val="20"/>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Balance of loan (under the revolving line of credit) or total loan (under the one-time line of credit) is within the line of credit;</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Amount of applied loan is within the balance of line of credit;</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Application date and issuance date are within the period of line of credit;</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Period of loan and maturity date of loan comply with this contract;</w:t>
      </w:r>
    </w:p>
    <w:p>
      <w:pPr>
        <w:spacing w:after="0" w:line="219" w:lineRule="exact"/>
        <w:rPr>
          <w:rFonts w:ascii="Arial" w:cs="Arial" w:eastAsia="Arial" w:hAnsi="Arial"/>
          <w:sz w:val="18"/>
          <w:szCs w:val="18"/>
          <w:color w:val="auto"/>
        </w:rPr>
      </w:pPr>
    </w:p>
    <w:p>
      <w:pPr>
        <w:ind w:firstLine="380"/>
        <w:spacing w:after="0" w:line="270" w:lineRule="auto"/>
        <w:tabs>
          <w:tab w:leader="none" w:pos="62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Guarantee contract (if any) under this contract is effective and surviving, and while the guarantee contract is in the form of mortgage contract and/or pledge contract, the secured real right is already set and surviving;</w:t>
      </w:r>
    </w:p>
    <w:p>
      <w:pPr>
        <w:spacing w:after="0" w:line="174" w:lineRule="exact"/>
        <w:rPr>
          <w:rFonts w:ascii="Arial" w:cs="Arial" w:eastAsia="Arial" w:hAnsi="Arial"/>
          <w:sz w:val="18"/>
          <w:szCs w:val="18"/>
          <w:color w:val="auto"/>
        </w:rPr>
      </w:pPr>
    </w:p>
    <w:p>
      <w:pPr>
        <w:ind w:firstLine="380"/>
        <w:spacing w:after="0" w:line="270" w:lineRule="auto"/>
        <w:tabs>
          <w:tab w:leader="none" w:pos="63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borrower has handled procedures to obtain licenses, approvals and registrations from the government necessary for the application for the loan, and such licenses, approvals or registrations are surviving;</w:t>
      </w:r>
    </w:p>
    <w:p>
      <w:pPr>
        <w:spacing w:after="0" w:line="174" w:lineRule="exact"/>
        <w:rPr>
          <w:rFonts w:ascii="Arial" w:cs="Arial" w:eastAsia="Arial" w:hAnsi="Arial"/>
          <w:sz w:val="18"/>
          <w:szCs w:val="18"/>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serious adverse change occurs in the operation status or financial status of the borrower after this contract takes effect;</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Application by the borrower meets relevant rules and regulations of the loaner;</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borrower does not violate this contract;</w:t>
      </w:r>
    </w:p>
    <w:p>
      <w:pPr>
        <w:spacing w:after="0" w:line="219" w:lineRule="exact"/>
        <w:rPr>
          <w:rFonts w:ascii="Arial" w:cs="Arial" w:eastAsia="Arial" w:hAnsi="Arial"/>
          <w:sz w:val="18"/>
          <w:szCs w:val="18"/>
          <w:color w:val="auto"/>
        </w:rPr>
      </w:pPr>
    </w:p>
    <w:p>
      <w:pPr>
        <w:ind w:left="720" w:hanging="340"/>
        <w:spacing w:after="0"/>
        <w:tabs>
          <w:tab w:leader="none" w:pos="7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Payment mode of the loan meets this contract and if the loaner is entrusted to make the payment, the loaner should agree with the payment;</w:t>
      </w:r>
    </w:p>
    <w:p>
      <w:pPr>
        <w:spacing w:after="0" w:line="242" w:lineRule="exact"/>
        <w:rPr>
          <w:rFonts w:ascii="Arial" w:cs="Arial" w:eastAsia="Arial" w:hAnsi="Arial"/>
          <w:sz w:val="16"/>
          <w:szCs w:val="16"/>
          <w:color w:val="auto"/>
        </w:rPr>
      </w:pPr>
    </w:p>
    <w:p>
      <w:pPr>
        <w:ind w:firstLine="380"/>
        <w:spacing w:after="0" w:line="300" w:lineRule="auto"/>
        <w:tabs>
          <w:tab w:leader="none" w:pos="7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51" w:lineRule="exact"/>
        <w:rPr>
          <w:rFonts w:ascii="Arial" w:cs="Arial" w:eastAsia="Arial" w:hAnsi="Arial"/>
          <w:sz w:val="17"/>
          <w:szCs w:val="17"/>
          <w:color w:val="auto"/>
        </w:rPr>
      </w:pPr>
    </w:p>
    <w:p>
      <w:pPr>
        <w:ind w:left="720" w:hanging="340"/>
        <w:spacing w:after="0"/>
        <w:tabs>
          <w:tab w:leader="none" w:pos="7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borrower has appointed the dedicated fund withdrawal account as required by the loaner and has signed the account management agreement.</w:t>
      </w:r>
    </w:p>
    <w:p>
      <w:pPr>
        <w:spacing w:after="0" w:line="243"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▲▲2.3 If the loaner agrees to issue the loan, the final issuance information should be subject to the column of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printed by the bank.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should be regarded as the </w:t>
      </w:r>
      <w:r>
        <w:rPr>
          <w:rFonts w:ascii="Arial" w:cs="Arial" w:eastAsia="Arial" w:hAnsi="Arial"/>
          <w:sz w:val="18"/>
          <w:szCs w:val="18"/>
          <w:i w:val="1"/>
          <w:iCs w:val="1"/>
          <w:color w:val="auto"/>
        </w:rPr>
        <w:t>Loan Certificate</w:t>
      </w:r>
      <w:r>
        <w:rPr>
          <w:rFonts w:ascii="Arial" w:cs="Arial" w:eastAsia="Arial" w:hAnsi="Arial"/>
          <w:sz w:val="18"/>
          <w:szCs w:val="18"/>
          <w:color w:val="auto"/>
        </w:rPr>
        <w:t>.</w:t>
      </w:r>
    </w:p>
    <w:p>
      <w:pPr>
        <w:spacing w:after="0" w:line="175"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6"/>
          <w:szCs w:val="16"/>
          <w:color w:val="auto"/>
        </w:rPr>
        <w:t xml:space="preserve">▲▲2.4 If the currency of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0" w:name="page251"/>
    <w:bookmarkEnd w:id="250"/>
    <w:p>
      <w:pPr>
        <w:jc w:val="both"/>
        <w:ind w:firstLine="374"/>
        <w:spacing w:after="0" w:line="258" w:lineRule="auto"/>
        <w:rPr>
          <w:sz w:val="20"/>
          <w:szCs w:val="20"/>
          <w:color w:val="auto"/>
        </w:rPr>
      </w:pPr>
      <w:r>
        <w:rPr>
          <w:rFonts w:ascii="Arial" w:cs="Arial" w:eastAsia="Arial" w:hAnsi="Arial"/>
          <w:sz w:val="18"/>
          <w:szCs w:val="18"/>
          <w:color w:val="auto"/>
        </w:rPr>
        <w:t xml:space="preserve">▲▲2.5 After the borrower becomes the shareholder of the guarantor or the “actual controller” defined by the </w:t>
      </w:r>
      <w:r>
        <w:rPr>
          <w:rFonts w:ascii="Arial" w:cs="Arial" w:eastAsia="Arial" w:hAnsi="Arial"/>
          <w:sz w:val="18"/>
          <w:szCs w:val="18"/>
          <w:i w:val="1"/>
          <w:iCs w:val="1"/>
          <w:color w:val="auto"/>
        </w:rPr>
        <w:t>Company Law</w:t>
      </w:r>
      <w:r>
        <w:rPr>
          <w:rFonts w:ascii="Arial" w:cs="Arial" w:eastAsia="Arial" w:hAnsi="Arial"/>
          <w:sz w:val="18"/>
          <w:szCs w:val="18"/>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Interest Rate and Payment of Interest</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 Basic regulations on determining the interest rate</w:t>
      </w:r>
    </w:p>
    <w:p>
      <w:pPr>
        <w:spacing w:after="0" w:line="220"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7"/>
          <w:szCs w:val="17"/>
          <w:color w:val="auto"/>
        </w:rPr>
        <w:t xml:space="preserve">3.1.1 The interest rate should be agreed by both parties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through negotiations in each use of the line of credit. Unless any specific interest rate is agreed by both parties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the specific interest rate of each loan should be determined in accordance with the type of benchmark interest rate, applicable date of benchmark interest rate, fluctuation extent/increase (decrease) value of interest rate, interest rate fluctuation rules, interest rate fluctuation cycle, interest rate fluctuation cycle unit and specific beginning date of fluctuation (if necessary) agreed in the corresponding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w:t>
      </w:r>
    </w:p>
    <w:p>
      <w:pPr>
        <w:spacing w:after="0" w:line="17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3.1.2 Type and definition of “benchmark interest rate”: (1) “Benchmark interest rate of the People’s Bank” refers to the benchmark interest rate of RMB loan of financial institutions published by the People’s Bank of China; (2) LPR quotation of Bank of Communications refers to the quotation for benchmark interest rate of loan published by Bank of Communications Co., Ltd. on its official website; (3) LPR mean interest rate refers to the benchmark interest rate of loan published by the National Inter-bank Funding Center.</w:t>
      </w:r>
    </w:p>
    <w:p>
      <w:pPr>
        <w:spacing w:after="0" w:line="188"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 Interest rate of loan</w:t>
      </w:r>
    </w:p>
    <w:p>
      <w:pPr>
        <w:spacing w:after="0" w:line="220" w:lineRule="exact"/>
        <w:rPr>
          <w:sz w:val="20"/>
          <w:szCs w:val="20"/>
          <w:color w:val="auto"/>
        </w:rPr>
      </w:pPr>
    </w:p>
    <w:p>
      <w:pPr>
        <w:jc w:val="both"/>
        <w:ind w:right="20" w:firstLine="374"/>
        <w:spacing w:after="0" w:line="258" w:lineRule="auto"/>
        <w:rPr>
          <w:sz w:val="20"/>
          <w:szCs w:val="20"/>
          <w:color w:val="auto"/>
        </w:rPr>
      </w:pPr>
      <w:r>
        <w:rPr>
          <w:rFonts w:ascii="Arial" w:cs="Arial" w:eastAsia="Arial" w:hAnsi="Arial"/>
          <w:sz w:val="18"/>
          <w:szCs w:val="18"/>
          <w:color w:val="auto"/>
        </w:rPr>
        <w:t>The interest rate of each loan at the time of issuance should be determined in accordance with the fluctuation extent/increase (decrease) value on the basis of the benchmark interest rate. If the “applicable date of benchmark interest rate” is set as T Day, then the benchmark interest rate to calculate the specific interest rate of the loan at the time of issuance should be determined by following rules: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 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07"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1" w:name="page252"/>
    <w:bookmarkEnd w:id="251"/>
    <w:p>
      <w:pPr>
        <w:jc w:val="both"/>
        <w:ind w:firstLine="374"/>
        <w:spacing w:after="0" w:line="258"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3.3 Adjustment of interest rate</w:t>
      </w:r>
    </w:p>
    <w:p>
      <w:pPr>
        <w:spacing w:after="0" w:line="22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3.3.1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fixed, such interest rate should apply to the loan within the period of loan.</w:t>
      </w:r>
    </w:p>
    <w:p>
      <w:pPr>
        <w:spacing w:after="0" w:line="175"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 xml:space="preserve">▲▲3.3.2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and the adjusted interest rate should apply since the interest rate adjustment date.</w:t>
      </w:r>
    </w:p>
    <w:p>
      <w:pPr>
        <w:spacing w:after="0" w:line="188" w:lineRule="exact"/>
        <w:rPr>
          <w:sz w:val="20"/>
          <w:szCs w:val="20"/>
          <w:color w:val="auto"/>
        </w:rPr>
      </w:pPr>
    </w:p>
    <w:p>
      <w:pPr>
        <w:jc w:val="both"/>
        <w:ind w:firstLine="374"/>
        <w:spacing w:after="0" w:line="266" w:lineRule="auto"/>
        <w:rPr>
          <w:sz w:val="20"/>
          <w:szCs w:val="20"/>
          <w:color w:val="auto"/>
        </w:rPr>
      </w:pPr>
      <w:r>
        <w:rPr>
          <w:rFonts w:ascii="Arial" w:cs="Arial" w:eastAsia="Arial" w:hAnsi="Arial"/>
          <w:sz w:val="17"/>
          <w:szCs w:val="17"/>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the same below.</w:t>
      </w:r>
    </w:p>
    <w:p>
      <w:pPr>
        <w:spacing w:after="0" w:line="182"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6"/>
          <w:szCs w:val="16"/>
          <w:color w:val="auto"/>
        </w:rPr>
        <w:t>3.3.2.2 Loan interest rate at the adjustment date of loan interest rate should be determined according to the benchmark interest rate at the adjustment date of loan interest while the interest rate fluctuation/increase (decrease) value is kept unchanged (unless negotiated by both parties to be adjusted). If the “adjustment date of loan interest rate” is set as T Day, then the benchmark interest rate of adjusted loan interest rate should be determined by following rules: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 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07"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2" w:name="page253"/>
    <w:bookmarkEnd w:id="252"/>
    <w:p>
      <w:pPr>
        <w:jc w:val="both"/>
        <w:ind w:firstLine="374"/>
        <w:spacing w:after="0" w:line="258"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▲▲3.3.3 If the “benchmark interest rate of the People’s Bank” is applied as the benchmark interest rate and the benchmark interest rate of the People’s Bank is adjusted to be fluctuating interest rate or cancelled, both parties should adjust the interest rate of the loan through separate negotiations but the adjusted interest rate should be no lower than the prevailing interest rate; if both parties fail to reach a common sense on the adjustment of interest rate within one month since the adjustment date of the People’s Bank, the loaner may announce the earlier maturity of the loan.</w:t>
      </w:r>
    </w:p>
    <w:p>
      <w:pPr>
        <w:spacing w:after="0" w:line="160"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If the “LPR quotation of Bank of Communications” or “LPR mean interest rate” is applied as the benchmark interest rate and the relevant benchmark interest rate is cancelled according to the regulation requirement or suspended by the issuer according to the regulation requirement, both parties should adjust the interest rate of the loan through separate negotiations but the adjusted interest rate should be no lower than the prevailing interest rate; if both parties fail to reach a common sense on the adjustment of interest rate within one month since the relevant benchmark interest rate is cancelled or suspended, the loaner may announce the earlier maturity of the loan.</w:t>
      </w:r>
    </w:p>
    <w:p>
      <w:pPr>
        <w:spacing w:after="0" w:line="19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▲▲3.3.4 Both parties may adjust the fluctuation extent or increase (decrease) value of the corresponding loan interest rate through negotiation at each adjustment date of loan interest rate.</w:t>
      </w:r>
    </w:p>
    <w:p>
      <w:pPr>
        <w:spacing w:after="0" w:line="175"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 xml:space="preserve">3.4 If the currency is RMB, default interest of the overdue loan should be fluctuated upwards by 50% on the basis of the interest rate specified in this contract, and that of the embezzled loan should be fluctuated upwards by 100% on the basis of the interest rate specified in this contract. If the benchmark interest rate is adjusted, the loaner may adjust the rate of default interest of each loan and apply the new rate of default interest since the adjustment date of loan interest rate specified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 Calculation of interest</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3.5.1 Normal interest = interest rate specified in this contract X issued loan X days of occupation.</w:t>
      </w:r>
    </w:p>
    <w:p>
      <w:pPr>
        <w:spacing w:after="0" w:line="220" w:lineRule="exact"/>
        <w:rPr>
          <w:sz w:val="20"/>
          <w:szCs w:val="20"/>
          <w:color w:val="auto"/>
        </w:rPr>
      </w:pPr>
    </w:p>
    <w:p>
      <w:pPr>
        <w:jc w:val="both"/>
        <w:ind w:right="20" w:firstLine="374"/>
        <w:spacing w:after="0" w:line="333" w:lineRule="auto"/>
        <w:rPr>
          <w:sz w:val="20"/>
          <w:szCs w:val="20"/>
          <w:color w:val="auto"/>
        </w:rPr>
      </w:pPr>
      <w:r>
        <w:rPr>
          <w:rFonts w:ascii="Arial" w:cs="Arial" w:eastAsia="Arial" w:hAnsi="Arial"/>
          <w:sz w:val="16"/>
          <w:szCs w:val="16"/>
          <w:color w:val="auto"/>
        </w:rPr>
        <w:t>Days of occupation begins from the issuance date (included) and ends at the maturity date (excluded), and may be postponed if the maturity date is not a business day while the postponed period should be accounted into the occupation and charged with the interest according to this contract.</w:t>
      </w:r>
    </w:p>
    <w:p>
      <w:pPr>
        <w:spacing w:after="0" w:line="13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3.5.2 The default interest of overdue loan and embezzled loan should be calculated according to the overdue or embezzled amount and the actual days (since the date of overdue or embezzlement (included) to the repayment date of principal and interest (excluded)).</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3.5.3 If there are too many numbers after the decimal point of the calculated interest/default interest, the loaner may round off the result to two numbers after the decimal point.</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▲▲3.6 If the borrower repays the loan in advance or the loaner withdraws the loan in advance according to this contract, the corresponding interest rate shall still be subject to that specified in this contract.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3" w:name="page254"/>
    <w:bookmarkEnd w:id="253"/>
    <w:p>
      <w:pPr>
        <w:jc w:val="both"/>
        <w:ind w:firstLine="374"/>
        <w:spacing w:after="0" w:line="270" w:lineRule="auto"/>
        <w:rPr>
          <w:sz w:val="20"/>
          <w:szCs w:val="20"/>
          <w:color w:val="auto"/>
        </w:rPr>
      </w:pPr>
      <w:r>
        <w:rPr>
          <w:rFonts w:ascii="Arial" w:cs="Arial" w:eastAsia="Arial" w:hAnsi="Arial"/>
          <w:sz w:val="18"/>
          <w:szCs w:val="18"/>
          <w:color w:val="auto"/>
        </w:rPr>
        <w:t>3.7 If the loan is in any foreign currency, the determination of interest rate, adjustment of interest rate, default interest rate of overdue and embezzlement should be subject to Article 17 of this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Payment of Loan</w:t>
      </w:r>
    </w:p>
    <w:p>
      <w:pPr>
        <w:spacing w:after="0" w:line="22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90" w:lineRule="exact"/>
        <w:rPr>
          <w:sz w:val="20"/>
          <w:szCs w:val="20"/>
          <w:color w:val="auto"/>
        </w:rPr>
      </w:pPr>
    </w:p>
    <w:p>
      <w:pPr>
        <w:jc w:val="both"/>
        <w:ind w:right="20" w:firstLine="374"/>
        <w:spacing w:after="0" w:line="270" w:lineRule="auto"/>
        <w:rPr>
          <w:sz w:val="20"/>
          <w:szCs w:val="20"/>
          <w:color w:val="auto"/>
        </w:rPr>
      </w:pPr>
      <w:r>
        <w:rPr>
          <w:rFonts w:ascii="Arial" w:cs="Arial" w:eastAsia="Arial" w:hAnsi="Arial"/>
          <w:sz w:val="18"/>
          <w:szCs w:val="18"/>
          <w:color w:val="auto"/>
        </w:rPr>
        <w:t>4.2 When drawing the loan according to this contract, the borrower should clarify the payment mode (entrusted payment by loaner or independent payment by borrower) and only one mode is applicable in each time of drawing.</w:t>
      </w:r>
    </w:p>
    <w:p>
      <w:pPr>
        <w:spacing w:after="0" w:line="17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86"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If the amount of a single payment is beyond the limit of the independent payment or any condition specified in Article 19.3, the mode of entrusted payment should apply.</w:t>
      </w:r>
    </w:p>
    <w:p>
      <w:pPr>
        <w:spacing w:after="0" w:line="175"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6"/>
          <w:szCs w:val="16"/>
          <w:color w:val="auto"/>
        </w:rPr>
        <w:t xml:space="preserve">When choosing the mode of entrusted payment by the loaner, the borrower should submit the loaner with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50" w:lineRule="exact"/>
        <w:rPr>
          <w:sz w:val="20"/>
          <w:szCs w:val="20"/>
          <w:color w:val="auto"/>
        </w:rPr>
      </w:pPr>
    </w:p>
    <w:p>
      <w:pPr>
        <w:ind w:firstLine="380"/>
        <w:spacing w:after="0" w:line="270" w:lineRule="auto"/>
        <w:tabs>
          <w:tab w:leader="none" w:pos="77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74" w:lineRule="exact"/>
        <w:rPr>
          <w:rFonts w:ascii="Arial" w:cs="Arial" w:eastAsia="Arial" w:hAnsi="Arial"/>
          <w:sz w:val="18"/>
          <w:szCs w:val="18"/>
          <w:color w:val="auto"/>
        </w:rPr>
      </w:pPr>
    </w:p>
    <w:p>
      <w:pPr>
        <w:jc w:val="both"/>
        <w:ind w:firstLine="380"/>
        <w:spacing w:after="0" w:line="258" w:lineRule="auto"/>
        <w:tabs>
          <w:tab w:leader="none" w:pos="81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86" w:lineRule="exact"/>
        <w:rPr>
          <w:sz w:val="20"/>
          <w:szCs w:val="20"/>
          <w:color w:val="auto"/>
        </w:rPr>
      </w:pPr>
    </w:p>
    <w:p>
      <w:pPr>
        <w:ind w:firstLine="374"/>
        <w:spacing w:after="0" w:line="270" w:lineRule="auto"/>
        <w:rPr>
          <w:sz w:val="20"/>
          <w:szCs w:val="20"/>
          <w:color w:val="auto"/>
        </w:rPr>
      </w:pPr>
      <w:r>
        <w:rPr>
          <w:rFonts w:ascii="Arial" w:cs="Arial" w:eastAsia="Arial" w:hAnsi="Arial"/>
          <w:sz w:val="18"/>
          <w:szCs w:val="18"/>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4" w:name="page255"/>
    <w:bookmarkEnd w:id="254"/>
    <w:p>
      <w:pPr>
        <w:jc w:val="both"/>
        <w:ind w:firstLine="374"/>
        <w:spacing w:after="0" w:line="255" w:lineRule="auto"/>
        <w:rPr>
          <w:sz w:val="20"/>
          <w:szCs w:val="20"/>
          <w:color w:val="auto"/>
        </w:rPr>
      </w:pPr>
      <w:r>
        <w:rPr>
          <w:rFonts w:ascii="Arial" w:cs="Arial" w:eastAsia="Arial" w:hAnsi="Arial"/>
          <w:sz w:val="18"/>
          <w:szCs w:val="18"/>
          <w:color w:val="auto"/>
        </w:rPr>
        <w:t xml:space="preserve">When choosing the mode of independent payment by the borrower, the borrower should submit the loaner with the </w:t>
      </w:r>
      <w:r>
        <w:rPr>
          <w:rFonts w:ascii="Arial" w:cs="Arial" w:eastAsia="Arial" w:hAnsi="Arial"/>
          <w:sz w:val="18"/>
          <w:szCs w:val="18"/>
          <w:i w:val="1"/>
          <w:iCs w:val="1"/>
          <w:color w:val="auto"/>
        </w:rPr>
        <w:t>Application for Use of Line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 description of fund usage and other materials required by the loaner. The borrower should report the payment situation of the loan fund to the loaner.</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loaner may check whether the loan is paid for the regulated purpose by analyzing the account, verifying the certificate and conducting the on-site survey, and the borrower shall cooperate with such verification by the loaner.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Repayment of Loan</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5.1 The borrower should make the repayment according to the date and amount specified in the corresponding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▲▲5.2 Without the written consent from the loaner, the borrower may not repay the loan in advance.</w:t>
      </w:r>
    </w:p>
    <w:p>
      <w:pPr>
        <w:spacing w:after="0" w:line="220"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 xml:space="preserve">▲▲5.3 The repayment schedule of principal and interest agreed by the borrower and the loaner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▲▲5.4 When the amount repaid by the borrower is insufficient to cover all the debt of the borrower:</w:t>
      </w:r>
    </w:p>
    <w:p>
      <w:pPr>
        <w:spacing w:after="0" w:line="220" w:lineRule="exact"/>
        <w:rPr>
          <w:sz w:val="20"/>
          <w:szCs w:val="20"/>
          <w:color w:val="auto"/>
        </w:rPr>
      </w:pPr>
    </w:p>
    <w:p>
      <w:pPr>
        <w:jc w:val="both"/>
        <w:ind w:firstLine="380"/>
        <w:spacing w:after="0" w:line="255" w:lineRule="auto"/>
        <w:tabs>
          <w:tab w:leader="none" w:pos="62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87" w:lineRule="exact"/>
        <w:rPr>
          <w:rFonts w:ascii="Arial" w:cs="Arial" w:eastAsia="Arial" w:hAnsi="Arial"/>
          <w:sz w:val="18"/>
          <w:szCs w:val="18"/>
          <w:color w:val="auto"/>
        </w:rPr>
      </w:pPr>
    </w:p>
    <w:p>
      <w:pPr>
        <w:jc w:val="both"/>
        <w:ind w:firstLine="380"/>
        <w:spacing w:after="0" w:line="281" w:lineRule="auto"/>
        <w:tabs>
          <w:tab w:leader="none" w:pos="62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Representation and Guarantee of Borrower</w:t>
      </w:r>
    </w:p>
    <w:p>
      <w:pPr>
        <w:spacing w:after="0" w:line="224"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6.1 The borrower is legally incorporated and surviving, possesses all the necessary capacities, perform obligations under this contract it its own name and assumes civil liabilities.</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6.2 Signing and performing this contract are the true intention of the borrower that they must obtain all the necessary approvals, permissions and authorizations to contain no legal defect.</w:t>
      </w:r>
    </w:p>
    <w:p>
      <w:pPr>
        <w:spacing w:after="0" w:line="17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5" w:name="page256"/>
    <w:bookmarkEnd w:id="255"/>
    <w:p>
      <w:pPr>
        <w:jc w:val="both"/>
        <w:ind w:firstLine="374"/>
        <w:spacing w:after="0" w:line="258" w:lineRule="auto"/>
        <w:rPr>
          <w:sz w:val="20"/>
          <w:szCs w:val="20"/>
          <w:color w:val="auto"/>
        </w:rPr>
      </w:pPr>
      <w:r>
        <w:rPr>
          <w:rFonts w:ascii="Arial" w:cs="Arial" w:eastAsia="Arial" w:hAnsi="Arial"/>
          <w:sz w:val="18"/>
          <w:szCs w:val="18"/>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86" w:lineRule="exact"/>
        <w:rPr>
          <w:sz w:val="20"/>
          <w:szCs w:val="20"/>
          <w:color w:val="auto"/>
        </w:rPr>
      </w:pPr>
    </w:p>
    <w:p>
      <w:pPr>
        <w:jc w:val="both"/>
        <w:ind w:right="20" w:firstLine="374"/>
        <w:spacing w:after="0" w:line="270" w:lineRule="auto"/>
        <w:rPr>
          <w:sz w:val="20"/>
          <w:szCs w:val="20"/>
          <w:color w:val="auto"/>
        </w:rPr>
      </w:pPr>
      <w:r>
        <w:rPr>
          <w:rFonts w:ascii="Arial" w:cs="Arial" w:eastAsia="Arial" w:hAnsi="Arial"/>
          <w:sz w:val="18"/>
          <w:szCs w:val="18"/>
          <w:color w:val="auto"/>
        </w:rPr>
        <w:t>▲▲6.5 Neither the borrower nor any of its affiliate belongs to the enterprise or individual sanctioned by the UN, EU or US, or is located in any country or area sanctioned by the UN, EU or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Rights and Obligations of Loaner</w:t>
      </w:r>
    </w:p>
    <w:p>
      <w:pPr>
        <w:spacing w:after="0" w:line="224" w:lineRule="exact"/>
        <w:rPr>
          <w:sz w:val="20"/>
          <w:szCs w:val="20"/>
          <w:color w:val="auto"/>
        </w:rPr>
      </w:pPr>
    </w:p>
    <w:p>
      <w:pPr>
        <w:jc w:val="both"/>
        <w:ind w:right="20" w:firstLine="374"/>
        <w:spacing w:after="0" w:line="258" w:lineRule="auto"/>
        <w:rPr>
          <w:sz w:val="20"/>
          <w:szCs w:val="20"/>
          <w:color w:val="auto"/>
        </w:rPr>
      </w:pPr>
      <w:r>
        <w:rPr>
          <w:rFonts w:ascii="Arial" w:cs="Arial" w:eastAsia="Arial" w:hAnsi="Arial"/>
          <w:sz w:val="18"/>
          <w:szCs w:val="18"/>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86"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86"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Obligations of Borrower</w:t>
      </w:r>
    </w:p>
    <w:p>
      <w:pPr>
        <w:spacing w:after="0" w:line="224" w:lineRule="exact"/>
        <w:rPr>
          <w:sz w:val="20"/>
          <w:szCs w:val="20"/>
          <w:color w:val="auto"/>
        </w:rPr>
      </w:pPr>
    </w:p>
    <w:p>
      <w:pPr>
        <w:jc w:val="both"/>
        <w:ind w:right="20" w:firstLine="374"/>
        <w:spacing w:after="0" w:line="270" w:lineRule="auto"/>
        <w:rPr>
          <w:sz w:val="20"/>
          <w:szCs w:val="20"/>
          <w:color w:val="auto"/>
        </w:rPr>
      </w:pPr>
      <w:r>
        <w:rPr>
          <w:rFonts w:ascii="Arial" w:cs="Arial" w:eastAsia="Arial" w:hAnsi="Arial"/>
          <w:sz w:val="18"/>
          <w:szCs w:val="18"/>
          <w:color w:val="auto"/>
        </w:rPr>
        <w:t xml:space="preserve">8.1 The borrower should repay the principal and interest of loan under this contract according to the time, amount, currency and interest rate specified in this contract and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7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186"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 xml:space="preserve">8.2 The borrower should use the line of credit for the purpose specified in this contract and use the loan for the purpose specified in the corresponding </w:t>
      </w:r>
      <w:r>
        <w:rPr>
          <w:rFonts w:ascii="Arial" w:cs="Arial" w:eastAsia="Arial" w:hAnsi="Arial"/>
          <w:sz w:val="18"/>
          <w:szCs w:val="18"/>
          <w:i w:val="1"/>
          <w:iCs w:val="1"/>
          <w:color w:val="auto"/>
        </w:rPr>
        <w:t xml:space="preserve">Application for Use of Line of Credit </w:t>
      </w:r>
      <w:r>
        <w:rPr>
          <w:rFonts w:ascii="Arial" w:cs="Arial" w:eastAsia="Arial" w:hAnsi="Arial"/>
          <w:sz w:val="18"/>
          <w:szCs w:val="18"/>
          <w:color w:val="auto"/>
        </w:rPr>
        <w:t>but may not embezzle the loan for any other purpose, or the investment in fixed assets, equity or any production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prohibited by the government.</w:t>
      </w:r>
    </w:p>
    <w:p>
      <w:pPr>
        <w:spacing w:after="0" w:line="186"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6" w:name="page257"/>
    <w:bookmarkEnd w:id="256"/>
    <w:p>
      <w:pPr>
        <w:jc w:val="both"/>
        <w:ind w:firstLine="374"/>
        <w:spacing w:after="0" w:line="258" w:lineRule="auto"/>
        <w:rPr>
          <w:sz w:val="20"/>
          <w:szCs w:val="20"/>
          <w:color w:val="auto"/>
        </w:rPr>
      </w:pPr>
      <w:r>
        <w:rPr>
          <w:rFonts w:ascii="Arial" w:cs="Arial" w:eastAsia="Arial" w:hAnsi="Arial"/>
          <w:sz w:val="18"/>
          <w:szCs w:val="18"/>
          <w:color w:val="auto"/>
        </w:rPr>
        <w:t xml:space="preserve">▲▲8.3 The borrower should assume the settlement expense (if any) of the payment of loan fund (including entrusted payment by the loaner and independent payment by the borrower), and the special charge standard is subject to laws, rules, regulations, regulatory provisions and the prevailing </w:t>
      </w:r>
      <w:r>
        <w:rPr>
          <w:rFonts w:ascii="Arial" w:cs="Arial" w:eastAsia="Arial" w:hAnsi="Arial"/>
          <w:sz w:val="18"/>
          <w:szCs w:val="18"/>
          <w:i w:val="1"/>
          <w:iCs w:val="1"/>
          <w:color w:val="auto"/>
        </w:rPr>
        <w:t>Charge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List of Services of Bank of Communications </w:t>
      </w:r>
      <w:r>
        <w:rPr>
          <w:rFonts w:ascii="Arial" w:cs="Arial" w:eastAsia="Arial" w:hAnsi="Arial"/>
          <w:sz w:val="18"/>
          <w:szCs w:val="18"/>
          <w:color w:val="auto"/>
        </w:rPr>
        <w:t>published by the loaner.</w:t>
      </w:r>
    </w:p>
    <w:p>
      <w:pPr>
        <w:spacing w:after="0" w:line="186"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If the issuance account is dedicated for the issuance of loan and the collection account is not opened at Bank of Communications in the payment of loan fund (including entrusted payment by the loaner and independent payment by the borrower), the fund may be processed by the payment system or local clearing system of the People’s Bank.</w:t>
      </w:r>
    </w:p>
    <w:p>
      <w:pPr>
        <w:spacing w:after="0" w:line="186"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If the issuance account is not dedicated for the issuance of loan and the collection account is not local or opened at Bank of Communications in the payment of loan fund (including entrusted payment by the loaner and independent payment by the borrower), the fund should be processed by the payment system of the People’s Bank.</w:t>
      </w:r>
    </w:p>
    <w:p>
      <w:pPr>
        <w:spacing w:after="0" w:line="186"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88" w:lineRule="exact"/>
        <w:rPr>
          <w:sz w:val="20"/>
          <w:szCs w:val="20"/>
          <w:color w:val="auto"/>
        </w:rPr>
      </w:pPr>
    </w:p>
    <w:p>
      <w:pPr>
        <w:jc w:val="both"/>
        <w:ind w:firstLine="374"/>
        <w:spacing w:after="0" w:line="300" w:lineRule="auto"/>
        <w:rPr>
          <w:sz w:val="20"/>
          <w:szCs w:val="20"/>
          <w:color w:val="auto"/>
        </w:rPr>
      </w:pPr>
      <w:r>
        <w:rPr>
          <w:rFonts w:ascii="Arial" w:cs="Arial" w:eastAsia="Arial" w:hAnsi="Arial"/>
          <w:sz w:val="17"/>
          <w:szCs w:val="17"/>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52" w:lineRule="exact"/>
        <w:rPr>
          <w:sz w:val="20"/>
          <w:szCs w:val="20"/>
          <w:color w:val="auto"/>
        </w:rPr>
      </w:pPr>
    </w:p>
    <w:p>
      <w:pPr>
        <w:ind w:left="640" w:hanging="260"/>
        <w:spacing w:after="0"/>
        <w:tabs>
          <w:tab w:leader="none" w:pos="6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borrower sells, presents, leases, lends, transfers, mortgages, pledges or disposes in any other manner all or a large part of the assets or important</w:t>
      </w:r>
    </w:p>
    <w:p>
      <w:pPr>
        <w:spacing w:after="0" w:line="6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assets;</w:t>
      </w:r>
    </w:p>
    <w:p>
      <w:pPr>
        <w:spacing w:after="0" w:line="206" w:lineRule="exact"/>
        <w:rPr>
          <w:rFonts w:ascii="Arial" w:cs="Arial" w:eastAsia="Arial" w:hAnsi="Arial"/>
          <w:sz w:val="14"/>
          <w:szCs w:val="14"/>
          <w:color w:val="auto"/>
        </w:rPr>
      </w:pPr>
    </w:p>
    <w:p>
      <w:pPr>
        <w:jc w:val="both"/>
        <w:ind w:firstLine="380"/>
        <w:spacing w:after="0" w:line="258" w:lineRule="auto"/>
        <w:tabs>
          <w:tab w:leader="none" w:pos="6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86" w:lineRule="exact"/>
        <w:rPr>
          <w:rFonts w:ascii="Arial" w:cs="Arial" w:eastAsia="Arial" w:hAnsi="Arial"/>
          <w:sz w:val="18"/>
          <w:szCs w:val="18"/>
          <w:color w:val="auto"/>
        </w:rPr>
      </w:pPr>
    </w:p>
    <w:p>
      <w:pPr>
        <w:ind w:left="640" w:hanging="260"/>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external investment or increase of debt financing of the borrower exceeds the agreed limit.</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▲▲8.6 The borrower should send a written notice to the loaner within 7 days since the occurrence or possible occurrence of any circumstance below:</w:t>
      </w:r>
    </w:p>
    <w:p>
      <w:pPr>
        <w:spacing w:after="0" w:line="243" w:lineRule="exact"/>
        <w:rPr>
          <w:sz w:val="20"/>
          <w:szCs w:val="20"/>
          <w:color w:val="auto"/>
        </w:rPr>
      </w:pPr>
    </w:p>
    <w:p>
      <w:pPr>
        <w:ind w:firstLine="380"/>
        <w:spacing w:after="0" w:line="270" w:lineRule="auto"/>
        <w:tabs>
          <w:tab w:leader="none" w:pos="62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7" w:name="page258"/>
    <w:bookmarkEnd w:id="257"/>
    <w:p>
      <w:pPr>
        <w:ind w:left="640" w:hanging="260"/>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its affiliate or guarantor plans to apply for bankruptcy or may be or has been applied by the creditor for bankruptcy;</w:t>
      </w:r>
    </w:p>
    <w:p>
      <w:pPr>
        <w:spacing w:after="0" w:line="219" w:lineRule="exact"/>
        <w:rPr>
          <w:rFonts w:ascii="Arial" w:cs="Arial" w:eastAsia="Arial" w:hAnsi="Arial"/>
          <w:sz w:val="18"/>
          <w:szCs w:val="18"/>
          <w:color w:val="auto"/>
        </w:rPr>
      </w:pPr>
    </w:p>
    <w:p>
      <w:pPr>
        <w:jc w:val="both"/>
        <w:ind w:firstLine="380"/>
        <w:spacing w:after="0" w:line="258" w:lineRule="auto"/>
        <w:tabs>
          <w:tab w:leader="none" w:pos="63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86" w:lineRule="exact"/>
        <w:rPr>
          <w:rFonts w:ascii="Arial" w:cs="Arial" w:eastAsia="Arial" w:hAnsi="Arial"/>
          <w:sz w:val="18"/>
          <w:szCs w:val="18"/>
          <w:color w:val="auto"/>
        </w:rPr>
      </w:pPr>
    </w:p>
    <w:p>
      <w:pPr>
        <w:ind w:firstLine="380"/>
        <w:spacing w:after="0" w:line="270" w:lineRule="auto"/>
        <w:tabs>
          <w:tab w:leader="none" w:pos="6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provides any guarantee to any third party to affect its economic status, financial status or capability in performing obligations under this contract significantly;</w:t>
      </w:r>
    </w:p>
    <w:p>
      <w:pPr>
        <w:spacing w:after="0" w:line="174" w:lineRule="exact"/>
        <w:rPr>
          <w:rFonts w:ascii="Arial" w:cs="Arial" w:eastAsia="Arial" w:hAnsi="Arial"/>
          <w:sz w:val="18"/>
          <w:szCs w:val="18"/>
          <w:color w:val="auto"/>
        </w:rPr>
      </w:pPr>
    </w:p>
    <w:p>
      <w:pPr>
        <w:ind w:left="640" w:hanging="260"/>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enters into any contract with significant influence on its operation and financial status;</w:t>
      </w:r>
    </w:p>
    <w:p>
      <w:pPr>
        <w:spacing w:after="0" w:line="219" w:lineRule="exact"/>
        <w:rPr>
          <w:rFonts w:ascii="Arial" w:cs="Arial" w:eastAsia="Arial" w:hAnsi="Arial"/>
          <w:sz w:val="18"/>
          <w:szCs w:val="18"/>
          <w:color w:val="auto"/>
        </w:rPr>
      </w:pPr>
    </w:p>
    <w:p>
      <w:pPr>
        <w:ind w:firstLine="380"/>
        <w:spacing w:after="0" w:line="270" w:lineRule="auto"/>
        <w:tabs>
          <w:tab w:leader="none" w:pos="62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74" w:lineRule="exact"/>
        <w:rPr>
          <w:rFonts w:ascii="Arial" w:cs="Arial" w:eastAsia="Arial" w:hAnsi="Arial"/>
          <w:sz w:val="18"/>
          <w:szCs w:val="18"/>
          <w:color w:val="auto"/>
        </w:rPr>
      </w:pPr>
    </w:p>
    <w:p>
      <w:pPr>
        <w:ind w:left="640" w:hanging="260"/>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its affiliate or guarantor is shut down, closed, dissolved, suspended, cancelled, or the business license is withdrawn;</w:t>
      </w:r>
    </w:p>
    <w:p>
      <w:pPr>
        <w:spacing w:after="0" w:line="219" w:lineRule="exact"/>
        <w:rPr>
          <w:rFonts w:ascii="Arial" w:cs="Arial" w:eastAsia="Arial" w:hAnsi="Arial"/>
          <w:sz w:val="18"/>
          <w:szCs w:val="18"/>
          <w:color w:val="auto"/>
        </w:rPr>
      </w:pPr>
    </w:p>
    <w:p>
      <w:pPr>
        <w:ind w:firstLine="380"/>
        <w:spacing w:after="0" w:line="300" w:lineRule="auto"/>
        <w:tabs>
          <w:tab w:leader="none" w:pos="65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51" w:lineRule="exact"/>
        <w:rPr>
          <w:rFonts w:ascii="Arial" w:cs="Arial" w:eastAsia="Arial" w:hAnsi="Arial"/>
          <w:sz w:val="17"/>
          <w:szCs w:val="17"/>
          <w:color w:val="auto"/>
        </w:rPr>
      </w:pPr>
    </w:p>
    <w:p>
      <w:pPr>
        <w:ind w:firstLine="380"/>
        <w:spacing w:after="0" w:line="270" w:lineRule="auto"/>
        <w:tabs>
          <w:tab w:leader="none" w:pos="6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74" w:lineRule="exact"/>
        <w:rPr>
          <w:rFonts w:ascii="Arial" w:cs="Arial" w:eastAsia="Arial" w:hAnsi="Arial"/>
          <w:sz w:val="18"/>
          <w:szCs w:val="18"/>
          <w:color w:val="auto"/>
        </w:rPr>
      </w:pPr>
    </w:p>
    <w:p>
      <w:pPr>
        <w:ind w:left="720" w:hanging="340"/>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There is any affiliated transaction and its amount reaches or exceeds 10% of the latest audited net assets;</w:t>
      </w:r>
    </w:p>
    <w:p>
      <w:pPr>
        <w:spacing w:after="0" w:line="219" w:lineRule="exact"/>
        <w:rPr>
          <w:rFonts w:ascii="Arial" w:cs="Arial" w:eastAsia="Arial" w:hAnsi="Arial"/>
          <w:sz w:val="18"/>
          <w:szCs w:val="18"/>
          <w:color w:val="auto"/>
        </w:rPr>
      </w:pPr>
    </w:p>
    <w:p>
      <w:pPr>
        <w:ind w:firstLine="380"/>
        <w:spacing w:after="0" w:line="270" w:lineRule="auto"/>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Before repaying all the debts under this contract, the borrower becomes or may become the shareholder or the “actual controller” defined by the </w:t>
      </w:r>
      <w:r>
        <w:rPr>
          <w:rFonts w:ascii="Arial" w:cs="Arial" w:eastAsia="Arial" w:hAnsi="Arial"/>
          <w:sz w:val="18"/>
          <w:szCs w:val="18"/>
          <w:i w:val="1"/>
          <w:iCs w:val="1"/>
          <w:color w:val="auto"/>
        </w:rPr>
        <w:t xml:space="preserve">Company Law </w:t>
      </w:r>
      <w:r>
        <w:rPr>
          <w:rFonts w:ascii="Arial" w:cs="Arial" w:eastAsia="Arial" w:hAnsi="Arial"/>
          <w:sz w:val="18"/>
          <w:szCs w:val="18"/>
          <w:color w:val="auto"/>
        </w:rPr>
        <w:t>of the guarantor;</w:t>
      </w:r>
    </w:p>
    <w:p>
      <w:pPr>
        <w:spacing w:after="0" w:line="174" w:lineRule="exact"/>
        <w:rPr>
          <w:rFonts w:ascii="Arial" w:cs="Arial" w:eastAsia="Arial" w:hAnsi="Arial"/>
          <w:sz w:val="18"/>
          <w:szCs w:val="18"/>
          <w:color w:val="auto"/>
        </w:rPr>
      </w:pPr>
    </w:p>
    <w:p>
      <w:pPr>
        <w:ind w:firstLine="380"/>
        <w:spacing w:after="0" w:line="270" w:lineRule="auto"/>
        <w:tabs>
          <w:tab w:leader="none" w:pos="7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causes any liability accident or is made public by the media by violating any law, rule, regulation, national policy or industrial standard;</w:t>
      </w:r>
    </w:p>
    <w:p>
      <w:pPr>
        <w:spacing w:after="0" w:line="174" w:lineRule="exact"/>
        <w:rPr>
          <w:rFonts w:ascii="Arial" w:cs="Arial" w:eastAsia="Arial" w:hAnsi="Arial"/>
          <w:sz w:val="18"/>
          <w:szCs w:val="18"/>
          <w:color w:val="auto"/>
        </w:rPr>
      </w:pPr>
    </w:p>
    <w:p>
      <w:pPr>
        <w:ind w:left="720" w:hanging="340"/>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encounters any safety or environment protection accident;</w:t>
      </w:r>
    </w:p>
    <w:p>
      <w:pPr>
        <w:spacing w:after="0" w:line="219" w:lineRule="exact"/>
        <w:rPr>
          <w:rFonts w:ascii="Arial" w:cs="Arial" w:eastAsia="Arial" w:hAnsi="Arial"/>
          <w:sz w:val="18"/>
          <w:szCs w:val="18"/>
          <w:color w:val="auto"/>
        </w:rPr>
      </w:pPr>
    </w:p>
    <w:p>
      <w:pPr>
        <w:ind w:left="720" w:hanging="340"/>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relationship between the affiliate and the borrower is changed;</w:t>
      </w:r>
    </w:p>
    <w:p>
      <w:pPr>
        <w:spacing w:after="0" w:line="219" w:lineRule="exact"/>
        <w:rPr>
          <w:rFonts w:ascii="Arial" w:cs="Arial" w:eastAsia="Arial" w:hAnsi="Arial"/>
          <w:sz w:val="18"/>
          <w:szCs w:val="18"/>
          <w:color w:val="auto"/>
        </w:rPr>
      </w:pPr>
    </w:p>
    <w:p>
      <w:pPr>
        <w:ind w:left="720" w:hanging="340"/>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or its affiliate encounters any significant equity change;</w:t>
      </w:r>
    </w:p>
    <w:p>
      <w:pPr>
        <w:spacing w:after="0" w:line="219" w:lineRule="exact"/>
        <w:rPr>
          <w:rFonts w:ascii="Arial" w:cs="Arial" w:eastAsia="Arial" w:hAnsi="Arial"/>
          <w:sz w:val="18"/>
          <w:szCs w:val="18"/>
          <w:color w:val="auto"/>
        </w:rPr>
      </w:pPr>
    </w:p>
    <w:p>
      <w:pPr>
        <w:ind w:left="720" w:hanging="340"/>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opinion issued by the external audit of the borrower on its financial statements is not the standard unreserved opinion;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8" w:name="page259"/>
    <w:bookmarkEnd w:id="258"/>
    <w:p>
      <w:pPr>
        <w:ind w:firstLine="380"/>
        <w:spacing w:after="0" w:line="270" w:lineRule="auto"/>
        <w:tabs>
          <w:tab w:leader="none" w:pos="7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with other similar measures by the competent authority as it violates the law or rule and/or regulatory requirement;</w:t>
      </w:r>
    </w:p>
    <w:p>
      <w:pPr>
        <w:spacing w:after="0" w:line="174" w:lineRule="exact"/>
        <w:rPr>
          <w:rFonts w:ascii="Arial" w:cs="Arial" w:eastAsia="Arial" w:hAnsi="Arial"/>
          <w:sz w:val="18"/>
          <w:szCs w:val="18"/>
          <w:color w:val="auto"/>
        </w:rPr>
      </w:pPr>
    </w:p>
    <w:p>
      <w:pPr>
        <w:ind w:left="40" w:firstLine="366"/>
        <w:spacing w:after="0" w:line="270" w:lineRule="auto"/>
        <w:tabs>
          <w:tab w:leader="none" w:pos="76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borrower or its affiliate is listed to be sanctioned by the UN, EU or US, or the country or area where the borrower or its affiliate resides in is listed to be sanctioned by the UN, EU or US;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 There is any other event with serious adverse influence on the solvency of the borrower or its affiliate.</w:t>
      </w:r>
    </w:p>
    <w:p>
      <w:pPr>
        <w:spacing w:after="0" w:line="22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▲▲8.7 In case of any change of guarantee under this contract that is adverse to the creditor’s right of the loaner, the borrower should provide other guarantee recognized by the loaner in time.</w:t>
      </w:r>
    </w:p>
    <w:p>
      <w:pPr>
        <w:spacing w:after="0" w:line="175"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7" w:lineRule="exact"/>
        <w:rPr>
          <w:sz w:val="20"/>
          <w:szCs w:val="20"/>
          <w:color w:val="auto"/>
        </w:rPr>
      </w:pPr>
    </w:p>
    <w:p>
      <w:pPr>
        <w:jc w:val="both"/>
        <w:ind w:firstLine="380"/>
        <w:spacing w:after="0" w:line="306" w:lineRule="auto"/>
        <w:tabs>
          <w:tab w:leader="none" w:pos="57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50"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8.9 The borrower guarantees to obey laws, rules and relevant policies about the anti-money laundering of the government that it will not conduct any activity involving money laundering or terrorism financing, cooperate with the loaner in identifying the customer, keeping the transaction record, and reporting the large-amount and suspected transaction.</w:t>
      </w:r>
    </w:p>
    <w:p>
      <w:pPr>
        <w:spacing w:after="0" w:line="186"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7"/>
          <w:szCs w:val="17"/>
          <w:color w:val="auto"/>
        </w:rPr>
        <w:t>8.10 The borrower guarantees that the borrower, together with any of its employee or agent will not offer, present, require or receive any form of material interest not included in this contract to or from the loaner or its employee (including but not limited to cash, physical card, tour, etc.) or any other non-material interest; or use the fund or service provided by the loaner to any activity in relation to the corruption or bribery in any manner, whether directly or indirectly; once becoming aware of any circumstance breaching this article, the borrower should provide clues and relevant information to the loaner on an authentic, complete and accurate basis and offer the cooperation required by the loaner.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t>▲▲Article 9. Adjustment of Line of Credit, Acceleration of Maturity and Repricing of Risk</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9.1 Any event below should be deemed as the “early maturity event” of this contract:</w:t>
      </w:r>
    </w:p>
    <w:p>
      <w:pPr>
        <w:spacing w:after="0" w:line="220" w:lineRule="exact"/>
        <w:rPr>
          <w:sz w:val="20"/>
          <w:szCs w:val="20"/>
          <w:color w:val="auto"/>
        </w:rPr>
      </w:pPr>
    </w:p>
    <w:p>
      <w:pPr>
        <w:ind w:left="640" w:hanging="260"/>
        <w:spacing w:after="0"/>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The borrower does not repay the principal or interest of the loan according to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under this contract;</w:t>
      </w:r>
    </w:p>
    <w:p>
      <w:pPr>
        <w:spacing w:after="0" w:line="231" w:lineRule="exact"/>
        <w:rPr>
          <w:rFonts w:ascii="Arial" w:cs="Arial" w:eastAsia="Arial" w:hAnsi="Arial"/>
          <w:sz w:val="17"/>
          <w:szCs w:val="17"/>
          <w:color w:val="auto"/>
        </w:rPr>
      </w:pPr>
    </w:p>
    <w:p>
      <w:pPr>
        <w:ind w:left="640" w:hanging="260"/>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makes any false representation or guarantee under this contract;</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event that should be notified as specified in Article 8.6 occurs and influences or may influence the security of the creditor’s right of the loaner;</w:t>
      </w:r>
    </w:p>
    <w:p>
      <w:pPr>
        <w:spacing w:after="0" w:line="242" w:lineRule="exact"/>
        <w:rPr>
          <w:rFonts w:ascii="Arial" w:cs="Arial" w:eastAsia="Arial" w:hAnsi="Arial"/>
          <w:sz w:val="16"/>
          <w:szCs w:val="16"/>
          <w:color w:val="auto"/>
        </w:rPr>
      </w:pPr>
    </w:p>
    <w:p>
      <w:pPr>
        <w:ind w:left="640" w:hanging="260"/>
        <w:spacing w:after="0"/>
        <w:tabs>
          <w:tab w:leader="none" w:pos="6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law, rule or regulatory policy is changed to the extent that the loaner will or may violate the law or rule if it issues the loan according to this</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contract;</w:t>
      </w:r>
    </w:p>
    <w:p>
      <w:pPr>
        <w:spacing w:after="0" w:line="206" w:lineRule="exact"/>
        <w:rPr>
          <w:rFonts w:ascii="Arial" w:cs="Arial" w:eastAsia="Arial" w:hAnsi="Arial"/>
          <w:sz w:val="16"/>
          <w:szCs w:val="16"/>
          <w:color w:val="auto"/>
        </w:rPr>
      </w:pPr>
    </w:p>
    <w:p>
      <w:pPr>
        <w:ind w:firstLine="380"/>
        <w:spacing w:after="0" w:line="270" w:lineRule="auto"/>
        <w:tabs>
          <w:tab w:leader="none" w:pos="63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While performing the contract with the loaner or any third party, the borrower conducts any breach or the debt may be or has been announced to be mature in advance;</w:t>
      </w:r>
    </w:p>
    <w:p>
      <w:pPr>
        <w:spacing w:after="0" w:line="174" w:lineRule="exact"/>
        <w:rPr>
          <w:rFonts w:ascii="Arial" w:cs="Arial" w:eastAsia="Arial" w:hAnsi="Arial"/>
          <w:sz w:val="18"/>
          <w:szCs w:val="18"/>
          <w:color w:val="auto"/>
        </w:rPr>
      </w:pPr>
    </w:p>
    <w:p>
      <w:pPr>
        <w:ind w:left="640" w:hanging="260"/>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breaches any other article of this contract.</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9.2 In case of any “early maturity event”, the loaner may take any one, several or all measures below:</w:t>
      </w:r>
    </w:p>
    <w:p>
      <w:pPr>
        <w:spacing w:after="0" w:line="220" w:lineRule="exact"/>
        <w:rPr>
          <w:sz w:val="20"/>
          <w:szCs w:val="20"/>
          <w:color w:val="auto"/>
        </w:rPr>
      </w:pPr>
    </w:p>
    <w:p>
      <w:pPr>
        <w:ind w:left="640" w:hanging="260"/>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lower, suspend or cancel the line of credit under this contract;</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stop issuing the loan unused by the borrower;</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stop paying the loan unused but already withdrawn by the borrower;</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require the borrower to supplement the issuance and payment conditions of loan to the loaner with the regulated period;</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require the borrower to change the payment mode as required by the loaner;</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reprice against the risk in executing the loan according to Article 9.3;</w:t>
      </w:r>
    </w:p>
    <w:p>
      <w:pPr>
        <w:spacing w:after="0" w:line="219" w:lineRule="exact"/>
        <w:rPr>
          <w:rFonts w:ascii="Arial" w:cs="Arial" w:eastAsia="Arial" w:hAnsi="Arial"/>
          <w:sz w:val="18"/>
          <w:szCs w:val="18"/>
          <w:color w:val="auto"/>
        </w:rPr>
      </w:pPr>
    </w:p>
    <w:p>
      <w:pPr>
        <w:ind w:right="20" w:firstLine="380"/>
        <w:spacing w:after="0" w:line="270" w:lineRule="auto"/>
        <w:tabs>
          <w:tab w:leader="none" w:pos="62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announce that the principal of loan already issued under this contract becomes mature and require the borrower to repay the principal and interest of all the mature loan immediately.</w:t>
      </w:r>
    </w:p>
    <w:p>
      <w:pPr>
        <w:spacing w:after="0" w:line="17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86"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9.3.1 The repricing mentioned above consists of two modes, including repricing and directly raising the loan interest rate. The specific mode is agreed by both parties in Article 21.</w:t>
      </w:r>
    </w:p>
    <w:p>
      <w:pPr>
        <w:spacing w:after="0" w:line="175" w:lineRule="exact"/>
        <w:rPr>
          <w:sz w:val="20"/>
          <w:szCs w:val="20"/>
          <w:color w:val="auto"/>
        </w:rPr>
      </w:pPr>
    </w:p>
    <w:p>
      <w:pPr>
        <w:jc w:val="both"/>
        <w:ind w:firstLine="374"/>
        <w:spacing w:after="0" w:line="300" w:lineRule="auto"/>
        <w:rPr>
          <w:sz w:val="20"/>
          <w:szCs w:val="20"/>
          <w:color w:val="auto"/>
        </w:rPr>
      </w:pPr>
      <w:r>
        <w:rPr>
          <w:rFonts w:ascii="Arial" w:cs="Arial" w:eastAsia="Arial" w:hAnsi="Arial"/>
          <w:sz w:val="17"/>
          <w:szCs w:val="17"/>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0" w:name="page261"/>
    <w:bookmarkEnd w:id="260"/>
    <w:p>
      <w:pPr>
        <w:ind w:left="380"/>
        <w:spacing w:after="0"/>
        <w:rPr>
          <w:sz w:val="20"/>
          <w:szCs w:val="20"/>
          <w:color w:val="auto"/>
        </w:rPr>
      </w:pPr>
      <w:r>
        <w:rPr>
          <w:rFonts w:ascii="Arial" w:cs="Arial" w:eastAsia="Arial" w:hAnsi="Arial"/>
          <w:sz w:val="17"/>
          <w:szCs w:val="17"/>
          <w:color w:val="auto"/>
        </w:rPr>
        <w:t>9.3.3 “Direct raise of loan interest rate” means that the loaner may directly raise the loan interest rate according to this article and Article 21.</w:t>
      </w:r>
    </w:p>
    <w:p>
      <w:pPr>
        <w:spacing w:after="0" w:line="231" w:lineRule="exact"/>
        <w:rPr>
          <w:sz w:val="20"/>
          <w:szCs w:val="20"/>
          <w:color w:val="auto"/>
        </w:rPr>
      </w:pPr>
    </w:p>
    <w:p>
      <w:pPr>
        <w:ind w:firstLine="374"/>
        <w:spacing w:after="0" w:line="270" w:lineRule="auto"/>
        <w:rPr>
          <w:sz w:val="20"/>
          <w:szCs w:val="20"/>
          <w:color w:val="auto"/>
        </w:rPr>
      </w:pPr>
      <w:r>
        <w:rPr>
          <w:rFonts w:ascii="Arial" w:cs="Arial" w:eastAsia="Arial" w:hAnsi="Arial"/>
          <w:sz w:val="18"/>
          <w:szCs w:val="18"/>
          <w:color w:val="auto"/>
        </w:rPr>
        <w:t>9.3.3.1 Since the loan sends a notice of “repricing date” to the borrower, the loan interest rate should be applied to each loan that the borrower has not repaid by the “repricing date”.</w:t>
      </w:r>
    </w:p>
    <w:p>
      <w:pPr>
        <w:spacing w:after="0" w:line="175" w:lineRule="exact"/>
        <w:rPr>
          <w:sz w:val="20"/>
          <w:szCs w:val="20"/>
          <w:color w:val="auto"/>
        </w:rPr>
      </w:pPr>
    </w:p>
    <w:p>
      <w:pPr>
        <w:ind w:firstLine="374"/>
        <w:spacing w:after="0" w:line="333" w:lineRule="auto"/>
        <w:rPr>
          <w:sz w:val="20"/>
          <w:szCs w:val="20"/>
          <w:color w:val="auto"/>
        </w:rPr>
      </w:pPr>
      <w:r>
        <w:rPr>
          <w:rFonts w:ascii="Arial" w:cs="Arial" w:eastAsia="Arial" w:hAnsi="Arial"/>
          <w:sz w:val="16"/>
          <w:szCs w:val="16"/>
          <w:color w:val="auto"/>
        </w:rPr>
        <w:t>9.3.3.2 If the loan currency is RMB and the type of benchmark interest rate of each loan is kept unchanged, then the raised loan interest rate should be determined by the fluctuating extent/increase (decrease) value specified in Article 21 on the basis of the benchmark interest rate of “repricing date”.</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“repricing date” is set as T Day, then the benchmark interest rate to calculate the raised loan interest rate should be determined by following rules</w:t>
      </w:r>
    </w:p>
    <w:p>
      <w:pPr>
        <w:spacing w:after="0" w:line="243" w:lineRule="exact"/>
        <w:rPr>
          <w:sz w:val="20"/>
          <w:szCs w:val="20"/>
          <w:color w:val="auto"/>
        </w:rPr>
      </w:pPr>
    </w:p>
    <w:p>
      <w:pPr>
        <w:ind w:left="580" w:hanging="200"/>
        <w:spacing w:after="0"/>
        <w:tabs>
          <w:tab w:leader="none" w:pos="580" w:val="left"/>
        </w:tabs>
        <w:numPr>
          <w:ilvl w:val="0"/>
          <w:numId w:val="170"/>
        </w:numPr>
        <w:rPr>
          <w:rFonts w:ascii="MS PGothic" w:cs="MS PGothic" w:eastAsia="MS PGothic" w:hAnsi="MS PGothic"/>
          <w:sz w:val="16"/>
          <w:szCs w:val="16"/>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w:t>
      </w:r>
    </w:p>
    <w:p>
      <w:pPr>
        <w:spacing w:after="0" w:line="45"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T Day;</w:t>
      </w:r>
    </w:p>
    <w:p>
      <w:pPr>
        <w:spacing w:after="0" w:line="204" w:lineRule="exact"/>
        <w:rPr>
          <w:sz w:val="20"/>
          <w:szCs w:val="20"/>
          <w:color w:val="auto"/>
        </w:rPr>
      </w:pPr>
    </w:p>
    <w:p>
      <w:pPr>
        <w:jc w:val="both"/>
        <w:ind w:firstLine="380"/>
        <w:spacing w:after="0" w:line="258" w:lineRule="auto"/>
        <w:tabs>
          <w:tab w:leader="none" w:pos="609" w:val="left"/>
        </w:tabs>
        <w:numPr>
          <w:ilvl w:val="0"/>
          <w:numId w:val="171"/>
        </w:numPr>
        <w:rPr>
          <w:rFonts w:ascii="MS PGothic" w:cs="MS PGothic" w:eastAsia="MS PGothic" w:hAnsi="MS PGothic"/>
          <w:sz w:val="18"/>
          <w:szCs w:val="18"/>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jc w:val="both"/>
        <w:ind w:firstLine="380"/>
        <w:spacing w:after="0" w:line="258" w:lineRule="auto"/>
        <w:tabs>
          <w:tab w:leader="none" w:pos="584" w:val="left"/>
        </w:tabs>
        <w:numPr>
          <w:ilvl w:val="0"/>
          <w:numId w:val="172"/>
        </w:numPr>
        <w:rPr>
          <w:rFonts w:ascii="MS PGothic" w:cs="MS PGothic" w:eastAsia="MS PGothic" w:hAnsi="MS PGothic"/>
          <w:sz w:val="18"/>
          <w:szCs w:val="18"/>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9.3.3.3 If the loan is in any foreign currency, the raised loan interest rate should be determined according to Article 21.</w:t>
      </w:r>
    </w:p>
    <w:p>
      <w:pPr>
        <w:spacing w:after="0" w:line="220"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9.3.4 After the loaner reprices against the risk according to the article mentioned above, the new interest rate should be applied since the “repricing date”. Regulations on the fluctuation is still subject to that mentioned in Article 3 of this contract, and if both parties negotiate to change the relevant regulation, the changed regulation shall be applied. If the loan becomes overdue (including the circumstance that the borrower fails to make the repayment in time or the loan is announced by the loaner to be mature in advance) or embezzled, the overdue and embezzlement default interest rate should be determined on the basis of the new interest rate (including the interest rate adjusted according to regulations on fluctuation of this contract) while the compound interest rate should also be correspondingly adjusted.</w:t>
      </w:r>
    </w:p>
    <w:p>
      <w:pPr>
        <w:spacing w:after="0" w:line="190"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9.3.5 Execution of the “repricing against risk” should not be deemed or construed as that the loaner waives any other right under any law, rule or this contract. The loaner may take other protective measures for the creditor’s right according to laws, rules and this contract, including but not limited to measures specified in Article 9.2 of this contract.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t>▲▲Article 10. Breach</w:t>
      </w:r>
    </w:p>
    <w:p>
      <w:pPr>
        <w:spacing w:after="0" w:line="224" w:lineRule="exact"/>
        <w:rPr>
          <w:sz w:val="20"/>
          <w:szCs w:val="20"/>
          <w:color w:val="auto"/>
        </w:rPr>
      </w:pPr>
    </w:p>
    <w:p>
      <w:pPr>
        <w:jc w:val="both"/>
        <w:ind w:firstLine="374"/>
        <w:spacing w:after="0" w:line="281" w:lineRule="auto"/>
        <w:rPr>
          <w:sz w:val="20"/>
          <w:szCs w:val="20"/>
          <w:color w:val="auto"/>
        </w:rPr>
      </w:pPr>
      <w:r>
        <w:rPr>
          <w:rFonts w:ascii="Arial" w:cs="Arial" w:eastAsia="Arial" w:hAnsi="Arial"/>
          <w:sz w:val="17"/>
          <w:szCs w:val="17"/>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67"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Deduction</w:t>
      </w:r>
    </w:p>
    <w:p>
      <w:pPr>
        <w:spacing w:after="0" w:line="224"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86"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11.2 After such deduction, the loaner should inform the borrower of relevant account number, contract number, number of </w:t>
      </w:r>
      <w:r>
        <w:rPr>
          <w:rFonts w:ascii="Arial" w:cs="Arial" w:eastAsia="Arial" w:hAnsi="Arial"/>
          <w:sz w:val="18"/>
          <w:szCs w:val="18"/>
          <w:i w:val="1"/>
          <w:iCs w:val="1"/>
          <w:color w:val="auto"/>
        </w:rPr>
        <w:t>Application for Use of Line</w:t>
      </w:r>
      <w:r>
        <w:rPr>
          <w:rFonts w:ascii="Arial" w:cs="Arial" w:eastAsia="Arial" w:hAnsi="Arial"/>
          <w:sz w:val="18"/>
          <w:szCs w:val="18"/>
          <w:color w:val="auto"/>
        </w:rPr>
        <w:t xml:space="preserve"> </w:t>
      </w:r>
      <w:r>
        <w:rPr>
          <w:rFonts w:ascii="Arial" w:cs="Arial" w:eastAsia="Arial" w:hAnsi="Arial"/>
          <w:sz w:val="18"/>
          <w:szCs w:val="18"/>
          <w:i w:val="1"/>
          <w:iCs w:val="1"/>
          <w:color w:val="auto"/>
        </w:rPr>
        <w:t>of Credit</w:t>
      </w:r>
      <w:r>
        <w:rPr>
          <w:rFonts w:ascii="Arial" w:cs="Arial" w:eastAsia="Arial" w:hAnsi="Arial"/>
          <w:sz w:val="18"/>
          <w:szCs w:val="18"/>
          <w:color w:val="auto"/>
        </w:rPr>
        <w:t>, deduction amount and remaining debt.</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11.3 If the deducted fund is insufficient to repay all the debt of the borrower, the debt to be repaid by such fund should be determined according to this contract.</w:t>
      </w:r>
    </w:p>
    <w:p>
      <w:pPr>
        <w:spacing w:after="0" w:line="17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Notice</w:t>
      </w:r>
    </w:p>
    <w:p>
      <w:pPr>
        <w:spacing w:after="0" w:line="224"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86" w:lineRule="exact"/>
        <w:rPr>
          <w:sz w:val="20"/>
          <w:szCs w:val="20"/>
          <w:color w:val="auto"/>
        </w:rPr>
      </w:pPr>
    </w:p>
    <w:p>
      <w:pPr>
        <w:jc w:val="both"/>
        <w:ind w:firstLine="374"/>
        <w:spacing w:after="0" w:line="281" w:lineRule="auto"/>
        <w:rPr>
          <w:sz w:val="20"/>
          <w:szCs w:val="20"/>
          <w:color w:val="auto"/>
        </w:rPr>
      </w:pPr>
      <w:r>
        <w:rPr>
          <w:rFonts w:ascii="Arial" w:cs="Arial" w:eastAsia="Arial" w:hAnsi="Arial"/>
          <w:sz w:val="17"/>
          <w:szCs w:val="17"/>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67" w:lineRule="exact"/>
        <w:rPr>
          <w:sz w:val="20"/>
          <w:szCs w:val="20"/>
          <w:color w:val="auto"/>
        </w:rPr>
      </w:pPr>
    </w:p>
    <w:p>
      <w:pPr>
        <w:ind w:right="20" w:firstLine="380"/>
        <w:spacing w:after="0" w:line="270" w:lineRule="auto"/>
        <w:tabs>
          <w:tab w:leader="none" w:pos="64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loaner chooses the announcement, the date at which the loaner publishes the announcement on its website, online bank, telephone bank or outlet should be deemed as the delivery date;</w:t>
      </w:r>
    </w:p>
    <w:p>
      <w:pPr>
        <w:spacing w:after="0" w:line="174" w:lineRule="exact"/>
        <w:rPr>
          <w:rFonts w:ascii="Arial" w:cs="Arial" w:eastAsia="Arial" w:hAnsi="Arial"/>
          <w:sz w:val="18"/>
          <w:szCs w:val="18"/>
          <w:color w:val="auto"/>
        </w:rPr>
      </w:pPr>
    </w:p>
    <w:p>
      <w:pPr>
        <w:ind w:left="640" w:hanging="260"/>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loaner chooses the personal delivery, the date at which the borrower signs to confirm the reception should be deemed as the delivery date;</w:t>
      </w:r>
    </w:p>
    <w:p>
      <w:pPr>
        <w:spacing w:after="0" w:line="242" w:lineRule="exact"/>
        <w:rPr>
          <w:rFonts w:ascii="Arial" w:cs="Arial" w:eastAsia="Arial" w:hAnsi="Arial"/>
          <w:sz w:val="16"/>
          <w:szCs w:val="16"/>
          <w:color w:val="auto"/>
        </w:rPr>
      </w:pPr>
    </w:p>
    <w:p>
      <w:pPr>
        <w:jc w:val="both"/>
        <w:ind w:firstLine="380"/>
        <w:spacing w:after="0" w:line="258" w:lineRule="auto"/>
        <w:tabs>
          <w:tab w:leader="none" w:pos="62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2" w:name="page263"/>
    <w:bookmarkEnd w:id="262"/>
    <w:p>
      <w:pPr>
        <w:ind w:firstLine="380"/>
        <w:spacing w:after="0" w:line="300" w:lineRule="auto"/>
        <w:tabs>
          <w:tab w:leader="none" w:pos="63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the loaner chooses the fax, SMS or other electronic communication means to deliver the notice to the latest fax number of the borrower that the loaner knows, the mobile telephone number or e-mail appointed by the borrower, the sending date should be deemed as the delivery date.</w:t>
      </w:r>
    </w:p>
    <w:p>
      <w:pPr>
        <w:spacing w:after="0" w:line="152"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12.3 The borrower agrees that unless the loaner receives the written notice about changing the mailing address from the borrower, the mailing address provided by the borrower in this contract is the address for the court to send the judicial instrument and other written documents. During the process of dispute solution, if the court sends the judicial instrument or other written documents to the latest mailing address of the borrower that the loaner knows through the postal service (including express delivery, ordinary mail and registered mail), the date at which the borrower signs on the receipt should be regarded as the delivery date; if the borrower does not sign on the receipt, the third day (in the same city)/the fifth day (in different cities) since the sending date should be deemed as the delivery date;</w:t>
      </w:r>
    </w:p>
    <w:p>
      <w:pPr>
        <w:spacing w:after="0" w:line="190"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Except for the written judgment, written verdict or mediation agreement, the court may send any notice to the borrower by any communication means specified in Article 12.2. The court may choose the communication means it thinks fit but is relieved from any liability for the error, omission or delay caused by the postal service, fax, telephone or any other communication system. If the court chooses several manners, the one delivering the notice to the borrower, the fastest should prevail.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Disclosure and Confidentiality</w:t>
      </w:r>
    </w:p>
    <w:p>
      <w:pPr>
        <w:spacing w:after="0" w:line="224"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under following circumstances:</w:t>
      </w:r>
    </w:p>
    <w:p>
      <w:pPr>
        <w:spacing w:after="0" w:line="186" w:lineRule="exact"/>
        <w:rPr>
          <w:sz w:val="20"/>
          <w:szCs w:val="20"/>
          <w:color w:val="auto"/>
        </w:rPr>
      </w:pPr>
    </w:p>
    <w:p>
      <w:pPr>
        <w:ind w:left="640" w:hanging="260"/>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law or rule requires such disclosure;</w:t>
      </w:r>
    </w:p>
    <w:p>
      <w:pPr>
        <w:spacing w:after="0" w:line="219" w:lineRule="exact"/>
        <w:rPr>
          <w:rFonts w:ascii="Arial" w:cs="Arial" w:eastAsia="Arial" w:hAnsi="Arial"/>
          <w:sz w:val="18"/>
          <w:szCs w:val="18"/>
          <w:color w:val="auto"/>
        </w:rPr>
      </w:pPr>
    </w:p>
    <w:p>
      <w:pPr>
        <w:ind w:left="640" w:hanging="260"/>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such disclosure;</w:t>
      </w:r>
    </w:p>
    <w:p>
      <w:pPr>
        <w:spacing w:after="0" w:line="219" w:lineRule="exact"/>
        <w:rPr>
          <w:rFonts w:ascii="Arial" w:cs="Arial" w:eastAsia="Arial" w:hAnsi="Arial"/>
          <w:sz w:val="18"/>
          <w:szCs w:val="18"/>
          <w:color w:val="auto"/>
        </w:rPr>
      </w:pPr>
    </w:p>
    <w:p>
      <w:pPr>
        <w:ind w:firstLine="380"/>
        <w:spacing w:after="0" w:line="333" w:lineRule="auto"/>
        <w:tabs>
          <w:tab w:leader="none" w:pos="62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When the borrower does not repay the principal and/or interest of the loan in time, the loaner has to make the disclosure to the external professional advisor for the purpose of realizing the creditor’s right under this contract but such external professional advisor must assume the confidentiality obligation;</w:t>
      </w:r>
    </w:p>
    <w:p>
      <w:pPr>
        <w:spacing w:after="0" w:line="129" w:lineRule="exact"/>
        <w:rPr>
          <w:rFonts w:ascii="Arial" w:cs="Arial" w:eastAsia="Arial" w:hAnsi="Arial"/>
          <w:sz w:val="16"/>
          <w:szCs w:val="16"/>
          <w:color w:val="auto"/>
        </w:rPr>
      </w:pPr>
    </w:p>
    <w:p>
      <w:pPr>
        <w:ind w:left="640" w:hanging="260"/>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agrees or authorizes the loaner to make the disclosure.</w:t>
      </w:r>
    </w:p>
    <w:p>
      <w:pPr>
        <w:spacing w:after="0" w:line="22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13.2 The borrower confirms that it has signed the </w:t>
      </w:r>
      <w:r>
        <w:rPr>
          <w:rFonts w:ascii="Arial" w:cs="Arial" w:eastAsia="Arial" w:hAnsi="Arial"/>
          <w:sz w:val="18"/>
          <w:szCs w:val="18"/>
          <w:i w:val="1"/>
          <w:iCs w:val="1"/>
          <w:color w:val="auto"/>
        </w:rPr>
        <w:t>Credit Information Inquiry and Provision Authorization</w:t>
      </w:r>
      <w:r>
        <w:rPr>
          <w:rFonts w:ascii="Arial" w:cs="Arial" w:eastAsia="Arial" w:hAnsi="Arial"/>
          <w:sz w:val="18"/>
          <w:szCs w:val="18"/>
          <w:color w:val="auto"/>
        </w:rPr>
        <w:t>. The loaner may inquire, use and keep the credit information of the borrower within the scope regulated by the authorization.</w:t>
      </w:r>
    </w:p>
    <w:p>
      <w:pPr>
        <w:spacing w:after="0" w:line="175"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3" w:name="page264"/>
    <w:bookmarkEnd w:id="263"/>
    <w:p>
      <w:pPr>
        <w:jc w:val="both"/>
        <w:ind w:firstLine="374"/>
        <w:spacing w:after="0" w:line="216" w:lineRule="exact"/>
        <w:rPr>
          <w:sz w:val="20"/>
          <w:szCs w:val="20"/>
          <w:color w:val="auto"/>
        </w:rPr>
      </w:pPr>
      <w:r>
        <w:rPr>
          <w:rFonts w:ascii="Arial" w:cs="Arial" w:eastAsia="Arial" w:hAnsi="Arial"/>
          <w:sz w:val="18"/>
          <w:szCs w:val="18"/>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8"/>
          <w:szCs w:val="18"/>
          <w:color w:val="auto"/>
        </w:rPr>
        <w:t>①</w:t>
      </w:r>
      <w:r>
        <w:rPr>
          <w:rFonts w:ascii="Arial" w:cs="Arial" w:eastAsia="Arial" w:hAnsi="Arial"/>
          <w:sz w:val="18"/>
          <w:szCs w:val="18"/>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8"/>
          <w:szCs w:val="18"/>
          <w:color w:val="auto"/>
        </w:rPr>
        <w:t>②</w:t>
      </w:r>
      <w:r>
        <w:rPr>
          <w:rFonts w:ascii="Arial" w:cs="Arial" w:eastAsia="Arial" w:hAnsi="Arial"/>
          <w:sz w:val="18"/>
          <w:szCs w:val="18"/>
          <w:color w:val="auto"/>
        </w:rPr>
        <w:t xml:space="preserve"> The loaner provides or may provide the borrower with the new product or service, or further provides the service.</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Whether Article 13.3 is applicable should be subject to Article 24 of this contract.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Applicable Laws and Dispute Solution</w:t>
      </w:r>
    </w:p>
    <w:p>
      <w:pPr>
        <w:spacing w:after="0" w:line="224"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Effectiveness and Constitution of Contract</w:t>
      </w:r>
    </w:p>
    <w:p>
      <w:pPr>
        <w:spacing w:after="0" w:line="224" w:lineRule="exact"/>
        <w:rPr>
          <w:sz w:val="20"/>
          <w:szCs w:val="20"/>
          <w:color w:val="auto"/>
        </w:rPr>
      </w:pPr>
    </w:p>
    <w:p>
      <w:pPr>
        <w:jc w:val="both"/>
        <w:ind w:firstLine="374"/>
        <w:spacing w:after="0" w:line="333" w:lineRule="auto"/>
        <w:rPr>
          <w:sz w:val="20"/>
          <w:szCs w:val="20"/>
          <w:color w:val="auto"/>
        </w:rPr>
      </w:pPr>
      <w:r>
        <w:rPr>
          <w:rFonts w:ascii="Arial" w:cs="Arial" w:eastAsia="Arial" w:hAnsi="Arial"/>
          <w:sz w:val="16"/>
          <w:szCs w:val="16"/>
          <w:color w:val="auto"/>
        </w:rPr>
        <w:t>15.1 This contract takes effect with the signature of the legal representative (responsible person) or the authorized representative (or seal) and the common seal of the borrower, as well as the signature of the responsible person or the authorized representative (or seal) and the common seal of the loaner.</w:t>
      </w:r>
    </w:p>
    <w:p>
      <w:pPr>
        <w:spacing w:after="0" w:line="13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15.2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and other relevant documents and materials signed under this contract are indispensable parts of this contract.</w:t>
      </w:r>
    </w:p>
    <w:p>
      <w:pPr>
        <w:spacing w:after="0" w:line="17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is the supplement to this contract. Unless otherwise regulated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rights, obligations and other matters of the borrower and the loaner should still be subject to this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Specific Content of Line of Credit</w:t>
      </w:r>
    </w:p>
    <w:p>
      <w:pPr>
        <w:spacing w:after="0" w:line="191" w:lineRule="exact"/>
        <w:rPr>
          <w:sz w:val="20"/>
          <w:szCs w:val="20"/>
          <w:color w:val="auto"/>
        </w:rPr>
      </w:pPr>
    </w:p>
    <w:p>
      <w:pPr>
        <w:jc w:val="both"/>
        <w:ind w:firstLine="374"/>
        <w:spacing w:after="0" w:line="246" w:lineRule="exact"/>
        <w:rPr>
          <w:sz w:val="20"/>
          <w:szCs w:val="20"/>
          <w:color w:val="auto"/>
        </w:rPr>
      </w:pPr>
      <w:r>
        <w:rPr>
          <w:rFonts w:ascii="Arial" w:cs="Arial" w:eastAsia="Arial" w:hAnsi="Arial"/>
          <w:sz w:val="18"/>
          <w:szCs w:val="18"/>
          <w:color w:val="auto"/>
        </w:rPr>
        <w:t xml:space="preserve">16.1 Currency of line of credit: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Amount in words: </w:t>
      </w:r>
      <w:r>
        <w:rPr>
          <w:rFonts w:ascii="Arial" w:cs="Arial" w:eastAsia="Arial" w:hAnsi="Arial"/>
          <w:sz w:val="18"/>
          <w:szCs w:val="18"/>
          <w:u w:val="single" w:color="auto"/>
          <w:color w:val="auto"/>
        </w:rPr>
        <w:t>three million yuan;</w:t>
      </w:r>
      <w:r>
        <w:rPr>
          <w:rFonts w:ascii="Arial" w:cs="Arial" w:eastAsia="Arial" w:hAnsi="Arial"/>
          <w:sz w:val="18"/>
          <w:szCs w:val="18"/>
          <w:color w:val="auto"/>
        </w:rPr>
        <w:t xml:space="preserve"> Available for √ RMB </w:t>
      </w:r>
      <w:r>
        <w:rPr>
          <w:rFonts w:ascii="MS PGothic" w:cs="MS PGothic" w:eastAsia="MS PGothic" w:hAnsi="MS PGothic"/>
          <w:sz w:val="18"/>
          <w:szCs w:val="18"/>
          <w:color w:val="auto"/>
        </w:rPr>
        <w:t>☐</w:t>
      </w:r>
      <w:r>
        <w:rPr>
          <w:rFonts w:ascii="Arial" w:cs="Arial" w:eastAsia="Arial" w:hAnsi="Arial"/>
          <w:sz w:val="18"/>
          <w:szCs w:val="18"/>
          <w:color w:val="auto"/>
        </w:rPr>
        <w:t xml:space="preserve"> (foreign currency); Belonging to √ Revolving line of credit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line of credit (used for several time)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line of credit (used for only once).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16.2 Purpose of line of credit: </w:t>
      </w:r>
      <w:r>
        <w:rPr>
          <w:rFonts w:ascii="Arial" w:cs="Arial" w:eastAsia="Arial" w:hAnsi="Arial"/>
          <w:sz w:val="18"/>
          <w:szCs w:val="18"/>
          <w:u w:val="single" w:color="auto"/>
          <w:color w:val="auto"/>
        </w:rPr>
        <w:t>operation turnover</w:t>
      </w:r>
      <w:r>
        <w:rPr>
          <w:rFonts w:ascii="Arial" w:cs="Arial" w:eastAsia="Arial" w:hAnsi="Arial"/>
          <w:sz w:val="18"/>
          <w:szCs w:val="18"/>
          <w:color w:val="auto"/>
        </w:rPr>
        <w:t xml:space="preserve"> .</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16.3 Period of line of credit is November 21, 2019 to November 21,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Interest Rate</w:t>
      </w:r>
    </w:p>
    <w:p>
      <w:pPr>
        <w:spacing w:after="0" w:line="224"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If the loan is in any foreign currency, the determination and adjustment of interest rate, and the default interest rate of overdue and embezzled loan are regulated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Account</w:t>
      </w:r>
    </w:p>
    <w:p>
      <w:pPr>
        <w:spacing w:after="0" w:line="191" w:lineRule="exact"/>
        <w:rPr>
          <w:sz w:val="20"/>
          <w:szCs w:val="20"/>
          <w:color w:val="auto"/>
        </w:rPr>
      </w:pPr>
    </w:p>
    <w:p>
      <w:pPr>
        <w:ind w:firstLine="374"/>
        <w:spacing w:after="0" w:line="237" w:lineRule="exact"/>
        <w:rPr>
          <w:sz w:val="20"/>
          <w:szCs w:val="20"/>
          <w:color w:val="auto"/>
        </w:rPr>
      </w:pPr>
      <w:r>
        <w:rPr>
          <w:rFonts w:ascii="Arial" w:cs="Arial" w:eastAsia="Arial" w:hAnsi="Arial"/>
          <w:sz w:val="16"/>
          <w:szCs w:val="16"/>
          <w:color w:val="auto"/>
        </w:rPr>
        <w:t xml:space="preserve">18.1 The borrower appoints the following account to be the issuance account. The account </w:t>
      </w:r>
      <w:r>
        <w:rPr>
          <w:rFonts w:ascii="MS PGothic" w:cs="MS PGothic" w:eastAsia="MS PGothic" w:hAnsi="MS PGothic"/>
          <w:sz w:val="16"/>
          <w:szCs w:val="16"/>
          <w:color w:val="auto"/>
        </w:rPr>
        <w:t>☐</w:t>
      </w:r>
      <w:r>
        <w:rPr>
          <w:rFonts w:ascii="Arial" w:cs="Arial" w:eastAsia="Arial" w:hAnsi="Arial"/>
          <w:sz w:val="16"/>
          <w:szCs w:val="16"/>
          <w:color w:val="auto"/>
        </w:rPr>
        <w:t xml:space="preserve"> is √ is not the dedicated loan issuance account opened at the loaner. If both parties otherwise regulate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such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should prevail.</w:t>
      </w:r>
    </w:p>
    <w:p>
      <w:pPr>
        <w:sectPr>
          <w:pgSz w:w="11900" w:h="16838" w:orient="portrait"/>
          <w:cols w:equalWidth="0" w:num="1">
            <w:col w:w="11240"/>
          </w:cols>
          <w:pgMar w:left="320" w:top="899" w:right="339" w:bottom="1440" w:gutter="0" w:footer="0" w:header="0"/>
        </w:sect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CLPS</w:t>
      </w:r>
    </w:p>
    <w:p>
      <w:pPr>
        <w:spacing w:after="0" w:line="200" w:lineRule="exact"/>
        <w:rPr>
          <w:sz w:val="20"/>
          <w:szCs w:val="20"/>
          <w:color w:val="auto"/>
        </w:rPr>
      </w:pPr>
    </w:p>
    <w:p>
      <w:pPr>
        <w:sectPr>
          <w:pgSz w:w="11900" w:h="16838" w:orient="portrait"/>
          <w:cols w:equalWidth="0" w:num="2">
            <w:col w:w="1460" w:space="520"/>
            <w:col w:w="9260"/>
          </w:cols>
          <w:pgMar w:left="320" w:top="899" w:right="339" w:bottom="1440" w:gutter="0" w:footer="0" w:header="0"/>
          <w:type w:val="continuous"/>
        </w:sectPr>
      </w:pP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310066865018010213932</w:t>
      </w:r>
    </w:p>
    <w:p>
      <w:pPr>
        <w:spacing w:after="0" w:line="222" w:lineRule="exact"/>
        <w:rPr>
          <w:sz w:val="20"/>
          <w:szCs w:val="20"/>
          <w:color w:val="auto"/>
        </w:rPr>
      </w:pPr>
    </w:p>
    <w:p>
      <w:pPr>
        <w:sectPr>
          <w:pgSz w:w="11900" w:h="16838" w:orient="portrait"/>
          <w:cols w:equalWidth="0" w:num="2">
            <w:col w:w="1620" w:space="360"/>
            <w:col w:w="9260"/>
          </w:cols>
          <w:pgMar w:left="320" w:top="899" w:right="339" w:bottom="1440" w:gutter="0" w:footer="0" w:header="0"/>
          <w:type w:val="continuous"/>
        </w:sectPr>
      </w:pP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deposit: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Zhangjiang Sub-branch of Bank of Communications</w:t>
      </w:r>
    </w:p>
    <w:p>
      <w:pPr>
        <w:spacing w:after="0" w:line="200" w:lineRule="exact"/>
        <w:rPr>
          <w:sz w:val="20"/>
          <w:szCs w:val="20"/>
          <w:color w:val="auto"/>
        </w:rPr>
      </w:pPr>
    </w:p>
    <w:p>
      <w:pPr>
        <w:sectPr>
          <w:pgSz w:w="11900" w:h="16838" w:orient="portrait"/>
          <w:cols w:equalWidth="0" w:num="2">
            <w:col w:w="1560" w:space="420"/>
            <w:col w:w="9260"/>
          </w:cols>
          <w:pgMar w:left="320" w:top="899" w:right="339" w:bottom="1440" w:gutter="0" w:footer="0" w:header="0"/>
          <w:type w:val="continuous"/>
        </w:sectPr>
      </w:pP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18.2 The borrower appoints that: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The repayment account:</w:t>
      </w:r>
    </w:p>
    <w:p>
      <w:pPr>
        <w:sectPr>
          <w:pgSz w:w="11900" w:h="16838" w:orient="portrait"/>
          <w:cols w:equalWidth="0" w:num="1">
            <w:col w:w="11240"/>
          </w:cols>
          <w:pgMar w:left="320" w:top="899" w:right="339" w:bottom="1440" w:gutter="0" w:footer="0" w:header="0"/>
          <w:type w:val="continuous"/>
        </w:sect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CLPS</w:t>
      </w:r>
    </w:p>
    <w:p>
      <w:pPr>
        <w:spacing w:after="0" w:line="200" w:lineRule="exact"/>
        <w:rPr>
          <w:sz w:val="20"/>
          <w:szCs w:val="20"/>
          <w:color w:val="auto"/>
        </w:rPr>
      </w:pPr>
    </w:p>
    <w:p>
      <w:pPr>
        <w:sectPr>
          <w:pgSz w:w="11900" w:h="16838" w:orient="portrait"/>
          <w:cols w:equalWidth="0" w:num="2">
            <w:col w:w="1460" w:space="520"/>
            <w:col w:w="9260"/>
          </w:cols>
          <w:pgMar w:left="320" w:top="899" w:right="339" w:bottom="1440" w:gutter="0" w:footer="0" w:header="0"/>
          <w:type w:val="continuous"/>
        </w:sectPr>
      </w:pP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310066865018010213932</w:t>
      </w:r>
    </w:p>
    <w:p>
      <w:pPr>
        <w:spacing w:after="0" w:line="222" w:lineRule="exact"/>
        <w:rPr>
          <w:sz w:val="20"/>
          <w:szCs w:val="20"/>
          <w:color w:val="auto"/>
        </w:rPr>
      </w:pPr>
    </w:p>
    <w:p>
      <w:pPr>
        <w:sectPr>
          <w:pgSz w:w="11900" w:h="16838" w:orient="portrait"/>
          <w:cols w:equalWidth="0" w:num="2">
            <w:col w:w="1620" w:space="360"/>
            <w:col w:w="9260"/>
          </w:cols>
          <w:pgMar w:left="320" w:top="899" w:right="339" w:bottom="1440" w:gutter="0" w:footer="0" w:header="0"/>
          <w:type w:val="continuous"/>
        </w:sectPr>
      </w:pP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deposit: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Zhangjiang Sub-branch of Bank of Communications</w:t>
      </w:r>
    </w:p>
    <w:p>
      <w:pPr>
        <w:spacing w:after="0" w:line="200" w:lineRule="exact"/>
        <w:rPr>
          <w:sz w:val="20"/>
          <w:szCs w:val="20"/>
          <w:color w:val="auto"/>
        </w:rPr>
      </w:pPr>
    </w:p>
    <w:p>
      <w:pPr>
        <w:sectPr>
          <w:pgSz w:w="11900" w:h="16838" w:orient="portrait"/>
          <w:cols w:equalWidth="0" w:num="2">
            <w:col w:w="1560" w:space="420"/>
            <w:col w:w="9260"/>
          </w:cols>
          <w:pgMar w:left="320" w:top="899" w:right="339" w:bottom="1440" w:gutter="0" w:footer="0" w:header="0"/>
          <w:type w:val="continuous"/>
        </w:sectPr>
      </w:pP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 The fund collection account:</w:t>
      </w:r>
    </w:p>
    <w:p>
      <w:pPr>
        <w:sectPr>
          <w:pgSz w:w="11900" w:h="16838" w:orient="portrait"/>
          <w:cols w:equalWidth="0" w:num="1">
            <w:col w:w="11240"/>
          </w:cols>
          <w:pgMar w:left="320" w:top="899" w:right="339" w:bottom="1440" w:gutter="0" w:footer="0" w:header="0"/>
          <w:type w:val="continuous"/>
        </w:sectPr>
      </w:pP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CLPS</w:t>
      </w:r>
    </w:p>
    <w:p>
      <w:pPr>
        <w:spacing w:after="0" w:line="200" w:lineRule="exact"/>
        <w:rPr>
          <w:sz w:val="20"/>
          <w:szCs w:val="20"/>
          <w:color w:val="auto"/>
        </w:rPr>
      </w:pPr>
    </w:p>
    <w:p>
      <w:pPr>
        <w:sectPr>
          <w:pgSz w:w="11900" w:h="16838" w:orient="portrait"/>
          <w:cols w:equalWidth="0" w:num="2">
            <w:col w:w="1460" w:space="520"/>
            <w:col w:w="9260"/>
          </w:cols>
          <w:pgMar w:left="320" w:top="899" w:right="339" w:bottom="1440" w:gutter="0" w:footer="0" w:header="0"/>
          <w:type w:val="continuous"/>
        </w:sectPr>
      </w:pP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310066865018010213932</w:t>
      </w:r>
    </w:p>
    <w:p>
      <w:pPr>
        <w:spacing w:after="0" w:line="222" w:lineRule="exact"/>
        <w:rPr>
          <w:sz w:val="20"/>
          <w:szCs w:val="20"/>
          <w:color w:val="auto"/>
        </w:rPr>
      </w:pPr>
    </w:p>
    <w:p>
      <w:pPr>
        <w:sectPr>
          <w:pgSz w:w="11900" w:h="16838" w:orient="portrait"/>
          <w:cols w:equalWidth="0" w:num="2">
            <w:col w:w="1620" w:space="360"/>
            <w:col w:w="9260"/>
          </w:cols>
          <w:pgMar w:left="320" w:top="899" w:right="339" w:bottom="1440" w:gutter="0" w:footer="0" w:header="0"/>
          <w:type w:val="continuous"/>
        </w:sectPr>
      </w:pP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deposit: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Zhangjiang Sub-branch of Bank of Communications</w:t>
      </w:r>
    </w:p>
    <w:p>
      <w:pPr>
        <w:spacing w:after="0" w:line="200" w:lineRule="exact"/>
        <w:rPr>
          <w:sz w:val="20"/>
          <w:szCs w:val="20"/>
          <w:color w:val="auto"/>
        </w:rPr>
      </w:pPr>
    </w:p>
    <w:p>
      <w:pPr>
        <w:sectPr>
          <w:pgSz w:w="11900" w:h="16838" w:orient="portrait"/>
          <w:cols w:equalWidth="0" w:num="2">
            <w:col w:w="1560" w:space="420"/>
            <w:col w:w="9260"/>
          </w:cols>
          <w:pgMar w:left="320" w:top="899"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Issuance, Payment and Repayment of Loan</w:t>
      </w:r>
    </w:p>
    <w:p>
      <w:pPr>
        <w:spacing w:after="0" w:line="191" w:lineRule="exact"/>
        <w:rPr>
          <w:sz w:val="20"/>
          <w:szCs w:val="20"/>
          <w:color w:val="auto"/>
        </w:rPr>
      </w:pPr>
    </w:p>
    <w:p>
      <w:pPr>
        <w:ind w:right="20" w:firstLine="374"/>
        <w:spacing w:after="0" w:line="236" w:lineRule="exact"/>
        <w:rPr>
          <w:sz w:val="20"/>
          <w:szCs w:val="20"/>
          <w:color w:val="auto"/>
        </w:rPr>
      </w:pPr>
      <w:r>
        <w:rPr>
          <w:rFonts w:ascii="Arial" w:cs="Arial" w:eastAsia="Arial" w:hAnsi="Arial"/>
          <w:sz w:val="18"/>
          <w:szCs w:val="18"/>
          <w:color w:val="auto"/>
        </w:rPr>
        <w:t xml:space="preserve">19.1 The period of each loan withdrawn under this contract should be no longer than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days, and the maturity date of all the loan should be no later than May 21, 2021.</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19.2 The limit of independent payment under this contract should be RMB 0.</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19.3 The entrusted payment by loaner is compulsory once any condition below is met: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335280</wp:posOffset>
            </wp:positionV>
            <wp:extent cx="713422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374"/>
        <w:spacing w:after="0" w:line="270" w:lineRule="auto"/>
        <w:rPr>
          <w:sz w:val="20"/>
          <w:szCs w:val="20"/>
          <w:color w:val="auto"/>
        </w:rPr>
      </w:pPr>
      <w:r>
        <w:rPr>
          <w:rFonts w:ascii="Arial" w:cs="Arial" w:eastAsia="Arial" w:hAnsi="Arial"/>
          <w:sz w:val="18"/>
          <w:szCs w:val="18"/>
          <w:color w:val="auto"/>
        </w:rPr>
        <w:t>19.4 In the mode of independent payment by the borrower, the borrower should report the payment of loan fund to the loaner within 15 days since the issuance of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Financial Restriction, External Rating, Production and Operation Qualification/License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20.1 Limit on the external investment by the borrower is RMB10,000,000,000; limit on the increase of debt financing is RMB10,000,000,000.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65" w:name="page266"/>
    <w:bookmarkEnd w:id="265"/>
    <w:p>
      <w:pPr>
        <w:ind w:left="380"/>
        <w:spacing w:after="0"/>
        <w:rPr>
          <w:sz w:val="20"/>
          <w:szCs w:val="20"/>
          <w:color w:val="auto"/>
        </w:rPr>
      </w:pPr>
      <w:r>
        <w:rPr>
          <w:rFonts w:ascii="Arial" w:cs="Arial" w:eastAsia="Arial" w:hAnsi="Arial"/>
          <w:sz w:val="18"/>
          <w:szCs w:val="18"/>
          <w:color w:val="auto"/>
        </w:rPr>
        <w:t>20.2 Specific regulations on the financial indexes of the borrower:</w:t>
      </w:r>
    </w:p>
    <w:p>
      <w:pPr>
        <w:spacing w:after="0" w:line="220" w:lineRule="exact"/>
        <w:rPr>
          <w:sz w:val="20"/>
          <w:szCs w:val="20"/>
          <w:color w:val="auto"/>
        </w:rPr>
      </w:pPr>
    </w:p>
    <w:p>
      <w:pPr>
        <w:ind w:left="380"/>
        <w:spacing w:after="0"/>
        <w:tabs>
          <w:tab w:leader="none" w:pos="5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20.3 Specific regulations on the external rating:</w:t>
      </w:r>
    </w:p>
    <w:p>
      <w:pPr>
        <w:spacing w:after="0" w:line="220" w:lineRule="exact"/>
        <w:rPr>
          <w:sz w:val="20"/>
          <w:szCs w:val="20"/>
          <w:color w:val="auto"/>
        </w:rPr>
      </w:pPr>
    </w:p>
    <w:p>
      <w:pPr>
        <w:ind w:left="380"/>
        <w:spacing w:after="0"/>
        <w:tabs>
          <w:tab w:leader="none" w:pos="5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20.4 Specific regulations on the production and operation qualification/license of the borrower:</w:t>
      </w:r>
    </w:p>
    <w:p>
      <w:pPr>
        <w:spacing w:after="0" w:line="220" w:lineRule="exact"/>
        <w:rPr>
          <w:sz w:val="20"/>
          <w:szCs w:val="20"/>
          <w:color w:val="auto"/>
        </w:rPr>
      </w:pPr>
    </w:p>
    <w:p>
      <w:pPr>
        <w:ind w:left="380"/>
        <w:spacing w:after="0"/>
        <w:tabs>
          <w:tab w:leader="none" w:pos="5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13335</wp:posOffset>
            </wp:positionV>
            <wp:extent cx="665924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6659245"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Repricing of Risk</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21.1 This contract adopts the first repricing mode below: (1) Repricing through negotiations; (2) Direct raising the loan interest rate.</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 Once the “direct raising the loan interest rate” is adopted:</w:t>
      </w:r>
    </w:p>
    <w:p>
      <w:pPr>
        <w:spacing w:after="0" w:line="187" w:lineRule="exact"/>
        <w:rPr>
          <w:sz w:val="20"/>
          <w:szCs w:val="20"/>
          <w:color w:val="auto"/>
        </w:rPr>
      </w:pPr>
    </w:p>
    <w:p>
      <w:pPr>
        <w:jc w:val="both"/>
        <w:ind w:firstLine="374"/>
        <w:spacing w:after="0" w:line="225" w:lineRule="exact"/>
        <w:rPr>
          <w:sz w:val="20"/>
          <w:szCs w:val="20"/>
          <w:color w:val="auto"/>
        </w:rPr>
      </w:pPr>
      <w:r>
        <w:rPr>
          <w:rFonts w:ascii="Arial" w:cs="Arial" w:eastAsia="Arial" w:hAnsi="Arial"/>
          <w:sz w:val="18"/>
          <w:szCs w:val="18"/>
          <w:color w:val="auto"/>
        </w:rPr>
        <w:t xml:space="preserve">21.2.1 If the loan currency is RMB, the fluctuation extent/increase (decrease) value of the raised loan: </w:t>
      </w:r>
      <w:r>
        <w:rPr>
          <w:rFonts w:ascii="MS PGothic" w:cs="MS PGothic" w:eastAsia="MS PGothic" w:hAnsi="MS PGothic"/>
          <w:sz w:val="18"/>
          <w:szCs w:val="18"/>
          <w:color w:val="auto"/>
        </w:rPr>
        <w:t>☐</w:t>
      </w:r>
      <w:r>
        <w:rPr>
          <w:rFonts w:ascii="Arial" w:cs="Arial" w:eastAsia="Arial" w:hAnsi="Arial"/>
          <w:sz w:val="18"/>
          <w:szCs w:val="18"/>
          <w:color w:val="auto"/>
        </w:rPr>
        <w:t xml:space="preserve"> Benchmark interest rate (without fluctuation/increase or decrease) </w:t>
      </w:r>
      <w:r>
        <w:rPr>
          <w:rFonts w:ascii="MS PGothic" w:cs="MS PGothic" w:eastAsia="MS PGothic" w:hAnsi="MS PGothic"/>
          <w:sz w:val="18"/>
          <w:szCs w:val="18"/>
          <w:color w:val="auto"/>
        </w:rPr>
        <w:t>☐</w:t>
      </w:r>
      <w:r>
        <w:rPr>
          <w:rFonts w:ascii="Arial" w:cs="Arial" w:eastAsia="Arial" w:hAnsi="Arial"/>
          <w:sz w:val="18"/>
          <w:szCs w:val="18"/>
          <w:color w:val="auto"/>
        </w:rPr>
        <w:t xml:space="preserve"> Fluctuated upwards by / % </w:t>
      </w:r>
      <w:r>
        <w:rPr>
          <w:rFonts w:ascii="MS PGothic" w:cs="MS PGothic" w:eastAsia="MS PGothic" w:hAnsi="MS PGothic"/>
          <w:sz w:val="18"/>
          <w:szCs w:val="18"/>
          <w:color w:val="auto"/>
        </w:rPr>
        <w:t>☐</w:t>
      </w:r>
      <w:r>
        <w:rPr>
          <w:rFonts w:ascii="Arial" w:cs="Arial" w:eastAsia="Arial" w:hAnsi="Arial"/>
          <w:sz w:val="18"/>
          <w:szCs w:val="18"/>
          <w:color w:val="auto"/>
        </w:rPr>
        <w:t xml:space="preserve"> Fluctuated downwards by / % </w:t>
      </w:r>
      <w:r>
        <w:rPr>
          <w:rFonts w:ascii="MS PGothic" w:cs="MS PGothic" w:eastAsia="MS PGothic" w:hAnsi="MS PGothic"/>
          <w:sz w:val="18"/>
          <w:szCs w:val="18"/>
          <w:color w:val="auto"/>
        </w:rPr>
        <w:t>☐</w:t>
      </w:r>
      <w:r>
        <w:rPr>
          <w:rFonts w:ascii="Arial" w:cs="Arial" w:eastAsia="Arial" w:hAnsi="Arial"/>
          <w:sz w:val="18"/>
          <w:szCs w:val="18"/>
          <w:color w:val="auto"/>
        </w:rPr>
        <w:t xml:space="preserve"> Increased by / % </w:t>
      </w:r>
      <w:r>
        <w:rPr>
          <w:rFonts w:ascii="MS PGothic" w:cs="MS PGothic" w:eastAsia="MS PGothic" w:hAnsi="MS PGothic"/>
          <w:sz w:val="18"/>
          <w:szCs w:val="18"/>
          <w:color w:val="auto"/>
        </w:rPr>
        <w:t>☐</w:t>
      </w:r>
      <w:r>
        <w:rPr>
          <w:rFonts w:ascii="Arial" w:cs="Arial" w:eastAsia="Arial" w:hAnsi="Arial"/>
          <w:sz w:val="18"/>
          <w:szCs w:val="18"/>
          <w:color w:val="auto"/>
        </w:rPr>
        <w:t xml:space="preserve"> Decreased by / %. If any specific regulation is reached in a certain loan, the fluctuation extent/increase (decrease) value of the raised interest rate should be subject to the applicable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-293370</wp:posOffset>
            </wp:positionV>
            <wp:extent cx="2006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2006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-293370</wp:posOffset>
            </wp:positionV>
            <wp:extent cx="2006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20066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-293370</wp:posOffset>
            </wp:positionV>
            <wp:extent cx="331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33147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-293370</wp:posOffset>
            </wp:positionV>
            <wp:extent cx="3117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21.2.2 If the loan currency is a foreign currency, interest rate of the raised loan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284480</wp:posOffset>
            </wp:positionV>
            <wp:extent cx="121983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12198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Contact Details</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Contact details of the borrower to receive the notice specified in Article 12:</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248"/>
        </w:trPr>
        <w:tc>
          <w:tcPr>
            <w:tcW w:w="1880" w:type="dxa"/>
            <w:vAlign w:val="bottom"/>
          </w:tcPr>
          <w:p>
            <w:pPr>
              <w:spacing w:after="0"/>
              <w:rPr>
                <w:sz w:val="20"/>
                <w:szCs w:val="20"/>
                <w:color w:val="auto"/>
              </w:rPr>
            </w:pPr>
            <w:r>
              <w:rPr>
                <w:rFonts w:ascii="Arial" w:cs="Arial" w:eastAsia="Arial" w:hAnsi="Arial"/>
                <w:sz w:val="18"/>
                <w:szCs w:val="18"/>
                <w:color w:val="auto"/>
              </w:rPr>
              <w:t>Mailing address:</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2F, Building 18, 498 Guoshoujing Road</w:t>
            </w:r>
          </w:p>
        </w:tc>
      </w:tr>
      <w:tr>
        <w:trPr>
          <w:trHeight w:val="434"/>
        </w:trPr>
        <w:tc>
          <w:tcPr>
            <w:tcW w:w="1880" w:type="dxa"/>
            <w:vAlign w:val="bottom"/>
          </w:tcPr>
          <w:p>
            <w:pPr>
              <w:spacing w:after="0"/>
              <w:rPr>
                <w:sz w:val="20"/>
                <w:szCs w:val="20"/>
                <w:color w:val="auto"/>
              </w:rPr>
            </w:pPr>
            <w:r>
              <w:rPr>
                <w:rFonts w:ascii="Arial" w:cs="Arial" w:eastAsia="Arial" w:hAnsi="Arial"/>
                <w:sz w:val="18"/>
                <w:szCs w:val="18"/>
                <w:color w:val="auto"/>
              </w:rPr>
              <w:t>Addressee: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 Jin</w:t>
            </w:r>
          </w:p>
        </w:tc>
      </w:tr>
      <w:tr>
        <w:trPr>
          <w:trHeight w:val="434"/>
        </w:trPr>
        <w:tc>
          <w:tcPr>
            <w:tcW w:w="1880" w:type="dxa"/>
            <w:vAlign w:val="bottom"/>
          </w:tcPr>
          <w:p>
            <w:pPr>
              <w:spacing w:after="0"/>
              <w:rPr>
                <w:sz w:val="20"/>
                <w:szCs w:val="20"/>
                <w:color w:val="auto"/>
              </w:rPr>
            </w:pPr>
            <w:r>
              <w:rPr>
                <w:rFonts w:ascii="Arial" w:cs="Arial" w:eastAsia="Arial" w:hAnsi="Arial"/>
                <w:sz w:val="18"/>
                <w:szCs w:val="18"/>
                <w:color w:val="auto"/>
              </w:rPr>
              <w:t>Post code:</w:t>
            </w:r>
          </w:p>
        </w:tc>
        <w:tc>
          <w:tcPr>
            <w:tcW w:w="3360" w:type="dxa"/>
            <w:vAlign w:val="bottom"/>
            <w:tcBorders>
              <w:bottom w:val="single" w:sz="8" w:color="auto"/>
            </w:tcBorders>
          </w:tcPr>
          <w:p>
            <w:pPr>
              <w:spacing w:after="0"/>
              <w:rPr>
                <w:sz w:val="24"/>
                <w:szCs w:val="24"/>
                <w:color w:val="auto"/>
              </w:rPr>
            </w:pPr>
          </w:p>
        </w:tc>
      </w:tr>
      <w:tr>
        <w:trPr>
          <w:trHeight w:val="434"/>
        </w:trPr>
        <w:tc>
          <w:tcPr>
            <w:tcW w:w="1880" w:type="dxa"/>
            <w:vAlign w:val="bottom"/>
          </w:tcPr>
          <w:p>
            <w:pPr>
              <w:spacing w:after="0"/>
              <w:rPr>
                <w:sz w:val="20"/>
                <w:szCs w:val="20"/>
                <w:color w:val="auto"/>
              </w:rPr>
            </w:pPr>
            <w:r>
              <w:rPr>
                <w:rFonts w:ascii="Arial" w:cs="Arial" w:eastAsia="Arial" w:hAnsi="Arial"/>
                <w:sz w:val="18"/>
                <w:szCs w:val="18"/>
                <w:color w:val="auto"/>
              </w:rPr>
              <w:t>Tel:</w:t>
            </w:r>
          </w:p>
        </w:tc>
        <w:tc>
          <w:tcPr>
            <w:tcW w:w="3360" w:type="dxa"/>
            <w:vAlign w:val="bottom"/>
            <w:tcBorders>
              <w:bottom w:val="single" w:sz="8" w:color="auto"/>
            </w:tcBorders>
          </w:tcPr>
          <w:p>
            <w:pPr>
              <w:spacing w:after="0"/>
              <w:rPr>
                <w:sz w:val="24"/>
                <w:szCs w:val="24"/>
                <w:color w:val="auto"/>
              </w:rPr>
            </w:pPr>
          </w:p>
        </w:tc>
      </w:tr>
      <w:tr>
        <w:trPr>
          <w:trHeight w:val="434"/>
        </w:trPr>
        <w:tc>
          <w:tcPr>
            <w:tcW w:w="1880" w:type="dxa"/>
            <w:vAlign w:val="bottom"/>
          </w:tcPr>
          <w:p>
            <w:pPr>
              <w:spacing w:after="0"/>
              <w:rPr>
                <w:sz w:val="20"/>
                <w:szCs w:val="20"/>
                <w:color w:val="auto"/>
              </w:rPr>
            </w:pPr>
            <w:r>
              <w:rPr>
                <w:rFonts w:ascii="Arial" w:cs="Arial" w:eastAsia="Arial" w:hAnsi="Arial"/>
                <w:sz w:val="18"/>
                <w:szCs w:val="18"/>
                <w:color w:val="auto"/>
              </w:rPr>
              <w:t>Mobile: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15821203042</w:t>
            </w:r>
          </w:p>
        </w:tc>
      </w:tr>
      <w:tr>
        <w:trPr>
          <w:trHeight w:val="434"/>
        </w:trPr>
        <w:tc>
          <w:tcPr>
            <w:tcW w:w="1880" w:type="dxa"/>
            <w:vAlign w:val="bottom"/>
          </w:tcPr>
          <w:p>
            <w:pPr>
              <w:spacing w:after="0"/>
              <w:rPr>
                <w:sz w:val="20"/>
                <w:szCs w:val="20"/>
                <w:color w:val="auto"/>
              </w:rPr>
            </w:pPr>
            <w:r>
              <w:rPr>
                <w:rFonts w:ascii="Arial" w:cs="Arial" w:eastAsia="Arial" w:hAnsi="Arial"/>
                <w:sz w:val="18"/>
                <w:szCs w:val="18"/>
                <w:color w:val="auto"/>
              </w:rPr>
              <w:t>Fax:</w:t>
            </w:r>
          </w:p>
        </w:tc>
        <w:tc>
          <w:tcPr>
            <w:tcW w:w="3360" w:type="dxa"/>
            <w:vAlign w:val="bottom"/>
            <w:tcBorders>
              <w:bottom w:val="single" w:sz="8" w:color="auto"/>
            </w:tcBorders>
          </w:tcPr>
          <w:p>
            <w:pPr>
              <w:spacing w:after="0"/>
              <w:rPr>
                <w:sz w:val="24"/>
                <w:szCs w:val="24"/>
                <w:color w:val="auto"/>
              </w:rPr>
            </w:pPr>
          </w:p>
        </w:tc>
      </w:tr>
      <w:tr>
        <w:trPr>
          <w:trHeight w:val="434"/>
        </w:trPr>
        <w:tc>
          <w:tcPr>
            <w:tcW w:w="1880" w:type="dxa"/>
            <w:vAlign w:val="bottom"/>
          </w:tcPr>
          <w:p>
            <w:pPr>
              <w:spacing w:after="0"/>
              <w:rPr>
                <w:sz w:val="20"/>
                <w:szCs w:val="20"/>
                <w:color w:val="auto"/>
              </w:rPr>
            </w:pPr>
            <w:r>
              <w:rPr>
                <w:rFonts w:ascii="Arial" w:cs="Arial" w:eastAsia="Arial" w:hAnsi="Arial"/>
                <w:sz w:val="18"/>
                <w:szCs w:val="18"/>
                <w:color w:val="auto"/>
              </w:rPr>
              <w:t>E-mail:</w:t>
            </w:r>
          </w:p>
        </w:tc>
        <w:tc>
          <w:tcPr>
            <w:tcW w:w="33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color w:val="auto"/>
        </w:rPr>
        <w:t>Article 23. Counterparts</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contract is made with three copies. Both parties and the guarantor (if any) holds one copy (ies)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 Miscellaneous</w:t>
      </w:r>
    </w:p>
    <w:p>
      <w:pPr>
        <w:spacing w:after="0" w:line="191"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 xml:space="preserve">24.1 Both parties agree that Article 13.3 √ applies </w:t>
      </w:r>
      <w:r>
        <w:rPr>
          <w:rFonts w:ascii="MS PGothic" w:cs="MS PGothic" w:eastAsia="MS PGothic" w:hAnsi="MS PGothic"/>
          <w:sz w:val="18"/>
          <w:szCs w:val="18"/>
          <w:color w:val="auto"/>
        </w:rPr>
        <w:t>☐</w:t>
      </w:r>
      <w:r>
        <w:rPr>
          <w:rFonts w:ascii="Arial" w:cs="Arial" w:eastAsia="Arial" w:hAnsi="Arial"/>
          <w:sz w:val="18"/>
          <w:szCs w:val="18"/>
          <w:color w:val="auto"/>
        </w:rPr>
        <w:t xml:space="preserve"> does not apply to this contract.</w:t>
      </w:r>
    </w:p>
    <w:p>
      <w:pPr>
        <w:spacing w:after="0" w:line="253" w:lineRule="exact"/>
        <w:rPr>
          <w:sz w:val="20"/>
          <w:szCs w:val="20"/>
          <w:color w:val="auto"/>
        </w:rPr>
      </w:pPr>
    </w:p>
    <w:p>
      <w:pPr>
        <w:ind w:firstLine="374"/>
        <w:spacing w:after="0" w:line="270" w:lineRule="auto"/>
        <w:rPr>
          <w:sz w:val="20"/>
          <w:szCs w:val="20"/>
          <w:color w:val="auto"/>
        </w:rPr>
      </w:pPr>
      <w:r>
        <w:rPr>
          <w:rFonts w:ascii="Arial" w:cs="Arial" w:eastAsia="Arial" w:hAnsi="Arial"/>
          <w:sz w:val="18"/>
          <w:szCs w:val="18"/>
          <w:color w:val="auto"/>
        </w:rPr>
        <w:t>24.2 The loaner will issue the legal VAT invoice according to laws, rules and regulations, while the specific time and mode should be determined by both parties through negotiations.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24.3 The payment mode of loan under this contract should be subject to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signed by the loaner.</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Borrower: </w:t>
      </w:r>
      <w:r>
        <w:rPr>
          <w:rFonts w:ascii="Arial" w:cs="Arial" w:eastAsia="Arial" w:hAnsi="Arial"/>
          <w:sz w:val="18"/>
          <w:szCs w:val="18"/>
          <w:u w:val="single" w:color="auto"/>
          <w:color w:val="auto"/>
        </w:rPr>
        <w:t>CLPS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Legal representative (responsible person): </w:t>
      </w:r>
      <w:r>
        <w:rPr>
          <w:rFonts w:ascii="Arial" w:cs="Arial" w:eastAsia="Arial" w:hAnsi="Arial"/>
          <w:sz w:val="18"/>
          <w:szCs w:val="18"/>
          <w:u w:val="single" w:color="auto"/>
          <w:color w:val="auto"/>
        </w:rPr>
        <w:t>Yang Xiaofeng</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Room 26C01, 828-838 Zhangyang Road, China (Shanghai) Free Trade Area</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Loaner: </w:t>
      </w:r>
      <w:r>
        <w:rPr>
          <w:rFonts w:ascii="Arial" w:cs="Arial" w:eastAsia="Arial" w:hAnsi="Arial"/>
          <w:sz w:val="18"/>
          <w:szCs w:val="18"/>
          <w:u w:val="single" w:color="auto"/>
          <w:color w:val="auto"/>
        </w:rPr>
        <w:t>Xinqu</w:t>
      </w:r>
      <w:r>
        <w:rPr>
          <w:rFonts w:ascii="Arial" w:cs="Arial" w:eastAsia="Arial" w:hAnsi="Arial"/>
          <w:sz w:val="18"/>
          <w:szCs w:val="18"/>
          <w:color w:val="auto"/>
        </w:rPr>
        <w:t xml:space="preserve"> Branch (Sub-branch) of Bank of Communications Co., Ltd.</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Responsible person: </w:t>
      </w:r>
      <w:r>
        <w:rPr>
          <w:rFonts w:ascii="Arial" w:cs="Arial" w:eastAsia="Arial" w:hAnsi="Arial"/>
          <w:sz w:val="18"/>
          <w:szCs w:val="18"/>
          <w:u w:val="single" w:color="auto"/>
          <w:color w:val="auto"/>
        </w:rPr>
        <w:t>Cai Yue</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Mailing address: </w:t>
      </w:r>
      <w:r>
        <w:rPr>
          <w:rFonts w:ascii="Arial" w:cs="Arial" w:eastAsia="Arial" w:hAnsi="Arial"/>
          <w:sz w:val="18"/>
          <w:szCs w:val="18"/>
          <w:u w:val="single" w:color="auto"/>
          <w:color w:val="auto"/>
        </w:rPr>
        <w:t>260 Xinjinqiao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148590</wp:posOffset>
            </wp:positionV>
            <wp:extent cx="4278630" cy="694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4278630" cy="694690"/>
                    </a:xfrm>
                    <a:prstGeom prst="rect">
                      <a:avLst/>
                    </a:prstGeom>
                    <a:noFill/>
                  </pic:spPr>
                </pic:pic>
              </a:graphicData>
            </a:graphic>
          </wp:anchor>
        </w:drawing>
      </w:r>
    </w:p>
    <w:p>
      <w:pPr>
        <w:spacing w:after="0" w:line="320" w:lineRule="exact"/>
        <w:rPr>
          <w:sz w:val="20"/>
          <w:szCs w:val="20"/>
          <w:color w:val="auto"/>
        </w:rPr>
      </w:pPr>
    </w:p>
    <w:p>
      <w:pPr>
        <w:jc w:val="both"/>
        <w:ind w:left="2260" w:right="2260"/>
        <w:spacing w:after="0" w:line="255" w:lineRule="auto"/>
        <w:rPr>
          <w:sz w:val="20"/>
          <w:szCs w:val="20"/>
          <w:color w:val="auto"/>
        </w:rPr>
      </w:pPr>
      <w:r>
        <w:rPr>
          <w:rFonts w:ascii="Arial" w:cs="Arial" w:eastAsia="Arial" w:hAnsi="Arial"/>
          <w:sz w:val="18"/>
          <w:szCs w:val="18"/>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text below in this page)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1228725" cy="1321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1228725" cy="132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Borrower: (Seal)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(Seal: CLPS)</w:t>
      </w:r>
    </w:p>
    <w:p>
      <w:pPr>
        <w:spacing w:after="0" w:line="200" w:lineRule="exact"/>
        <w:rPr>
          <w:sz w:val="20"/>
          <w:szCs w:val="20"/>
          <w:color w:val="auto"/>
        </w:rPr>
      </w:pPr>
    </w:p>
    <w:p>
      <w:pPr>
        <w:spacing w:after="0" w:line="233" w:lineRule="exact"/>
        <w:rPr>
          <w:sz w:val="20"/>
          <w:szCs w:val="20"/>
          <w:color w:val="auto"/>
        </w:rPr>
      </w:pPr>
    </w:p>
    <w:p>
      <w:pPr>
        <w:ind w:right="2100"/>
        <w:spacing w:after="0" w:line="270" w:lineRule="auto"/>
        <w:rPr>
          <w:sz w:val="20"/>
          <w:szCs w:val="20"/>
          <w:color w:val="auto"/>
        </w:rPr>
      </w:pPr>
      <w:r>
        <w:rPr>
          <w:rFonts w:ascii="Arial" w:cs="Arial" w:eastAsia="Arial" w:hAnsi="Arial"/>
          <w:sz w:val="18"/>
          <w:szCs w:val="18"/>
          <w:color w:val="auto"/>
        </w:rPr>
        <w:t>Legal representative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26745" cy="6267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626745" cy="62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(Signature or 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Loaner: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-1443355</wp:posOffset>
            </wp:positionV>
            <wp:extent cx="1728470" cy="10083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1728470" cy="1008380"/>
                    </a:xfrm>
                    <a:prstGeom prst="rect">
                      <a:avLst/>
                    </a:prstGeom>
                    <a:noFill/>
                  </pic:spPr>
                </pic:pic>
              </a:graphicData>
            </a:graphic>
          </wp:anchor>
        </w:drawing>
      </w:r>
    </w:p>
    <w:p>
      <w:pPr>
        <w:spacing w:after="0" w:line="20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(Seal: Line of Credit Business Contract Seal of Shanghai Xinqu Sub-branch of Bank of Communications Co., Ltd.)</w:t>
      </w:r>
    </w:p>
    <w:p>
      <w:pPr>
        <w:spacing w:after="0" w:line="13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Legal representative (responsible person) or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(Signature or seal)</w:t>
      </w:r>
    </w:p>
    <w:p>
      <w:pPr>
        <w:spacing w:after="0" w:line="220" w:lineRule="exact"/>
        <w:rPr>
          <w:sz w:val="20"/>
          <w:szCs w:val="20"/>
          <w:color w:val="auto"/>
        </w:rPr>
      </w:pPr>
    </w:p>
    <w:p>
      <w:pPr>
        <w:jc w:val="center"/>
        <w:ind w:right="2540"/>
        <w:spacing w:after="0"/>
        <w:rPr>
          <w:sz w:val="20"/>
          <w:szCs w:val="20"/>
          <w:color w:val="auto"/>
        </w:rPr>
      </w:pPr>
      <w:r>
        <w:rPr>
          <w:rFonts w:ascii="Arial" w:cs="Arial" w:eastAsia="Arial" w:hAnsi="Arial"/>
          <w:sz w:val="14"/>
          <w:szCs w:val="14"/>
          <w:color w:val="auto"/>
        </w:rPr>
        <w:t>Date: 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448945</wp:posOffset>
            </wp:positionV>
            <wp:extent cx="713422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6040" w:space="720"/>
            <w:col w:w="4100"/>
          </w:cols>
          <w:pgMar w:left="320" w:top="1440" w:right="7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t>No. Z1912LN15693732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Credit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Important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-130175</wp:posOffset>
            </wp:positionV>
            <wp:extent cx="3566795" cy="5594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3566795" cy="559435"/>
                    </a:xfrm>
                    <a:prstGeom prst="rect">
                      <a:avLst/>
                    </a:prstGeom>
                    <a:noFill/>
                  </pic:spPr>
                </pic:pic>
              </a:graphicData>
            </a:graphic>
          </wp:anchor>
        </w:drawing>
      </w:r>
    </w:p>
    <w:p>
      <w:pPr>
        <w:spacing w:after="0" w:line="200"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Please read the full text of this contract carefully, especially those articles</w:t>
      </w:r>
    </w:p>
    <w:p>
      <w:pPr>
        <w:spacing w:after="0" w:line="3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marked with ▲▲. Please inquire the loaner in case of any question.</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Borrower: </w:t>
      </w:r>
      <w:r>
        <w:rPr>
          <w:rFonts w:ascii="Arial" w:cs="Arial" w:eastAsia="Arial" w:hAnsi="Arial"/>
          <w:sz w:val="18"/>
          <w:szCs w:val="18"/>
          <w:u w:val="single" w:color="auto"/>
          <w:color w:val="auto"/>
        </w:rPr>
        <w:t>CLPS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Legal representative (responsible person): </w:t>
      </w:r>
      <w:r>
        <w:rPr>
          <w:rFonts w:ascii="Arial" w:cs="Arial" w:eastAsia="Arial" w:hAnsi="Arial"/>
          <w:sz w:val="18"/>
          <w:szCs w:val="18"/>
          <w:u w:val="single" w:color="auto"/>
          <w:color w:val="auto"/>
        </w:rPr>
        <w:t>Yang Xiaofeng</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Room 26C01, 828-838 Zhangyang Road, China (Shanghai) Free Trade Area</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Mailing address: </w:t>
      </w:r>
      <w:r>
        <w:rPr>
          <w:rFonts w:ascii="Arial" w:cs="Arial" w:eastAsia="Arial" w:hAnsi="Arial"/>
          <w:sz w:val="18"/>
          <w:szCs w:val="18"/>
          <w:u w:val="single" w:color="auto"/>
          <w:color w:val="auto"/>
        </w:rPr>
        <w:t>2F, Building 18, 498 Guoshoujing Road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Loaner: </w:t>
      </w:r>
      <w:r>
        <w:rPr>
          <w:rFonts w:ascii="Arial" w:cs="Arial" w:eastAsia="Arial" w:hAnsi="Arial"/>
          <w:sz w:val="18"/>
          <w:szCs w:val="18"/>
          <w:u w:val="single" w:color="auto"/>
          <w:color w:val="auto"/>
        </w:rPr>
        <w:t>Xinqu</w:t>
      </w:r>
      <w:r>
        <w:rPr>
          <w:rFonts w:ascii="Arial" w:cs="Arial" w:eastAsia="Arial" w:hAnsi="Arial"/>
          <w:sz w:val="18"/>
          <w:szCs w:val="18"/>
          <w:color w:val="auto"/>
        </w:rPr>
        <w:t xml:space="preserve"> Branch (Sub-branch) of Bank of Communications Co., Ltd.</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Responsible person: </w:t>
      </w:r>
      <w:r>
        <w:rPr>
          <w:rFonts w:ascii="Arial" w:cs="Arial" w:eastAsia="Arial" w:hAnsi="Arial"/>
          <w:sz w:val="18"/>
          <w:szCs w:val="18"/>
          <w:u w:val="single" w:color="auto"/>
          <w:color w:val="auto"/>
        </w:rPr>
        <w:t>Cai Yue</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Mailing address: </w:t>
      </w:r>
      <w:r>
        <w:rPr>
          <w:rFonts w:ascii="Arial" w:cs="Arial" w:eastAsia="Arial" w:hAnsi="Arial"/>
          <w:sz w:val="18"/>
          <w:szCs w:val="18"/>
          <w:u w:val="single" w:color="auto"/>
          <w:color w:val="auto"/>
        </w:rPr>
        <w:t>260 Xinjinqiao Road</w:t>
      </w:r>
    </w:p>
    <w:p>
      <w:pPr>
        <w:spacing w:after="0" w:line="220"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Whereas, the borrower and loaner have entered into the Current Fund Loan Contract, Contract No. Z1912LN15693732, (Hereinafter referred to as the original contract), According to Green credit guidelines (issued by CBRC [2012] No.4.), Notice on printing and distributing key evaluation indicators of green credit implementation (issued by CBRC [2014] No.186.)’s supervision requirements, both parties agree as follows on matters related to borrower’s environmental and social risk management</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Article 1 Add the following contents as “representation and guarantee” under the original contract“</w:t>
      </w:r>
    </w:p>
    <w:p>
      <w:pPr>
        <w:spacing w:after="0" w:line="22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1.1 Party A’s internal management documents related to environmental and social risks conform to the requirements of laws and regulations and are effectively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13422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9" w:name="page270"/>
    <w:bookmarkEnd w:id="269"/>
    <w:p>
      <w:pPr>
        <w:ind w:left="380"/>
        <w:spacing w:after="0"/>
        <w:rPr>
          <w:sz w:val="20"/>
          <w:szCs w:val="20"/>
          <w:color w:val="auto"/>
        </w:rPr>
      </w:pPr>
      <w:r>
        <w:rPr>
          <w:rFonts w:ascii="Arial" w:cs="Arial" w:eastAsia="Arial" w:hAnsi="Arial"/>
          <w:sz w:val="18"/>
          <w:szCs w:val="18"/>
          <w:color w:val="auto"/>
        </w:rPr>
        <w:t>1.2 Party A has no major lawsuit involving environmental and social risks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 all behaviors and performance related to environmental and social risks of Party A are in compliance.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Article 2 Add the following contents as Party A’s obligations under the original contract.</w:t>
      </w:r>
    </w:p>
    <w:p>
      <w:pPr>
        <w:spacing w:after="0" w:line="220" w:lineRule="exact"/>
        <w:rPr>
          <w:sz w:val="20"/>
          <w:szCs w:val="20"/>
          <w:color w:val="auto"/>
        </w:rPr>
      </w:pPr>
    </w:p>
    <w:p>
      <w:pPr>
        <w:ind w:firstLine="7"/>
        <w:spacing w:after="0" w:line="270" w:lineRule="auto"/>
        <w:tabs>
          <w:tab w:leader="none" w:pos="2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Establish and improve the internal management system of environmental and social risks, and specify the responsibilities, obligations and punishment measures of Party A’s relevant responsible personnel;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2.2 Establish and improve the emergency mechanism and measures for environmental and social risk emergencies;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2.3 Set up special departments and / or appoint special personnel to be responsible for environmental and social risk issues;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2.4 Cooperate with Party B or its recognized third party in the assessment and inspection of Party A’s environmental and social risks;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2.5 respond appropriately or take other necessary actions when the public or other stakeholders strongly question Party A’s performance in controlling environmental and social risks;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2.6 urge Party A’s vital related parties to strengthen management to prevent environmental and social risks of related parties from infecting Party 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2.7 Party B shall perform other obligations related to the control of environmental and social risks.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▲▲Article 3 Adds the following items as the items under the original contract that “shall be notified in writing within 7 days from the date of occurrence or possible occurrence of the following matters”, and Party A shall notify Party B in writing within 7 days after the occurrence or possible occurrence of the following matters: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3.1 All kinds of permits, approvals and approvals related to environment, society and risks in the process of commencement, construction, operation and shutdown;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3.2 Assessment and inspection of environmental and social risks of Party A by environmental and social risk regulatory agency or its recognized institution;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3.3 Supporting construction and operation of environmental facilities; 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3.4 Discharge and compliance of pollutants;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3.5 Safety and health of employees;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3.6 Major complaints and protests of the neighboring communities against Party 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37 Major environmental and social claims;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3.8 Other major situations that Party B considers to be related to environmental and social risks.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▲▲Article 4 Adds the following events as “early maturity event” and / or “quota adjustment event” under the original contract. In case of any of the following events, Party B has the right to take one, more or all of the measures stipulated in the original contract:</w:t>
      </w:r>
    </w:p>
    <w:p>
      <w:pPr>
        <w:spacing w:after="0" w:line="175" w:lineRule="exact"/>
        <w:rPr>
          <w:sz w:val="20"/>
          <w:szCs w:val="20"/>
          <w:color w:val="auto"/>
        </w:rPr>
      </w:pPr>
    </w:p>
    <w:p>
      <w:pPr>
        <w:ind w:left="260" w:hanging="253"/>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Party A violates any agreement of this supplementary agreement;</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statement or warranty made by Party A in this supplementary agreement is false, inaccurate or misleading;</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Party A is punished by relevant government departments due to poor environmental and social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713422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0" w:name="page271"/>
    <w:bookmarkEnd w:id="270"/>
    <w:p>
      <w:pPr>
        <w:ind w:left="260" w:hanging="253"/>
        <w:spacing w:after="0"/>
        <w:tabs>
          <w:tab w:leader="none" w:pos="2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It is strongly questioned by the public and / or the media due to poor management of environmental and social risks, and the relevant situation is verified;</w:t>
      </w:r>
    </w:p>
    <w:p>
      <w:pPr>
        <w:spacing w:after="0" w:line="242" w:lineRule="exact"/>
        <w:rPr>
          <w:rFonts w:ascii="Arial" w:cs="Arial" w:eastAsia="Arial" w:hAnsi="Arial"/>
          <w:sz w:val="16"/>
          <w:szCs w:val="16"/>
          <w:color w:val="auto"/>
        </w:rPr>
      </w:pPr>
    </w:p>
    <w:p>
      <w:pPr>
        <w:ind w:left="260" w:hanging="253"/>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Party A violates the obligations of environmental and social risk management agreed with Party B in other contracts.</w:t>
      </w:r>
    </w:p>
    <w:p>
      <w:pPr>
        <w:spacing w:after="0" w:line="220"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Article 5 If this supplementary agreement is inconsistent with the original contract, matters related to Party A’s strengthening environmental and social risk management shall apply to the provisions of this supplementary agreement, and other matters shall be subject to the original contract.</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Article 6 This supplementary agreement shall come into force after being signed (or sealed) by Party A’s legal representative or authorized representative and sealed by Party B’s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120015</wp:posOffset>
            </wp:positionV>
            <wp:extent cx="3566795" cy="8305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3566795" cy="830580"/>
                    </a:xfrm>
                    <a:prstGeom prst="rect">
                      <a:avLst/>
                    </a:prstGeom>
                    <a:noFill/>
                  </pic:spPr>
                </pic:pic>
              </a:graphicData>
            </a:graphic>
          </wp:anchor>
        </w:drawing>
      </w:r>
    </w:p>
    <w:p>
      <w:pPr>
        <w:spacing w:after="0" w:line="275"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Party A has read all the terms of the agreement, and Party B has made a</w:t>
      </w:r>
    </w:p>
    <w:p>
      <w:pPr>
        <w:spacing w:after="0" w:line="31" w:lineRule="exact"/>
        <w:rPr>
          <w:sz w:val="20"/>
          <w:szCs w:val="20"/>
          <w:color w:val="auto"/>
        </w:rPr>
      </w:pPr>
    </w:p>
    <w:p>
      <w:pPr>
        <w:ind w:left="2820"/>
        <w:spacing w:after="0"/>
        <w:tabs>
          <w:tab w:leader="none" w:pos="3520" w:val="left"/>
          <w:tab w:leader="none" w:pos="4460" w:val="left"/>
          <w:tab w:leader="none" w:pos="4740" w:val="left"/>
          <w:tab w:leader="none" w:pos="5120" w:val="left"/>
          <w:tab w:leader="none" w:pos="5780" w:val="left"/>
          <w:tab w:leader="none" w:pos="6080" w:val="left"/>
          <w:tab w:leader="none" w:pos="6600" w:val="left"/>
          <w:tab w:leader="none" w:pos="6920" w:val="left"/>
          <w:tab w:leader="none" w:pos="7460" w:val="left"/>
          <w:tab w:leader="none" w:pos="8140" w:val="left"/>
        </w:tabs>
        <w:rPr>
          <w:sz w:val="20"/>
          <w:szCs w:val="20"/>
          <w:color w:val="auto"/>
        </w:rPr>
      </w:pPr>
      <w:r>
        <w:rPr>
          <w:rFonts w:ascii="Arial" w:cs="Arial" w:eastAsia="Arial" w:hAnsi="Arial"/>
          <w:sz w:val="18"/>
          <w:szCs w:val="18"/>
          <w:color w:val="auto"/>
        </w:rPr>
        <w:t>detailed</w:t>
        <w:tab/>
        <w:t>description</w:t>
        <w:tab/>
        <w:t>at</w:t>
        <w:tab/>
        <w:t>the</w:t>
        <w:tab/>
        <w:t>request</w:t>
        <w:tab/>
        <w:t>of</w:t>
        <w:tab/>
        <w:t>Party</w:t>
        <w:tab/>
        <w:t>A.</w:t>
        <w:tab/>
        <w:t>when</w:t>
        <w:tab/>
        <w:t>signing</w:t>
      </w:r>
      <w:r>
        <w:rPr>
          <w:sz w:val="20"/>
          <w:szCs w:val="20"/>
          <w:color w:val="auto"/>
        </w:rPr>
        <w:tab/>
      </w:r>
      <w:r>
        <w:rPr>
          <w:rFonts w:ascii="Arial" w:cs="Arial" w:eastAsia="Arial" w:hAnsi="Arial"/>
          <w:sz w:val="16"/>
          <w:szCs w:val="16"/>
          <w:color w:val="auto"/>
        </w:rPr>
        <w:t>this</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supplementary agreement, Party A has no doubt and objection to all the</w:t>
      </w:r>
    </w:p>
    <w:p>
      <w:pPr>
        <w:spacing w:after="0" w:line="1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contents, and understands the contract terms, especially the eight clauses with</w:t>
      </w:r>
    </w:p>
    <w:p>
      <w:pPr>
        <w:spacing w:after="0" w:line="2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AA mark and their legal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1228725" cy="13214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1228725" cy="132143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216535</wp:posOffset>
            </wp:positionV>
            <wp:extent cx="1728470" cy="10083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1728470" cy="100838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Borrower: (Seal)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(Seal: CLPS)</w:t>
      </w:r>
    </w:p>
    <w:p>
      <w:pPr>
        <w:spacing w:after="0" w:line="200" w:lineRule="exact"/>
        <w:rPr>
          <w:sz w:val="20"/>
          <w:szCs w:val="20"/>
          <w:color w:val="auto"/>
        </w:rPr>
      </w:pPr>
    </w:p>
    <w:p>
      <w:pPr>
        <w:spacing w:after="0" w:line="233" w:lineRule="exact"/>
        <w:rPr>
          <w:sz w:val="20"/>
          <w:szCs w:val="20"/>
          <w:color w:val="auto"/>
        </w:rPr>
      </w:pPr>
    </w:p>
    <w:p>
      <w:pPr>
        <w:ind w:right="2100"/>
        <w:spacing w:after="0" w:line="270" w:lineRule="auto"/>
        <w:rPr>
          <w:sz w:val="20"/>
          <w:szCs w:val="20"/>
          <w:color w:val="auto"/>
        </w:rPr>
      </w:pPr>
      <w:r>
        <w:rPr>
          <w:rFonts w:ascii="Arial" w:cs="Arial" w:eastAsia="Arial" w:hAnsi="Arial"/>
          <w:sz w:val="18"/>
          <w:szCs w:val="18"/>
          <w:color w:val="auto"/>
        </w:rPr>
        <w:t>Legal representative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26745" cy="6267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626745" cy="626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Loaner: (Seal)</w:t>
      </w:r>
    </w:p>
    <w:p>
      <w:pPr>
        <w:spacing w:after="0" w:line="220" w:lineRule="exact"/>
        <w:rPr>
          <w:sz w:val="20"/>
          <w:szCs w:val="20"/>
          <w:color w:val="auto"/>
        </w:rPr>
      </w:pPr>
    </w:p>
    <w:p>
      <w:pPr>
        <w:jc w:val="both"/>
        <w:ind w:right="380"/>
        <w:spacing w:after="0" w:line="333" w:lineRule="auto"/>
        <w:rPr>
          <w:sz w:val="20"/>
          <w:szCs w:val="20"/>
          <w:color w:val="auto"/>
        </w:rPr>
      </w:pPr>
      <w:r>
        <w:rPr>
          <w:rFonts w:ascii="Arial" w:cs="Arial" w:eastAsia="Arial" w:hAnsi="Arial"/>
          <w:sz w:val="16"/>
          <w:szCs w:val="16"/>
          <w:color w:val="auto"/>
        </w:rPr>
        <w:t>(Seal: Line of Credit Business Contract Seal of Shanghai Xinqu Sub-branch of Bank of Communications Co., Ltd.)</w:t>
      </w:r>
    </w:p>
    <w:p>
      <w:pPr>
        <w:spacing w:after="0" w:line="130"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color w:val="auto"/>
        </w:rPr>
        <w:t>Legal representative (responsible person) or authorized representative</w:t>
      </w:r>
    </w:p>
    <w:p>
      <w:pPr>
        <w:spacing w:after="0" w:line="200" w:lineRule="exact"/>
        <w:rPr>
          <w:sz w:val="20"/>
          <w:szCs w:val="20"/>
          <w:color w:val="auto"/>
        </w:rPr>
      </w:pPr>
    </w:p>
    <w:p>
      <w:pPr>
        <w:sectPr>
          <w:pgSz w:w="11900" w:h="16838" w:orient="portrait"/>
          <w:cols w:equalWidth="0" w:num="2">
            <w:col w:w="6040" w:space="720"/>
            <w:col w:w="4480"/>
          </w:cols>
          <w:pgMar w:left="320" w:top="8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(Signature or seal)</w:t>
            </w:r>
          </w:p>
        </w:tc>
        <w:tc>
          <w:tcPr>
            <w:tcW w:w="7080" w:type="dxa"/>
            <w:vAlign w:val="bottom"/>
          </w:tcPr>
          <w:p>
            <w:pPr>
              <w:ind w:left="2600"/>
              <w:spacing w:after="0"/>
              <w:rPr>
                <w:sz w:val="20"/>
                <w:szCs w:val="20"/>
                <w:color w:val="auto"/>
              </w:rPr>
            </w:pPr>
            <w:r>
              <w:rPr>
                <w:rFonts w:ascii="Arial" w:cs="Arial" w:eastAsia="Arial" w:hAnsi="Arial"/>
                <w:sz w:val="18"/>
                <w:szCs w:val="18"/>
                <w:color w:val="auto"/>
              </w:rPr>
              <w:t>(Signature or seal)</w:t>
            </w:r>
          </w:p>
        </w:tc>
      </w:tr>
      <w:tr>
        <w:trPr>
          <w:trHeight w:val="427"/>
        </w:trPr>
        <w:tc>
          <w:tcPr>
            <w:tcW w:w="4160" w:type="dxa"/>
            <w:vAlign w:val="bottom"/>
          </w:tcPr>
          <w:p>
            <w:pPr>
              <w:spacing w:after="0"/>
              <w:rPr>
                <w:sz w:val="20"/>
                <w:szCs w:val="20"/>
                <w:color w:val="auto"/>
              </w:rPr>
            </w:pPr>
            <w:r>
              <w:rPr>
                <w:rFonts w:ascii="Arial" w:cs="Arial" w:eastAsia="Arial" w:hAnsi="Arial"/>
                <w:sz w:val="18"/>
                <w:szCs w:val="18"/>
                <w:color w:val="auto"/>
              </w:rPr>
              <w:t>Date: January 8, 2020</w:t>
            </w:r>
          </w:p>
        </w:tc>
        <w:tc>
          <w:tcPr>
            <w:tcW w:w="7080" w:type="dxa"/>
            <w:vAlign w:val="bottom"/>
          </w:tcPr>
          <w:p>
            <w:pPr>
              <w:ind w:left="2600"/>
              <w:spacing w:after="0"/>
              <w:rPr>
                <w:sz w:val="20"/>
                <w:szCs w:val="20"/>
                <w:color w:val="auto"/>
              </w:rPr>
            </w:pPr>
            <w:r>
              <w:rPr>
                <w:rFonts w:ascii="Arial" w:cs="Arial" w:eastAsia="Arial" w:hAnsi="Arial"/>
                <w:sz w:val="18"/>
                <w:szCs w:val="18"/>
                <w:color w:val="auto"/>
              </w:rPr>
              <w:t>Date: January 8, 2020</w:t>
            </w:r>
          </w:p>
        </w:tc>
      </w:tr>
      <w:tr>
        <w:trPr>
          <w:trHeight w:val="649"/>
        </w:trPr>
        <w:tc>
          <w:tcPr>
            <w:tcW w:w="41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type w:val="continuous"/>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10.18</w:t>
      </w:r>
    </w:p>
    <w:p>
      <w:pPr>
        <w:spacing w:after="0" w:line="2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No. Z1911LN15664330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Fund Loan Contract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to 531)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Communications Co.,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Fund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151130</wp:posOffset>
            </wp:positionV>
            <wp:extent cx="4278630" cy="8305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4278630" cy="8305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Important Notes</w:t>
      </w:r>
    </w:p>
    <w:p>
      <w:pPr>
        <w:spacing w:after="0" w:line="220" w:lineRule="exact"/>
        <w:rPr>
          <w:sz w:val="20"/>
          <w:szCs w:val="20"/>
          <w:color w:val="auto"/>
        </w:rPr>
      </w:pPr>
    </w:p>
    <w:p>
      <w:pPr>
        <w:ind w:left="2360" w:right="2360"/>
        <w:spacing w:after="0" w:line="270" w:lineRule="auto"/>
        <w:rPr>
          <w:sz w:val="20"/>
          <w:szCs w:val="20"/>
          <w:color w:val="auto"/>
        </w:rPr>
      </w:pPr>
      <w:r>
        <w:rPr>
          <w:rFonts w:ascii="Arial" w:cs="Arial" w:eastAsia="Arial" w:hAnsi="Arial"/>
          <w:sz w:val="18"/>
          <w:szCs w:val="18"/>
          <w:color w:val="auto"/>
        </w:rPr>
        <w:t>Please read the full text of this contract carefully, especially those articles marked with ▲▲. Please inquire the loaner in case of any question.</w:t>
      </w:r>
    </w:p>
    <w:p>
      <w:pPr>
        <w:spacing w:after="0" w:line="200" w:lineRule="exact"/>
        <w:rPr>
          <w:sz w:val="20"/>
          <w:szCs w:val="20"/>
          <w:color w:val="auto"/>
        </w:rPr>
      </w:pPr>
    </w:p>
    <w:p>
      <w:pPr>
        <w:spacing w:after="0" w:line="202"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Whereas, the borrower applies to the loaner for the line of credit of current fund, both parties hereby enter into this contract through negotiations to clarify the obligations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t>Article 1. Definition</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“Revolving line of credit” refers to the line of credit within which the borrower may apply for the loan for several times according to this contract.</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“Balance of loan” refers to the sum of principal of the outstanding loan that the borrower obtains under this contract.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“Balance of line of credit” refers to the balance of the line of credit deducted with the balance of loan (under the revolving line of credit) or total loan (under the one-time line of credit).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“Period of loan” refers to the period of each loan that both parties determine in the corresponding </w:t>
      </w:r>
      <w:r>
        <w:rPr>
          <w:rFonts w:ascii="Arial" w:cs="Arial" w:eastAsia="Arial" w:hAnsi="Arial"/>
          <w:sz w:val="18"/>
          <w:szCs w:val="18"/>
          <w:i w:val="1"/>
          <w:iCs w:val="1"/>
          <w:color w:val="auto"/>
        </w:rPr>
        <w:t>Application for Use of Line of Credit of Bank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(hereinafter referred to as</w:t>
      </w:r>
      <w:r>
        <w:rPr>
          <w:rFonts w:ascii="Arial" w:cs="Arial" w:eastAsia="Arial" w:hAnsi="Arial"/>
          <w:sz w:val="18"/>
          <w:szCs w:val="18"/>
          <w:i w:val="1"/>
          <w:iCs w:val="1"/>
          <w:color w:val="auto"/>
        </w:rPr>
        <w:t xml:space="preserve"> Application for Use of Line of Credit</w:t>
      </w:r>
      <w:r>
        <w:rPr>
          <w:rFonts w:ascii="Arial" w:cs="Arial" w:eastAsia="Arial" w:hAnsi="Arial"/>
          <w:sz w:val="18"/>
          <w:szCs w:val="18"/>
          <w:color w:val="auto"/>
        </w:rPr>
        <w: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86"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 xml:space="preserve">Terms including affiliate, affiliate transaction and major investor should contain the same meaning with those contained in the </w:t>
      </w:r>
      <w:r>
        <w:rPr>
          <w:rFonts w:ascii="Arial" w:cs="Arial" w:eastAsia="Arial" w:hAnsi="Arial"/>
          <w:sz w:val="16"/>
          <w:szCs w:val="16"/>
          <w:i w:val="1"/>
          <w:iCs w:val="1"/>
          <w:color w:val="auto"/>
        </w:rPr>
        <w:t>Accounting Standards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Enterprises No.36 – Disclosure of Affiliates </w:t>
      </w:r>
      <w:r>
        <w:rPr>
          <w:rFonts w:ascii="Arial" w:cs="Arial" w:eastAsia="Arial" w:hAnsi="Arial"/>
          <w:sz w:val="16"/>
          <w:szCs w:val="16"/>
          <w:color w:val="auto"/>
        </w:rPr>
        <w:t>(CK [2006] No.3) published by the Ministry of Finance, as well as its subsequent revisions.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t>Article 2. Use of Line of Credit</w:t>
      </w:r>
    </w:p>
    <w:p>
      <w:pPr>
        <w:spacing w:after="0" w:line="224" w:lineRule="exact"/>
        <w:rPr>
          <w:sz w:val="20"/>
          <w:szCs w:val="20"/>
          <w:color w:val="auto"/>
        </w:rPr>
      </w:pPr>
    </w:p>
    <w:p>
      <w:pPr>
        <w:ind w:firstLine="320"/>
        <w:spacing w:after="0" w:line="300" w:lineRule="auto"/>
        <w:rPr>
          <w:sz w:val="20"/>
          <w:szCs w:val="20"/>
          <w:color w:val="auto"/>
        </w:rPr>
      </w:pPr>
      <w:r>
        <w:rPr>
          <w:rFonts w:ascii="Arial" w:cs="Arial" w:eastAsia="Arial" w:hAnsi="Arial"/>
          <w:sz w:val="17"/>
          <w:szCs w:val="17"/>
          <w:color w:val="auto"/>
        </w:rPr>
        <w:t xml:space="preserve">2.1 Each time when needing to use the line of credit, the borrower should submit the application to the loaner at least 5 business days in advance. The borrower should fill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to obtain the approval by the loaner before using the line of credit.</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▲▲2.2 Use of the line of credit must meeting following conditions:</w:t>
      </w:r>
    </w:p>
    <w:p>
      <w:pPr>
        <w:spacing w:after="0" w:line="220" w:lineRule="exact"/>
        <w:rPr>
          <w:sz w:val="20"/>
          <w:szCs w:val="20"/>
          <w:color w:val="auto"/>
        </w:rPr>
      </w:pPr>
    </w:p>
    <w:p>
      <w:pPr>
        <w:ind w:left="580" w:hanging="253"/>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Balance of loan (under the revolving line of credit) or total loan (under the one-time line of credit) is within the line of credit;</w:t>
      </w:r>
    </w:p>
    <w:p>
      <w:pPr>
        <w:spacing w:after="0" w:line="219" w:lineRule="exact"/>
        <w:rPr>
          <w:rFonts w:ascii="Arial" w:cs="Arial" w:eastAsia="Arial" w:hAnsi="Arial"/>
          <w:sz w:val="18"/>
          <w:szCs w:val="18"/>
          <w:color w:val="auto"/>
        </w:rPr>
      </w:pPr>
    </w:p>
    <w:p>
      <w:pPr>
        <w:ind w:left="560" w:hanging="233"/>
        <w:spacing w:after="0"/>
        <w:tabs>
          <w:tab w:leader="none" w:pos="5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Amount of applied loan is within the balance of line of credit;</w:t>
      </w:r>
    </w:p>
    <w:p>
      <w:pPr>
        <w:spacing w:after="0" w:line="219" w:lineRule="exact"/>
        <w:rPr>
          <w:rFonts w:ascii="Arial" w:cs="Arial" w:eastAsia="Arial" w:hAnsi="Arial"/>
          <w:sz w:val="18"/>
          <w:szCs w:val="18"/>
          <w:color w:val="auto"/>
        </w:rPr>
      </w:pPr>
    </w:p>
    <w:p>
      <w:pPr>
        <w:ind w:left="560" w:hanging="233"/>
        <w:spacing w:after="0"/>
        <w:tabs>
          <w:tab w:leader="none" w:pos="5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Application date and issuance date are within the period of line of credit;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Period of loan and maturity date of loan comply with this contract;</w:t>
      </w:r>
    </w:p>
    <w:p>
      <w:pPr>
        <w:spacing w:after="0" w:line="219" w:lineRule="exact"/>
        <w:rPr>
          <w:rFonts w:ascii="Arial" w:cs="Arial" w:eastAsia="Arial" w:hAnsi="Arial"/>
          <w:sz w:val="18"/>
          <w:szCs w:val="18"/>
          <w:color w:val="auto"/>
        </w:rPr>
      </w:pPr>
    </w:p>
    <w:p>
      <w:pPr>
        <w:ind w:firstLine="327"/>
        <w:spacing w:after="0" w:line="270" w:lineRule="auto"/>
        <w:tabs>
          <w:tab w:leader="none" w:pos="57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Guarantee contract (if any) under this contract is effective and surviving, and while the guarantee contract is in the form of mortgage contract and/or pledge contract, the secured real right is already set and surviving;</w:t>
      </w:r>
    </w:p>
    <w:p>
      <w:pPr>
        <w:spacing w:after="0" w:line="174" w:lineRule="exact"/>
        <w:rPr>
          <w:rFonts w:ascii="Arial" w:cs="Arial" w:eastAsia="Arial" w:hAnsi="Arial"/>
          <w:sz w:val="18"/>
          <w:szCs w:val="18"/>
          <w:color w:val="auto"/>
        </w:rPr>
      </w:pPr>
    </w:p>
    <w:p>
      <w:pPr>
        <w:ind w:firstLine="327"/>
        <w:spacing w:after="0" w:line="270" w:lineRule="auto"/>
        <w:tabs>
          <w:tab w:leader="none" w:pos="57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has handled procedures to obtain licenses, approvals and registrations from the government necessary for the application for the loan, and such licenses, approvals or registrations are surviving;</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serious adverse change occurs in the operation status or financial status of the borrower after this contract takes effect;</w:t>
      </w:r>
    </w:p>
    <w:p>
      <w:pPr>
        <w:spacing w:after="0" w:line="219" w:lineRule="exact"/>
        <w:rPr>
          <w:rFonts w:ascii="Arial" w:cs="Arial" w:eastAsia="Arial" w:hAnsi="Arial"/>
          <w:sz w:val="18"/>
          <w:szCs w:val="18"/>
          <w:color w:val="auto"/>
        </w:rPr>
      </w:pPr>
    </w:p>
    <w:p>
      <w:pPr>
        <w:ind w:left="560" w:hanging="233"/>
        <w:spacing w:after="0"/>
        <w:tabs>
          <w:tab w:leader="none" w:pos="5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Application by the borrower meets relevant rules and regulations of the loaner;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does not violate this contract;</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Payment mode of the loan meets this contract and if the loaner is entrusted to make the payment, the loaner should agree with the payment;</w:t>
      </w:r>
    </w:p>
    <w:p>
      <w:pPr>
        <w:spacing w:after="0" w:line="231" w:lineRule="exact"/>
        <w:rPr>
          <w:rFonts w:ascii="Arial" w:cs="Arial" w:eastAsia="Arial" w:hAnsi="Arial"/>
          <w:sz w:val="17"/>
          <w:szCs w:val="17"/>
          <w:color w:val="auto"/>
        </w:rPr>
      </w:pPr>
    </w:p>
    <w:p>
      <w:pPr>
        <w:ind w:firstLine="327"/>
        <w:spacing w:after="0" w:line="300" w:lineRule="auto"/>
        <w:tabs>
          <w:tab w:leader="none" w:pos="66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51" w:lineRule="exact"/>
        <w:rPr>
          <w:rFonts w:ascii="Arial" w:cs="Arial" w:eastAsia="Arial" w:hAnsi="Arial"/>
          <w:sz w:val="17"/>
          <w:szCs w:val="17"/>
          <w:color w:val="auto"/>
        </w:rPr>
      </w:pPr>
    </w:p>
    <w:p>
      <w:pPr>
        <w:ind w:left="660" w:hanging="333"/>
        <w:spacing w:after="0"/>
        <w:tabs>
          <w:tab w:leader="none" w:pos="6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borrower has appointed the dedicated fund withdrawal account as required by the loaner and has signed the account management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4" w:name="page275"/>
    <w:bookmarkEnd w:id="274"/>
    <w:p>
      <w:pPr>
        <w:jc w:val="both"/>
        <w:ind w:firstLine="320"/>
        <w:spacing w:after="0" w:line="270" w:lineRule="auto"/>
        <w:rPr>
          <w:sz w:val="20"/>
          <w:szCs w:val="20"/>
          <w:color w:val="auto"/>
        </w:rPr>
      </w:pPr>
      <w:r>
        <w:rPr>
          <w:rFonts w:ascii="Arial" w:cs="Arial" w:eastAsia="Arial" w:hAnsi="Arial"/>
          <w:sz w:val="18"/>
          <w:szCs w:val="18"/>
          <w:color w:val="auto"/>
        </w:rPr>
        <w:t xml:space="preserve">▲▲2.3 If the loaner agrees to issue the loan, the final issuance information should be subject to the column of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printed by the bank.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should be regarded as the </w:t>
      </w:r>
      <w:r>
        <w:rPr>
          <w:rFonts w:ascii="Arial" w:cs="Arial" w:eastAsia="Arial" w:hAnsi="Arial"/>
          <w:sz w:val="18"/>
          <w:szCs w:val="18"/>
          <w:i w:val="1"/>
          <w:iCs w:val="1"/>
          <w:color w:val="auto"/>
        </w:rPr>
        <w:t>Loan Certificate</w:t>
      </w:r>
      <w:r>
        <w:rPr>
          <w:rFonts w:ascii="Arial" w:cs="Arial" w:eastAsia="Arial" w:hAnsi="Arial"/>
          <w:sz w:val="18"/>
          <w:szCs w:val="18"/>
          <w:color w:val="auto"/>
        </w:rPr>
        <w:t>.</w:t>
      </w:r>
    </w:p>
    <w:p>
      <w:pPr>
        <w:spacing w:after="0" w:line="175"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 xml:space="preserve">▲▲2.4 If the currency of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16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 xml:space="preserve">▲▲2.5 After the borrower becomes the shareholder of the guarantor or the “actual controller” defined by the </w:t>
      </w:r>
      <w:r>
        <w:rPr>
          <w:rFonts w:ascii="Arial" w:cs="Arial" w:eastAsia="Arial" w:hAnsi="Arial"/>
          <w:sz w:val="18"/>
          <w:szCs w:val="18"/>
          <w:i w:val="1"/>
          <w:iCs w:val="1"/>
          <w:color w:val="auto"/>
        </w:rPr>
        <w:t>Company Law</w:t>
      </w:r>
      <w:r>
        <w:rPr>
          <w:rFonts w:ascii="Arial" w:cs="Arial" w:eastAsia="Arial" w:hAnsi="Arial"/>
          <w:sz w:val="18"/>
          <w:szCs w:val="18"/>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Interest Rate and Payment of Interest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 Basic regulations on determining the interest rate</w:t>
      </w:r>
    </w:p>
    <w:p>
      <w:pPr>
        <w:spacing w:after="0" w:line="220"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 xml:space="preserve">3.1.1 The interest rate should be agreed by both parties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through negotiations in each use of the line of credit. Unless any specific interest rate is agreed by both parties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the specific interest rate of each loan should be determined in accordance with the type of benchmark interest rate, applicable date of benchmark interest rate, fluctuation extent/increase (decrease) value of interest rate, interest rate fluctuation rules, interest rate fluctuation cycle, interest rate fluctuation cycle unit and specific beginning date of fluctuation (if necessary) agreed in the corresponding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w:t>
      </w:r>
    </w:p>
    <w:p>
      <w:pPr>
        <w:spacing w:after="0" w:line="177"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3.1.2 Type and definition of “benchmark interest rate”: (1) “Benchmark interest rate of the People’s Bank” refers to the benchmark interest rate of RMB loan of financial institutions published by the People’s Bank of China; (2) LPR quotation of Bank of Communications refers to the quotation for benchmark interest rate of loan published by Bank of Communications Co., Ltd. on its official website; (3) LPR mean interest rate refers to the benchmark interest rate of loan published by the National Inter-bank Funding Center.</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5" w:name="page276"/>
    <w:bookmarkEnd w:id="275"/>
    <w:p>
      <w:pPr>
        <w:ind w:left="320"/>
        <w:spacing w:after="0"/>
        <w:rPr>
          <w:sz w:val="20"/>
          <w:szCs w:val="20"/>
          <w:color w:val="auto"/>
        </w:rPr>
      </w:pPr>
      <w:r>
        <w:rPr>
          <w:rFonts w:ascii="Arial" w:cs="Arial" w:eastAsia="Arial" w:hAnsi="Arial"/>
          <w:sz w:val="18"/>
          <w:szCs w:val="18"/>
          <w:color w:val="auto"/>
        </w:rPr>
        <w:t>▲▲3.2 Interest rate of loan</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interest rate of each loan at the time of issuance should be determined in accordance with the fluctuation extent/increase (decrease) value on the basis of the benchmark interest rate. If the “applicable date of benchmark interest rate” is set as T Day, then the benchmark interest rate to calculate the specific interest rate of the loan at the time of issuance should be determined by following rules:</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If the benchmark interest rate of the People’s Bank applies, the benchmark interest rate should be the benchmark interest rate of the People’s Bank on T Day;</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3.3 Adjustment of interest rate</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3.3.1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fixed, such interest rate should apply to the loan within the period of loan.</w:t>
      </w:r>
    </w:p>
    <w:p>
      <w:pPr>
        <w:spacing w:after="0" w:line="175" w:lineRule="exact"/>
        <w:rPr>
          <w:sz w:val="20"/>
          <w:szCs w:val="20"/>
          <w:color w:val="auto"/>
        </w:rPr>
      </w:pPr>
    </w:p>
    <w:p>
      <w:pPr>
        <w:jc w:val="both"/>
        <w:ind w:firstLine="327"/>
        <w:spacing w:after="0" w:line="255" w:lineRule="auto"/>
        <w:tabs>
          <w:tab w:leader="none" w:pos="51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 3.3.2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and the adjusted interest rate should apply since the interest rate adjustment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6" w:name="page277"/>
    <w:bookmarkEnd w:id="276"/>
    <w:p>
      <w:pPr>
        <w:jc w:val="both"/>
        <w:ind w:firstLine="320"/>
        <w:spacing w:after="0" w:line="266" w:lineRule="auto"/>
        <w:rPr>
          <w:sz w:val="20"/>
          <w:szCs w:val="20"/>
          <w:color w:val="auto"/>
        </w:rPr>
      </w:pPr>
      <w:r>
        <w:rPr>
          <w:rFonts w:ascii="Arial" w:cs="Arial" w:eastAsia="Arial" w:hAnsi="Arial"/>
          <w:sz w:val="17"/>
          <w:szCs w:val="17"/>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the same below.</w:t>
      </w:r>
    </w:p>
    <w:p>
      <w:pPr>
        <w:spacing w:after="0" w:line="182"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3.3.2.2 Loan interest rate at the adjustment date of loan interest rate should be determined according to the benchmark interest rate at the adjustment date of loan interest while the interest rate fluctuation/increase (decrease) value is kept unchanged (unless negotiated by both parties to be adjusted). If the “adjustment date of loan interest rate” is set as T Day, then the benchmark interest rate of adjusted loan interest rate should be determined by following rules:</w:t>
      </w:r>
    </w:p>
    <w:p>
      <w:pPr>
        <w:spacing w:after="0" w:line="15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If the benchmark interest rate of the People’s Bank applies, the benchmark interest rate should be the benchmark interest rate of the People’s Bank on T Day;</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7" w:name="page278"/>
    <w:bookmarkEnd w:id="277"/>
    <w:p>
      <w:pPr>
        <w:jc w:val="both"/>
        <w:ind w:firstLine="320"/>
        <w:spacing w:after="0" w:line="296" w:lineRule="auto"/>
        <w:rPr>
          <w:sz w:val="20"/>
          <w:szCs w:val="20"/>
          <w:color w:val="auto"/>
        </w:rPr>
      </w:pPr>
      <w:r>
        <w:rPr>
          <w:rFonts w:ascii="Arial" w:cs="Arial" w:eastAsia="Arial" w:hAnsi="Arial"/>
          <w:sz w:val="16"/>
          <w:szCs w:val="16"/>
          <w:color w:val="auto"/>
        </w:rPr>
        <w:t>▲▲3.3.3 If the “benchmark interest rate of the People’s Bank” is applied as the benchmark interest rate and the benchmark interest rate of the People’s Bank is adjusted to be fluctuating interest rate or cancelled, both parties should adjust the interest rate of the loan through separate negotiations but the adjusted interest rate should be no lower than the prevailing interest rate; if both parties fail to reach a common sense on the adjustment of interest rate within one month since the adjustment date of the People’s Bank, the loaner may announce the earlier maturity of the loan.</w:t>
      </w:r>
    </w:p>
    <w:p>
      <w:pPr>
        <w:spacing w:after="0" w:line="16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If the “LPR quotation of Bank of Communications” or “LPR mean interest rate” is applied as the benchmark interest rate and the relevant benchmark interest rate is cancelled according to the regulation requirement or suspended by the issuer according to the regulation requirement, both parties should adjust the interest rate of the loan through separate negotiations but the adjusted interest rate should be no lower than the prevailing interest rate; if both parties fail to reach a common sense on the adjustment of interest rate within one month since the relevant benchmark interest rate is cancelled or suspended, the loaner may announce the earlier maturity of the loan.</w:t>
      </w:r>
    </w:p>
    <w:p>
      <w:pPr>
        <w:spacing w:after="0" w:line="19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▲▲3.3.4 Both parties may adjust the fluctuation extent or increase (decrease) value of the corresponding loan interest rate through negotiation at each adjustment date of loan interest rate.</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 xml:space="preserve">3.4 If the currency is RMB, default interest of the overdue loan should be fluctuated upwards by 50% on the basis of the interest rate specified in this contract, and that of the embezzled loan should be fluctuated upwards by 100% on the basis of the interest rate specified in this contract. If the benchmark interest rate is adjusted, the loaner may adjust the rate of default interest of each loan and apply the new rate of default interest since the adjustment date of loan interest rate specified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 Calculation of interest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3.5.1 Normal interest = interest rate specified in this contract X issued loan X days of occupation.</w:t>
      </w:r>
    </w:p>
    <w:p>
      <w:pPr>
        <w:spacing w:after="0" w:line="220" w:lineRule="exact"/>
        <w:rPr>
          <w:sz w:val="20"/>
          <w:szCs w:val="20"/>
          <w:color w:val="auto"/>
        </w:rPr>
      </w:pPr>
    </w:p>
    <w:p>
      <w:pPr>
        <w:jc w:val="both"/>
        <w:ind w:right="20" w:firstLine="320"/>
        <w:spacing w:after="0" w:line="333" w:lineRule="auto"/>
        <w:rPr>
          <w:sz w:val="20"/>
          <w:szCs w:val="20"/>
          <w:color w:val="auto"/>
        </w:rPr>
      </w:pPr>
      <w:r>
        <w:rPr>
          <w:rFonts w:ascii="Arial" w:cs="Arial" w:eastAsia="Arial" w:hAnsi="Arial"/>
          <w:sz w:val="16"/>
          <w:szCs w:val="16"/>
          <w:color w:val="auto"/>
        </w:rPr>
        <w:t>Days of occupation begins from the issuance date (included) and ends at the maturity date (excluded), and may be postponed if the maturity date is not a business day while the postponed period should be accounted into the occupation and charged with the interest according to this contract.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8" w:name="page279"/>
    <w:bookmarkEnd w:id="278"/>
    <w:p>
      <w:pPr>
        <w:jc w:val="both"/>
        <w:ind w:firstLine="320"/>
        <w:spacing w:after="0" w:line="270" w:lineRule="auto"/>
        <w:rPr>
          <w:sz w:val="20"/>
          <w:szCs w:val="20"/>
          <w:color w:val="auto"/>
        </w:rPr>
      </w:pPr>
      <w:r>
        <w:rPr>
          <w:rFonts w:ascii="Arial" w:cs="Arial" w:eastAsia="Arial" w:hAnsi="Arial"/>
          <w:sz w:val="18"/>
          <w:szCs w:val="18"/>
          <w:color w:val="auto"/>
        </w:rPr>
        <w:t>3.5.2 The default interest of overdue loan and embezzled loan should be calculated according to the overdue or embezzled amount and the actual days (since the date of overdue or embezzlement (included) to the repayment date of principal and interest (excluded)).</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3.5.3 If there are too many numbers after the decimal point of the calculated interest/default interest, the loaner may round off the result to two numbers after the decimal point.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▲▲3.6 If the borrower repays the loan in advance or the loaner withdraws the loan in advance according to this contract, the corresponding interest rate shall still be subject to that specified in this contract.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3.7 If the loan is in any foreign currency, the determination of interest rate, adjustment of interest rate, default interest rate of overdue and embezzlement should be subject to Article 17 of this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Payment of Loan</w:t>
      </w:r>
    </w:p>
    <w:p>
      <w:pPr>
        <w:spacing w:after="0" w:line="22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9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4.2 When drawing the loan according to this contract, the borrower should clarify the payment mode (entrusted payment by loaner or independent payment by borrower) and only one mode is applicable in each time of drawing.</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If the amount of a single payment is beyond the limit of the independent payment or any condition specified in Article 19.3, the mode of entrusted payment should apply.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9" w:name="page280"/>
    <w:bookmarkEnd w:id="279"/>
    <w:p>
      <w:pPr>
        <w:jc w:val="both"/>
        <w:ind w:firstLine="320"/>
        <w:spacing w:after="0" w:line="306" w:lineRule="auto"/>
        <w:rPr>
          <w:sz w:val="20"/>
          <w:szCs w:val="20"/>
          <w:color w:val="auto"/>
        </w:rPr>
      </w:pPr>
      <w:r>
        <w:rPr>
          <w:rFonts w:ascii="Arial" w:cs="Arial" w:eastAsia="Arial" w:hAnsi="Arial"/>
          <w:sz w:val="16"/>
          <w:szCs w:val="16"/>
          <w:color w:val="auto"/>
        </w:rPr>
        <w:t xml:space="preserve">When choosing the mode of entrusted payment by the loaner, the borrower should submit the loaner with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50" w:lineRule="exact"/>
        <w:rPr>
          <w:sz w:val="20"/>
          <w:szCs w:val="20"/>
          <w:color w:val="auto"/>
        </w:rPr>
      </w:pPr>
    </w:p>
    <w:p>
      <w:pPr>
        <w:ind w:firstLine="327"/>
        <w:spacing w:after="0" w:line="270" w:lineRule="auto"/>
        <w:tabs>
          <w:tab w:leader="none" w:pos="7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74" w:lineRule="exact"/>
        <w:rPr>
          <w:rFonts w:ascii="Arial" w:cs="Arial" w:eastAsia="Arial" w:hAnsi="Arial"/>
          <w:sz w:val="18"/>
          <w:szCs w:val="18"/>
          <w:color w:val="auto"/>
        </w:rPr>
      </w:pPr>
    </w:p>
    <w:p>
      <w:pPr>
        <w:jc w:val="both"/>
        <w:ind w:firstLine="327"/>
        <w:spacing w:after="0" w:line="258" w:lineRule="auto"/>
        <w:tabs>
          <w:tab w:leader="none" w:pos="7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 xml:space="preserve">When choosing the mode of independent payment by the borrower, the borrower should submit the loaner with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Repayment of Loan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5.1 The borrower should make the repayment according to the date and amount specified in the corresponding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▲▲5.2 Without the written consent from the loaner, the borrower may not repay the loan in advance.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0" w:name="page281"/>
    <w:bookmarkEnd w:id="280"/>
    <w:p>
      <w:pPr>
        <w:jc w:val="both"/>
        <w:ind w:firstLine="320"/>
        <w:spacing w:after="0" w:line="296" w:lineRule="auto"/>
        <w:rPr>
          <w:sz w:val="20"/>
          <w:szCs w:val="20"/>
          <w:color w:val="auto"/>
        </w:rPr>
      </w:pPr>
      <w:r>
        <w:rPr>
          <w:rFonts w:ascii="Arial" w:cs="Arial" w:eastAsia="Arial" w:hAnsi="Arial"/>
          <w:sz w:val="16"/>
          <w:szCs w:val="16"/>
          <w:color w:val="auto"/>
        </w:rPr>
        <w:t xml:space="preserve">▲▲5.3 The repayment schedule of principal and interest agreed by the borrower and the loaner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▲▲5.4 When the amount repaid by the borrower is insufficient to cover all the debt of the borrower:</w:t>
      </w:r>
    </w:p>
    <w:p>
      <w:pPr>
        <w:spacing w:after="0" w:line="220" w:lineRule="exact"/>
        <w:rPr>
          <w:sz w:val="20"/>
          <w:szCs w:val="20"/>
          <w:color w:val="auto"/>
        </w:rPr>
      </w:pPr>
    </w:p>
    <w:p>
      <w:pPr>
        <w:jc w:val="both"/>
        <w:ind w:firstLine="327"/>
        <w:spacing w:after="0" w:line="255" w:lineRule="auto"/>
        <w:tabs>
          <w:tab w:leader="none" w:pos="5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87" w:lineRule="exact"/>
        <w:rPr>
          <w:rFonts w:ascii="Arial" w:cs="Arial" w:eastAsia="Arial" w:hAnsi="Arial"/>
          <w:sz w:val="18"/>
          <w:szCs w:val="18"/>
          <w:color w:val="auto"/>
        </w:rPr>
      </w:pPr>
    </w:p>
    <w:p>
      <w:pPr>
        <w:jc w:val="both"/>
        <w:ind w:firstLine="327"/>
        <w:spacing w:after="0" w:line="281" w:lineRule="auto"/>
        <w:tabs>
          <w:tab w:leader="none" w:pos="57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Representation and Guarantee of Borrower</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6.1 The borrower is legally incorporated and surviving, possesses all the necessary capacities, perform obligations under this contract it its own name and assumes civil liabilities.</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 Signing and performing this contract are the true intention of the borrower that they must obtain all the necessary approvals, permissions and authorizations to contain no legal defect.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1" w:name="page282"/>
    <w:bookmarkEnd w:id="281"/>
    <w:p>
      <w:pPr>
        <w:jc w:val="both"/>
        <w:ind w:firstLine="320"/>
        <w:spacing w:after="0" w:line="258" w:lineRule="auto"/>
        <w:rPr>
          <w:sz w:val="20"/>
          <w:szCs w:val="20"/>
          <w:color w:val="auto"/>
        </w:rPr>
      </w:pPr>
      <w:r>
        <w:rPr>
          <w:rFonts w:ascii="Arial" w:cs="Arial" w:eastAsia="Arial" w:hAnsi="Arial"/>
          <w:sz w:val="18"/>
          <w:szCs w:val="18"/>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86"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▲▲6.5 Neither the borrower nor any of its affiliate belongs to the enterprise or individual sanctioned by the UN, EU or US, or is located in any country or area sanctioned by the UN, EU or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Rights and Obligations of Loaner</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Obligations of Borrower</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8.1 The borrower should repay the principal and interest of loan under this contract according to the time, amount, currency and interest rate specified in this contract and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2" w:name="page283"/>
    <w:bookmarkEnd w:id="282"/>
    <w:p>
      <w:pPr>
        <w:jc w:val="both"/>
        <w:ind w:firstLine="320"/>
        <w:spacing w:after="0" w:line="258" w:lineRule="auto"/>
        <w:rPr>
          <w:sz w:val="20"/>
          <w:szCs w:val="20"/>
          <w:color w:val="auto"/>
        </w:rPr>
      </w:pPr>
      <w:r>
        <w:rPr>
          <w:rFonts w:ascii="Arial" w:cs="Arial" w:eastAsia="Arial" w:hAnsi="Arial"/>
          <w:sz w:val="18"/>
          <w:szCs w:val="18"/>
          <w:color w:val="auto"/>
        </w:rPr>
        <w:t xml:space="preserve">8.2 The borrower should use the line of credit for the purpose specified in this contract and use the loan for the purpose specified in the corresponding </w:t>
      </w:r>
      <w:r>
        <w:rPr>
          <w:rFonts w:ascii="Arial" w:cs="Arial" w:eastAsia="Arial" w:hAnsi="Arial"/>
          <w:sz w:val="18"/>
          <w:szCs w:val="18"/>
          <w:i w:val="1"/>
          <w:iCs w:val="1"/>
          <w:color w:val="auto"/>
        </w:rPr>
        <w:t xml:space="preserve">Application for Use of Line of Credit </w:t>
      </w:r>
      <w:r>
        <w:rPr>
          <w:rFonts w:ascii="Arial" w:cs="Arial" w:eastAsia="Arial" w:hAnsi="Arial"/>
          <w:sz w:val="18"/>
          <w:szCs w:val="18"/>
          <w:color w:val="auto"/>
        </w:rPr>
        <w:t>but may not embezzle the loan for any other purpose, or the investment in fixed assets, equity or any production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prohibited by the government.</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86" w:lineRule="exact"/>
        <w:rPr>
          <w:sz w:val="20"/>
          <w:szCs w:val="20"/>
          <w:color w:val="auto"/>
        </w:rPr>
      </w:pPr>
    </w:p>
    <w:p>
      <w:pPr>
        <w:jc w:val="both"/>
        <w:ind w:firstLine="327"/>
        <w:spacing w:after="0" w:line="258" w:lineRule="auto"/>
        <w:tabs>
          <w:tab w:leader="none" w:pos="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 8.3 The borrower should assume the settlement expense (if any) of the payment of loan fund (including entrusted payment by the loaner and independent payment by the borrower), and the special charge standard is subject to laws, rules, regulations, regulatory provisions and the prevailing </w:t>
      </w:r>
      <w:r>
        <w:rPr>
          <w:rFonts w:ascii="Arial" w:cs="Arial" w:eastAsia="Arial" w:hAnsi="Arial"/>
          <w:sz w:val="18"/>
          <w:szCs w:val="18"/>
          <w:i w:val="1"/>
          <w:iCs w:val="1"/>
          <w:color w:val="auto"/>
        </w:rPr>
        <w:t>Charge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List of Services of Bank of Communications </w:t>
      </w:r>
      <w:r>
        <w:rPr>
          <w:rFonts w:ascii="Arial" w:cs="Arial" w:eastAsia="Arial" w:hAnsi="Arial"/>
          <w:sz w:val="18"/>
          <w:szCs w:val="18"/>
          <w:color w:val="auto"/>
        </w:rPr>
        <w:t>published by the loaner.</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the issuance account is dedicated for the issuance of loan and the collection account is not opened at Bank of Communications in the payment of loan fund (including entrusted payment by the loaner and independent payment by the borrower), the fund may be processed by the payment system or local clearing system of the People’s Bank.</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the issuance account is not dedicated for the issuance of loan and the collection account is not local or opened at Bank of Communications in the payment of loan fund (including entrusted payment by the loaner and independent payment by the borrower), the fund should be processed by the payment system of the People’s Bank.</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3" w:name="page284"/>
    <w:bookmarkEnd w:id="283"/>
    <w:p>
      <w:pPr>
        <w:ind w:firstLine="320"/>
        <w:spacing w:after="0" w:line="300" w:lineRule="auto"/>
        <w:rPr>
          <w:sz w:val="20"/>
          <w:szCs w:val="20"/>
          <w:color w:val="auto"/>
        </w:rPr>
      </w:pPr>
      <w:r>
        <w:rPr>
          <w:rFonts w:ascii="Arial" w:cs="Arial" w:eastAsia="Arial" w:hAnsi="Arial"/>
          <w:sz w:val="17"/>
          <w:szCs w:val="17"/>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52" w:lineRule="exact"/>
        <w:rPr>
          <w:sz w:val="20"/>
          <w:szCs w:val="20"/>
          <w:color w:val="auto"/>
        </w:rPr>
      </w:pPr>
    </w:p>
    <w:p>
      <w:pPr>
        <w:ind w:left="580" w:hanging="253"/>
        <w:spacing w:after="0"/>
        <w:tabs>
          <w:tab w:leader="none" w:pos="5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borrower sells, presents, leases, lends, transfers, mortgages, pledges or disposes in any other manner all or a large part of the assets or important</w:t>
      </w:r>
    </w:p>
    <w:p>
      <w:pPr>
        <w:spacing w:after="0" w:line="6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assets;</w:t>
      </w:r>
    </w:p>
    <w:p>
      <w:pPr>
        <w:spacing w:after="0" w:line="206" w:lineRule="exact"/>
        <w:rPr>
          <w:rFonts w:ascii="Arial" w:cs="Arial" w:eastAsia="Arial" w:hAnsi="Arial"/>
          <w:sz w:val="14"/>
          <w:szCs w:val="14"/>
          <w:color w:val="auto"/>
        </w:rPr>
      </w:pPr>
    </w:p>
    <w:p>
      <w:pPr>
        <w:jc w:val="both"/>
        <w:ind w:firstLine="327"/>
        <w:spacing w:after="0" w:line="258" w:lineRule="auto"/>
        <w:tabs>
          <w:tab w:leader="none" w:pos="5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86" w:lineRule="exact"/>
        <w:rPr>
          <w:rFonts w:ascii="Arial" w:cs="Arial" w:eastAsia="Arial" w:hAnsi="Arial"/>
          <w:sz w:val="18"/>
          <w:szCs w:val="18"/>
          <w:color w:val="auto"/>
        </w:rPr>
      </w:pPr>
    </w:p>
    <w:p>
      <w:pPr>
        <w:ind w:left="580" w:hanging="253"/>
        <w:spacing w:after="0"/>
        <w:tabs>
          <w:tab w:leader="none" w:pos="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external investment or increase of debt financing of the borrower exceeds the agreed limit.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▲▲8.6 The borrower should send a written notice to the loaner within 7 days since the occurrence or possible occurrence of any circumstance below:</w:t>
      </w:r>
    </w:p>
    <w:p>
      <w:pPr>
        <w:spacing w:after="0" w:line="243" w:lineRule="exact"/>
        <w:rPr>
          <w:sz w:val="20"/>
          <w:szCs w:val="20"/>
          <w:color w:val="auto"/>
        </w:rPr>
      </w:pPr>
    </w:p>
    <w:p>
      <w:pPr>
        <w:ind w:firstLine="327"/>
        <w:spacing w:after="0" w:line="270" w:lineRule="auto"/>
        <w:tabs>
          <w:tab w:leader="none" w:pos="5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its affiliate or guarantor plans to apply for bankruptcy or may be or has been applied by the creditor for bankruptcy;</w:t>
      </w:r>
    </w:p>
    <w:p>
      <w:pPr>
        <w:spacing w:after="0" w:line="219" w:lineRule="exact"/>
        <w:rPr>
          <w:rFonts w:ascii="Arial" w:cs="Arial" w:eastAsia="Arial" w:hAnsi="Arial"/>
          <w:sz w:val="18"/>
          <w:szCs w:val="18"/>
          <w:color w:val="auto"/>
        </w:rPr>
      </w:pPr>
    </w:p>
    <w:p>
      <w:pPr>
        <w:jc w:val="both"/>
        <w:ind w:firstLine="327"/>
        <w:spacing w:after="0" w:line="258" w:lineRule="auto"/>
        <w:tabs>
          <w:tab w:leader="none" w:pos="57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86" w:lineRule="exact"/>
        <w:rPr>
          <w:rFonts w:ascii="Arial" w:cs="Arial" w:eastAsia="Arial" w:hAnsi="Arial"/>
          <w:sz w:val="18"/>
          <w:szCs w:val="18"/>
          <w:color w:val="auto"/>
        </w:rPr>
      </w:pPr>
    </w:p>
    <w:p>
      <w:pPr>
        <w:ind w:firstLine="327"/>
        <w:spacing w:after="0" w:line="270" w:lineRule="auto"/>
        <w:tabs>
          <w:tab w:leader="none" w:pos="59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or its affiliate provides any guarantee to any third party to affect its economic status, financial status or capability in performing obligations under this contract significantly;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4" w:name="page285"/>
    <w:bookmarkEnd w:id="284"/>
    <w:p>
      <w:pPr>
        <w:ind w:left="580" w:hanging="253"/>
        <w:spacing w:after="0"/>
        <w:tabs>
          <w:tab w:leader="none" w:pos="5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or its affiliate enters into any contract with significant influence on its operation and financial status;</w:t>
      </w:r>
    </w:p>
    <w:p>
      <w:pPr>
        <w:spacing w:after="0" w:line="219" w:lineRule="exact"/>
        <w:rPr>
          <w:rFonts w:ascii="Arial" w:cs="Arial" w:eastAsia="Arial" w:hAnsi="Arial"/>
          <w:sz w:val="18"/>
          <w:szCs w:val="18"/>
          <w:color w:val="auto"/>
        </w:rPr>
      </w:pPr>
    </w:p>
    <w:p>
      <w:pPr>
        <w:ind w:firstLine="327"/>
        <w:spacing w:after="0" w:line="270" w:lineRule="auto"/>
        <w:tabs>
          <w:tab w:leader="none" w:pos="57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its affiliate or guarantor is shut down, closed, dissolved, suspended, cancelled, or the business license is withdrawn;</w:t>
      </w:r>
    </w:p>
    <w:p>
      <w:pPr>
        <w:spacing w:after="0" w:line="219" w:lineRule="exact"/>
        <w:rPr>
          <w:rFonts w:ascii="Arial" w:cs="Arial" w:eastAsia="Arial" w:hAnsi="Arial"/>
          <w:sz w:val="18"/>
          <w:szCs w:val="18"/>
          <w:color w:val="auto"/>
        </w:rPr>
      </w:pPr>
    </w:p>
    <w:p>
      <w:pPr>
        <w:ind w:firstLine="327"/>
        <w:spacing w:after="0" w:line="300" w:lineRule="auto"/>
        <w:tabs>
          <w:tab w:leader="none" w:pos="59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51" w:lineRule="exact"/>
        <w:rPr>
          <w:rFonts w:ascii="Arial" w:cs="Arial" w:eastAsia="Arial" w:hAnsi="Arial"/>
          <w:sz w:val="17"/>
          <w:szCs w:val="17"/>
          <w:color w:val="auto"/>
        </w:rPr>
      </w:pPr>
    </w:p>
    <w:p>
      <w:pPr>
        <w:ind w:firstLine="327"/>
        <w:spacing w:after="0" w:line="270" w:lineRule="auto"/>
        <w:tabs>
          <w:tab w:leader="none" w:pos="56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74" w:lineRule="exact"/>
        <w:rPr>
          <w:rFonts w:ascii="Arial" w:cs="Arial" w:eastAsia="Arial" w:hAnsi="Arial"/>
          <w:sz w:val="18"/>
          <w:szCs w:val="18"/>
          <w:color w:val="auto"/>
        </w:rPr>
      </w:pPr>
    </w:p>
    <w:p>
      <w:pPr>
        <w:ind w:left="660" w:hanging="333"/>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There is any affiliated transaction and its amount reaches or exceeds 10% of the latest audited net assets;</w:t>
      </w:r>
    </w:p>
    <w:p>
      <w:pPr>
        <w:spacing w:after="0" w:line="219" w:lineRule="exact"/>
        <w:rPr>
          <w:rFonts w:ascii="Arial" w:cs="Arial" w:eastAsia="Arial" w:hAnsi="Arial"/>
          <w:sz w:val="18"/>
          <w:szCs w:val="18"/>
          <w:color w:val="auto"/>
        </w:rPr>
      </w:pPr>
    </w:p>
    <w:p>
      <w:pPr>
        <w:ind w:firstLine="327"/>
        <w:spacing w:after="0" w:line="270" w:lineRule="auto"/>
        <w:tabs>
          <w:tab w:leader="none" w:pos="66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Before repaying all the debts under this contract, the borrower becomes or may become the shareholder or the “actual controller” defined by the </w:t>
      </w:r>
      <w:r>
        <w:rPr>
          <w:rFonts w:ascii="Arial" w:cs="Arial" w:eastAsia="Arial" w:hAnsi="Arial"/>
          <w:sz w:val="18"/>
          <w:szCs w:val="18"/>
          <w:i w:val="1"/>
          <w:iCs w:val="1"/>
          <w:color w:val="auto"/>
        </w:rPr>
        <w:t xml:space="preserve">Company Law </w:t>
      </w:r>
      <w:r>
        <w:rPr>
          <w:rFonts w:ascii="Arial" w:cs="Arial" w:eastAsia="Arial" w:hAnsi="Arial"/>
          <w:sz w:val="18"/>
          <w:szCs w:val="18"/>
          <w:color w:val="auto"/>
        </w:rPr>
        <w:t>of the guarantor;</w:t>
      </w:r>
    </w:p>
    <w:p>
      <w:pPr>
        <w:spacing w:after="0" w:line="174" w:lineRule="exact"/>
        <w:rPr>
          <w:rFonts w:ascii="Arial" w:cs="Arial" w:eastAsia="Arial" w:hAnsi="Arial"/>
          <w:sz w:val="18"/>
          <w:szCs w:val="18"/>
          <w:color w:val="auto"/>
        </w:rPr>
      </w:pPr>
    </w:p>
    <w:p>
      <w:pPr>
        <w:ind w:firstLine="327"/>
        <w:spacing w:after="0" w:line="270" w:lineRule="auto"/>
        <w:tabs>
          <w:tab w:leader="none" w:pos="67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or its affiliate causes any liability accident or is made public by the media by violating any law, rule, regulation, national policy or industrial standard;</w:t>
      </w:r>
    </w:p>
    <w:p>
      <w:pPr>
        <w:spacing w:after="0" w:line="174" w:lineRule="exact"/>
        <w:rPr>
          <w:rFonts w:ascii="Arial" w:cs="Arial" w:eastAsia="Arial" w:hAnsi="Arial"/>
          <w:sz w:val="18"/>
          <w:szCs w:val="18"/>
          <w:color w:val="auto"/>
        </w:rPr>
      </w:pPr>
    </w:p>
    <w:p>
      <w:pPr>
        <w:ind w:left="660" w:hanging="333"/>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or its affiliate encounters any safety or environment protection accident;</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relationship between the affiliate and the borrower is changed;</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or its affiliate encounters any significant equity change;</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opinion issued by the external audit of the borrower on its financial statements is not the standard unreserved opinion;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5" w:name="page286"/>
    <w:bookmarkEnd w:id="285"/>
    <w:p>
      <w:pPr>
        <w:ind w:firstLine="327"/>
        <w:spacing w:after="0" w:line="270" w:lineRule="auto"/>
        <w:tabs>
          <w:tab w:leader="none" w:pos="6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with other similar measures by the competent authority as it violates the law or rule and/or regulatory requirement;</w:t>
      </w:r>
    </w:p>
    <w:p>
      <w:pPr>
        <w:spacing w:after="0" w:line="174" w:lineRule="exact"/>
        <w:rPr>
          <w:rFonts w:ascii="Arial" w:cs="Arial" w:eastAsia="Arial" w:hAnsi="Arial"/>
          <w:sz w:val="18"/>
          <w:szCs w:val="18"/>
          <w:color w:val="auto"/>
        </w:rPr>
      </w:pPr>
    </w:p>
    <w:p>
      <w:pPr>
        <w:ind w:left="40" w:firstLine="313"/>
        <w:spacing w:after="0" w:line="270" w:lineRule="auto"/>
        <w:tabs>
          <w:tab w:leader="none" w:pos="70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borrower or its affiliate is listed to be sanctioned by the UN, EU or US, or the country or area where the borrower or its affiliate resides in is listed to be sanctioned by the UN, EU or US;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 There is any other event with serious adverse influence on the solvency of the borrower or its affiliate.</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▲▲8.7 In case of any change of guarantee under this contract that is adverse to the creditor’s right of the loaner, the borrower should provide other guarantee recognized by the loaner in time.</w:t>
      </w:r>
    </w:p>
    <w:p>
      <w:pPr>
        <w:spacing w:after="0" w:line="17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7"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6" w:name="page287"/>
    <w:bookmarkEnd w:id="286"/>
    <w:p>
      <w:pPr>
        <w:jc w:val="both"/>
        <w:ind w:firstLine="320"/>
        <w:spacing w:after="0" w:line="258" w:lineRule="auto"/>
        <w:rPr>
          <w:sz w:val="20"/>
          <w:szCs w:val="20"/>
          <w:color w:val="auto"/>
        </w:rPr>
      </w:pPr>
      <w:r>
        <w:rPr>
          <w:rFonts w:ascii="Arial" w:cs="Arial" w:eastAsia="Arial" w:hAnsi="Arial"/>
          <w:sz w:val="18"/>
          <w:szCs w:val="18"/>
          <w:color w:val="auto"/>
        </w:rPr>
        <w:t>8.9 The borrower guarantees to obey laws, rules and relevant policies about the anti-money laundering of the government that it will not conduct any activity involving money laundering or terrorism financing, cooperate with the loaner in identifying the customer, keeping the transaction record, and reporting the large-amount and suspected transaction.</w:t>
      </w:r>
    </w:p>
    <w:p>
      <w:pPr>
        <w:spacing w:after="0" w:line="186"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8.10 The borrower guarantees that the borrower, together with any of its employee or agent will not offer, present, require or receive any form of material interest not included in this contract to or from the loaner or its employee (including but not limited to cash, physical card, tour, etc.) or any other non-material interest; or use the fund or service provided by the loaner to any activity in relation to the corruption or bribery in any manner, whether directly or indirectly; once becoming aware of any circumstance breaching this article, the borrower should provide clues and relevant information to the loaner on an authentic, complete and accurate basis and offer the cooperation required by the loaner.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Adjustment of Line of Credit, Acceleration of Maturity and Repricing of Risk</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9.1 Any event below should be deemed as the “early maturity event” of this contract:</w:t>
      </w:r>
    </w:p>
    <w:p>
      <w:pPr>
        <w:spacing w:after="0" w:line="220" w:lineRule="exact"/>
        <w:rPr>
          <w:sz w:val="20"/>
          <w:szCs w:val="20"/>
          <w:color w:val="auto"/>
        </w:rPr>
      </w:pPr>
    </w:p>
    <w:p>
      <w:pPr>
        <w:ind w:left="580" w:hanging="253"/>
        <w:spacing w:after="0"/>
        <w:tabs>
          <w:tab w:leader="none" w:pos="5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The borrower does not repay the principal or interest of the loan according to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under this contract;</w:t>
      </w:r>
    </w:p>
    <w:p>
      <w:pPr>
        <w:spacing w:after="0" w:line="231" w:lineRule="exact"/>
        <w:rPr>
          <w:rFonts w:ascii="Arial" w:cs="Arial" w:eastAsia="Arial" w:hAnsi="Arial"/>
          <w:sz w:val="17"/>
          <w:szCs w:val="17"/>
          <w:color w:val="auto"/>
        </w:rPr>
      </w:pPr>
    </w:p>
    <w:p>
      <w:pPr>
        <w:ind w:left="580" w:hanging="253"/>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borrower makes any false representation or guarantee under this contract;</w:t>
      </w:r>
    </w:p>
    <w:p>
      <w:pPr>
        <w:spacing w:after="0" w:line="219" w:lineRule="exact"/>
        <w:rPr>
          <w:rFonts w:ascii="Arial" w:cs="Arial" w:eastAsia="Arial" w:hAnsi="Arial"/>
          <w:sz w:val="18"/>
          <w:szCs w:val="18"/>
          <w:color w:val="auto"/>
        </w:rPr>
      </w:pPr>
    </w:p>
    <w:p>
      <w:pPr>
        <w:ind w:left="560" w:hanging="233"/>
        <w:spacing w:after="0"/>
        <w:tabs>
          <w:tab w:leader="none" w:pos="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event that should be notified as specified in Article 8.6 occurs and influences or may influence the security of the creditor’s right of the loaner;</w:t>
      </w:r>
    </w:p>
    <w:p>
      <w:pPr>
        <w:spacing w:after="0" w:line="242" w:lineRule="exact"/>
        <w:rPr>
          <w:rFonts w:ascii="Arial" w:cs="Arial" w:eastAsia="Arial" w:hAnsi="Arial"/>
          <w:sz w:val="16"/>
          <w:szCs w:val="16"/>
          <w:color w:val="auto"/>
        </w:rPr>
      </w:pPr>
    </w:p>
    <w:p>
      <w:pPr>
        <w:ind w:firstLine="327"/>
        <w:spacing w:after="0" w:line="270" w:lineRule="auto"/>
        <w:tabs>
          <w:tab w:leader="none" w:pos="57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law, rule or regulatory policy is changed to the extent that the loaner will or may violate the law or rule if it issues the loan according to this contract;</w:t>
      </w:r>
    </w:p>
    <w:p>
      <w:pPr>
        <w:spacing w:after="0" w:line="174" w:lineRule="exact"/>
        <w:rPr>
          <w:rFonts w:ascii="Arial" w:cs="Arial" w:eastAsia="Arial" w:hAnsi="Arial"/>
          <w:sz w:val="18"/>
          <w:szCs w:val="18"/>
          <w:color w:val="auto"/>
        </w:rPr>
      </w:pPr>
    </w:p>
    <w:p>
      <w:pPr>
        <w:ind w:firstLine="327"/>
        <w:spacing w:after="0" w:line="270" w:lineRule="auto"/>
        <w:tabs>
          <w:tab w:leader="none" w:pos="57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While performing the contract with the loaner or any third party, the borrower conducts any breach or the debt may be or has been announced to be mature in advance;</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borrower breaches any other article of this contract.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7" w:name="page288"/>
    <w:bookmarkEnd w:id="287"/>
    <w:p>
      <w:pPr>
        <w:ind w:left="320"/>
        <w:spacing w:after="0"/>
        <w:rPr>
          <w:sz w:val="20"/>
          <w:szCs w:val="20"/>
          <w:color w:val="auto"/>
        </w:rPr>
      </w:pPr>
      <w:r>
        <w:rPr>
          <w:rFonts w:ascii="Arial" w:cs="Arial" w:eastAsia="Arial" w:hAnsi="Arial"/>
          <w:sz w:val="18"/>
          <w:szCs w:val="18"/>
          <w:color w:val="auto"/>
        </w:rPr>
        <w:t>9.2 In case of any “early maturity event”, the loaner may take any one, several or all measures below:</w:t>
      </w:r>
    </w:p>
    <w:p>
      <w:pPr>
        <w:spacing w:after="0" w:line="220" w:lineRule="exact"/>
        <w:rPr>
          <w:sz w:val="20"/>
          <w:szCs w:val="20"/>
          <w:color w:val="auto"/>
        </w:rPr>
      </w:pPr>
    </w:p>
    <w:p>
      <w:pPr>
        <w:ind w:left="580" w:hanging="253"/>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lower, suspend or cancel the line of credit under this contract;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stop issuing the loan unused by the borrower;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stop paying the loan unused but already withdrawn by the borrower;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require the borrower to supplement the issuance and payment conditions of loan to the loaner with the regulated period;</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require the borrower to change the payment mode as required by the loaner;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reprice against the risk in executing the loan according to Article 9.3;</w:t>
      </w:r>
    </w:p>
    <w:p>
      <w:pPr>
        <w:spacing w:after="0" w:line="219" w:lineRule="exact"/>
        <w:rPr>
          <w:rFonts w:ascii="Arial" w:cs="Arial" w:eastAsia="Arial" w:hAnsi="Arial"/>
          <w:sz w:val="18"/>
          <w:szCs w:val="18"/>
          <w:color w:val="auto"/>
        </w:rPr>
      </w:pPr>
    </w:p>
    <w:p>
      <w:pPr>
        <w:ind w:firstLine="327"/>
        <w:spacing w:after="0" w:line="270" w:lineRule="auto"/>
        <w:tabs>
          <w:tab w:leader="none" w:pos="57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announce that the principal of loan already issued under this contract becomes mature and require the borrower to repay the principal and interest of all the mature loan immediately.</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9.3.1 The repricing mentioned above consists of two modes, including repricing and directly raising the loan interest rate. The specific mode is agreed by both parties in Article 21.</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9.3.3 “Direct raise of loan interest rate” means that the loaner may directly raise the loan interest rate according to this article and Article 21.</w:t>
      </w:r>
    </w:p>
    <w:p>
      <w:pPr>
        <w:spacing w:after="0" w:line="231"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9.3.3.1 Since the loan sends a notice of “repricing date” to the borrower, the loan interest rate should be applied to each loan that the borrower has not repaid by the “repricing date”.</w:t>
      </w:r>
    </w:p>
    <w:p>
      <w:pPr>
        <w:spacing w:after="0" w:line="175"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9.3.3.2 If the loan currency is RMB and the type of benchmark interest rate of each loan is kept unchanged, then the raised loan interest rate should be determined by the fluctuating extent/increase (decrease) value specified in Article 21 on the basis of the benchmark interest rate of “repricing date”.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8" w:name="page289"/>
    <w:bookmarkEnd w:id="288"/>
    <w:p>
      <w:pPr>
        <w:ind w:left="320"/>
        <w:spacing w:after="0"/>
        <w:rPr>
          <w:sz w:val="20"/>
          <w:szCs w:val="20"/>
          <w:color w:val="auto"/>
        </w:rPr>
      </w:pPr>
      <w:r>
        <w:rPr>
          <w:rFonts w:ascii="Arial" w:cs="Arial" w:eastAsia="Arial" w:hAnsi="Arial"/>
          <w:sz w:val="16"/>
          <w:szCs w:val="16"/>
          <w:color w:val="auto"/>
        </w:rPr>
        <w:t>If the “repricing date” is set as T Day, then the benchmark interest rate to calculate the raised loan interest rate should be determined by following rules</w:t>
      </w:r>
    </w:p>
    <w:p>
      <w:pPr>
        <w:spacing w:after="0" w:line="243" w:lineRule="exact"/>
        <w:rPr>
          <w:sz w:val="20"/>
          <w:szCs w:val="20"/>
          <w:color w:val="auto"/>
        </w:rPr>
      </w:pPr>
    </w:p>
    <w:p>
      <w:pPr>
        <w:ind w:left="540" w:hanging="213"/>
        <w:spacing w:after="0"/>
        <w:tabs>
          <w:tab w:leader="none" w:pos="540"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w:t>
      </w:r>
    </w:p>
    <w:p>
      <w:pPr>
        <w:spacing w:after="0" w:line="45"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T Day;</w:t>
      </w:r>
    </w:p>
    <w:p>
      <w:pPr>
        <w:spacing w:after="0" w:line="204" w:lineRule="exact"/>
        <w:rPr>
          <w:sz w:val="20"/>
          <w:szCs w:val="20"/>
          <w:color w:val="auto"/>
        </w:rPr>
      </w:pPr>
    </w:p>
    <w:p>
      <w:pPr>
        <w:jc w:val="both"/>
        <w:ind w:firstLine="327"/>
        <w:spacing w:after="0" w:line="258" w:lineRule="auto"/>
        <w:tabs>
          <w:tab w:leader="none" w:pos="565" w:val="left"/>
        </w:tabs>
        <w:numPr>
          <w:ilvl w:val="0"/>
          <w:numId w:val="191"/>
        </w:numPr>
        <w:rPr>
          <w:rFonts w:ascii="MS PGothic" w:cs="MS PGothic" w:eastAsia="MS PGothic" w:hAnsi="MS PGothic"/>
          <w:sz w:val="18"/>
          <w:szCs w:val="18"/>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jc w:val="both"/>
        <w:ind w:firstLine="327"/>
        <w:spacing w:after="0" w:line="258" w:lineRule="auto"/>
        <w:tabs>
          <w:tab w:leader="none" w:pos="540" w:val="left"/>
        </w:tabs>
        <w:numPr>
          <w:ilvl w:val="0"/>
          <w:numId w:val="192"/>
        </w:numPr>
        <w:rPr>
          <w:rFonts w:ascii="MS PGothic" w:cs="MS PGothic" w:eastAsia="MS PGothic" w:hAnsi="MS PGothic"/>
          <w:sz w:val="18"/>
          <w:szCs w:val="18"/>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9.3.3.3 If the loan is in any foreign currency, the raised loan interest rate should be determined according to Article 21.</w:t>
      </w:r>
    </w:p>
    <w:p>
      <w:pPr>
        <w:spacing w:after="0" w:line="220"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9.3.4 After the loaner reprices against the risk according to the article mentioned above, the new interest rate should be applied since the “repricing date”. Regulations on the fluctuation is still subject to that mentioned in Article 3 of this contract, and if both parties negotiate to change the relevant regulation, the changed regulation shall be applied. If the loan becomes overdue (including the circumstance that the borrower fails to make the repayment in time or the loan is announced by the loaner to be mature in advance) or embezzled, the overdue and embezzlement default interest rate should be determined on the basis of the new interest rate (including the interest rate adjusted according to regulations on fluctuation of this contract) while the compound interest rate should also be correspondingly adjusted.</w:t>
      </w:r>
    </w:p>
    <w:p>
      <w:pPr>
        <w:spacing w:after="0" w:line="19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9.3.5 Execution of the “repricing against risk” should not be deemed or construed as that the loaner waives any other right under any law, rule or this contract. The loaner may take other protective measures for the creditor’s right according to laws, rules and this contract, including but not limited to measures specified in Article 9.2 of this contract.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color w:val="auto"/>
        </w:rPr>
        <w:t>▲▲Article 10. Breach</w:t>
      </w:r>
    </w:p>
    <w:p>
      <w:pPr>
        <w:spacing w:after="0" w:line="224"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6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Deduction</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11.2 After such deduction, the loaner should inform the borrower of relevant account number, contract number, number of </w:t>
      </w:r>
      <w:r>
        <w:rPr>
          <w:rFonts w:ascii="Arial" w:cs="Arial" w:eastAsia="Arial" w:hAnsi="Arial"/>
          <w:sz w:val="18"/>
          <w:szCs w:val="18"/>
          <w:i w:val="1"/>
          <w:iCs w:val="1"/>
          <w:color w:val="auto"/>
        </w:rPr>
        <w:t>Application for Use of Line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 deduction amount and remaining debt.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11.3 If the deducted fund is insufficient to repay all the debt of the borrower, the debt to be repaid by such fund should be determined according to this contract.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Notice</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0" w:name="page291"/>
    <w:bookmarkEnd w:id="290"/>
    <w:p>
      <w:pPr>
        <w:jc w:val="both"/>
        <w:ind w:firstLine="320"/>
        <w:spacing w:after="0" w:line="281" w:lineRule="auto"/>
        <w:rPr>
          <w:sz w:val="20"/>
          <w:szCs w:val="20"/>
          <w:color w:val="auto"/>
        </w:rPr>
      </w:pPr>
      <w:r>
        <w:rPr>
          <w:rFonts w:ascii="Arial" w:cs="Arial" w:eastAsia="Arial" w:hAnsi="Arial"/>
          <w:sz w:val="17"/>
          <w:szCs w:val="17"/>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67" w:lineRule="exact"/>
        <w:rPr>
          <w:sz w:val="20"/>
          <w:szCs w:val="20"/>
          <w:color w:val="auto"/>
        </w:rPr>
      </w:pPr>
    </w:p>
    <w:p>
      <w:pPr>
        <w:ind w:right="20" w:firstLine="327"/>
        <w:spacing w:after="0" w:line="270" w:lineRule="auto"/>
        <w:tabs>
          <w:tab w:leader="none" w:pos="59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loaner chooses the announcement, the date at which the loaner publishes the announcement on its website, online bank, telephone bank or outlet should be deemed as the delivery date;</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the loaner chooses the personal delivery, the date at which the borrower signs to confirm the reception should be deemed as the delivery date;</w:t>
      </w:r>
    </w:p>
    <w:p>
      <w:pPr>
        <w:spacing w:after="0" w:line="242" w:lineRule="exact"/>
        <w:rPr>
          <w:rFonts w:ascii="Arial" w:cs="Arial" w:eastAsia="Arial" w:hAnsi="Arial"/>
          <w:sz w:val="16"/>
          <w:szCs w:val="16"/>
          <w:color w:val="auto"/>
        </w:rPr>
      </w:pPr>
    </w:p>
    <w:p>
      <w:pPr>
        <w:jc w:val="both"/>
        <w:ind w:firstLine="327"/>
        <w:spacing w:after="0" w:line="258" w:lineRule="auto"/>
        <w:tabs>
          <w:tab w:leader="none" w:pos="57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186" w:lineRule="exact"/>
        <w:rPr>
          <w:rFonts w:ascii="Arial" w:cs="Arial" w:eastAsia="Arial" w:hAnsi="Arial"/>
          <w:sz w:val="18"/>
          <w:szCs w:val="18"/>
          <w:color w:val="auto"/>
        </w:rPr>
      </w:pPr>
    </w:p>
    <w:p>
      <w:pPr>
        <w:ind w:firstLine="327"/>
        <w:spacing w:after="0" w:line="300" w:lineRule="auto"/>
        <w:tabs>
          <w:tab w:leader="none" w:pos="58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loaner chooses the fax, SMS or other electronic communication means to deliver the notice to the latest fax number of the borrower that the loaner knows, the mobile telephone number or e-mail appointed by the borrower, the sending date should be deemed as the delivery date.</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12.3 The borrower agrees that unless the loaner receives the written notice about changing the mailing address from the borrower, the mailing address provided by the borrower in this contract is the address for the court to send the judicial instrument and other written documents. During the process of dispute solution, if the court sends the judicial instrument or other written documents to the latest mailing address of the borrower that the loaner knows through the postal service (including express delivery, ordinary mail and registered mail), the date at which the borrower signs on the receipt should be regarded as the delivery date; if the borrower does not sign on the receipt, the third day (in the same city)/the fifth day (in different cities) since the sending date should be deemed as the delivery date; Except for the written judgment, written verdict or mediation agreement, the court may send any notice to the borrower by any communication means specified in Article 12.2. The court may choose the communication means it thinks fit but is relieved from any liability for the error, omission or delay caused by the postal service, fax, telephone or any other communication system. If the court chooses several manners, the one delivering the notice to the borrower, the fastest should prevail.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t>▲▲Article 13. Disclosure and Confidentiality</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under following circumstances:</w:t>
      </w:r>
    </w:p>
    <w:p>
      <w:pPr>
        <w:spacing w:after="0" w:line="186" w:lineRule="exact"/>
        <w:rPr>
          <w:sz w:val="20"/>
          <w:szCs w:val="20"/>
          <w:color w:val="auto"/>
        </w:rPr>
      </w:pPr>
    </w:p>
    <w:p>
      <w:pPr>
        <w:ind w:left="580" w:hanging="253"/>
        <w:spacing w:after="0"/>
        <w:tabs>
          <w:tab w:leader="none" w:pos="5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law or rule requires such disclosure;</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such disclosure;</w:t>
      </w:r>
    </w:p>
    <w:p>
      <w:pPr>
        <w:spacing w:after="0" w:line="219" w:lineRule="exact"/>
        <w:rPr>
          <w:rFonts w:ascii="Arial" w:cs="Arial" w:eastAsia="Arial" w:hAnsi="Arial"/>
          <w:sz w:val="18"/>
          <w:szCs w:val="18"/>
          <w:color w:val="auto"/>
        </w:rPr>
      </w:pPr>
    </w:p>
    <w:p>
      <w:pPr>
        <w:ind w:firstLine="327"/>
        <w:spacing w:after="0" w:line="333" w:lineRule="auto"/>
        <w:tabs>
          <w:tab w:leader="none" w:pos="57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When the borrower does not repay the principal and/or interest of the loan in time, the loaner has to make the disclosure to the external professional advisor for the purpose of realizing the creditor’s right under this contract but such external professional advisor must assume the confidentiality obligation;</w:t>
      </w:r>
    </w:p>
    <w:p>
      <w:pPr>
        <w:spacing w:after="0" w:line="129" w:lineRule="exact"/>
        <w:rPr>
          <w:rFonts w:ascii="Arial" w:cs="Arial" w:eastAsia="Arial" w:hAnsi="Arial"/>
          <w:sz w:val="16"/>
          <w:szCs w:val="16"/>
          <w:color w:val="auto"/>
        </w:rPr>
      </w:pPr>
    </w:p>
    <w:p>
      <w:pPr>
        <w:ind w:left="580" w:hanging="253"/>
        <w:spacing w:after="0"/>
        <w:tabs>
          <w:tab w:leader="none" w:pos="5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agrees or authorizes the loaner to make the disclosure.</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13.2 The borrower confirms that it has signed the </w:t>
      </w:r>
      <w:r>
        <w:rPr>
          <w:rFonts w:ascii="Arial" w:cs="Arial" w:eastAsia="Arial" w:hAnsi="Arial"/>
          <w:sz w:val="18"/>
          <w:szCs w:val="18"/>
          <w:i w:val="1"/>
          <w:iCs w:val="1"/>
          <w:color w:val="auto"/>
        </w:rPr>
        <w:t>Credit Information Inquiry and Provision Authorization</w:t>
      </w:r>
      <w:r>
        <w:rPr>
          <w:rFonts w:ascii="Arial" w:cs="Arial" w:eastAsia="Arial" w:hAnsi="Arial"/>
          <w:sz w:val="18"/>
          <w:szCs w:val="18"/>
          <w:color w:val="auto"/>
        </w:rPr>
        <w:t>. The loaner may inquire, use and keep the credit information of the borrower within the scope regulated by the authorization.</w:t>
      </w:r>
    </w:p>
    <w:p>
      <w:pPr>
        <w:spacing w:after="0" w:line="175"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150" w:lineRule="exact"/>
        <w:rPr>
          <w:sz w:val="20"/>
          <w:szCs w:val="20"/>
          <w:color w:val="auto"/>
        </w:rPr>
      </w:pPr>
    </w:p>
    <w:p>
      <w:pPr>
        <w:jc w:val="both"/>
        <w:ind w:firstLine="320"/>
        <w:spacing w:after="0" w:line="216" w:lineRule="exact"/>
        <w:rPr>
          <w:sz w:val="20"/>
          <w:szCs w:val="20"/>
          <w:color w:val="auto"/>
        </w:rPr>
      </w:pPr>
      <w:r>
        <w:rPr>
          <w:rFonts w:ascii="Arial" w:cs="Arial" w:eastAsia="Arial" w:hAnsi="Arial"/>
          <w:sz w:val="18"/>
          <w:szCs w:val="18"/>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8"/>
          <w:szCs w:val="18"/>
          <w:color w:val="auto"/>
        </w:rPr>
        <w:t>①</w:t>
      </w:r>
      <w:r>
        <w:rPr>
          <w:rFonts w:ascii="Arial" w:cs="Arial" w:eastAsia="Arial" w:hAnsi="Arial"/>
          <w:sz w:val="18"/>
          <w:szCs w:val="18"/>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8"/>
          <w:szCs w:val="18"/>
          <w:color w:val="auto"/>
        </w:rPr>
        <w:t>②</w:t>
      </w:r>
      <w:r>
        <w:rPr>
          <w:rFonts w:ascii="Arial" w:cs="Arial" w:eastAsia="Arial" w:hAnsi="Arial"/>
          <w:sz w:val="18"/>
          <w:szCs w:val="18"/>
          <w:color w:val="auto"/>
        </w:rPr>
        <w:t xml:space="preserve"> The loaner provides or may provide the borrower with the new product or service, or further provides the service.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2" w:name="page293"/>
    <w:bookmarkEnd w:id="292"/>
    <w:p>
      <w:pPr>
        <w:ind w:left="320"/>
        <w:spacing w:after="0"/>
        <w:rPr>
          <w:sz w:val="20"/>
          <w:szCs w:val="20"/>
          <w:color w:val="auto"/>
        </w:rPr>
      </w:pPr>
      <w:r>
        <w:rPr>
          <w:rFonts w:ascii="Arial" w:cs="Arial" w:eastAsia="Arial" w:hAnsi="Arial"/>
          <w:sz w:val="18"/>
          <w:szCs w:val="18"/>
          <w:color w:val="auto"/>
        </w:rPr>
        <w:t>Whether Article 13.3 is applicable should be subject to Article 24 of this contract.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Applicable Laws and Dispute Solution</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Effectiveness and Constitution of Contract</w:t>
      </w:r>
    </w:p>
    <w:p>
      <w:pPr>
        <w:spacing w:after="0" w:line="224"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15.1 This contract takes effect with the signature of the legal representative (responsible person) or the authorized representative (or seal) and the common seal of the borrower, as well as the signature of the responsible person or the authorized representative (or seal) and the common seal of the loaner.</w:t>
      </w:r>
    </w:p>
    <w:p>
      <w:pPr>
        <w:spacing w:after="0" w:line="13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15.2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and other relevant documents and materials signed under this contract are indispensable parts of this contract.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is the supplement to this contract. Unless otherwise regulated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rights, obligations and other matters of the borrower and the loaner should still be subject to this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Specific Content of Line of Credit</w:t>
      </w:r>
    </w:p>
    <w:p>
      <w:pPr>
        <w:spacing w:after="0" w:line="191" w:lineRule="exact"/>
        <w:rPr>
          <w:sz w:val="20"/>
          <w:szCs w:val="20"/>
          <w:color w:val="auto"/>
        </w:rPr>
      </w:pPr>
    </w:p>
    <w:p>
      <w:pPr>
        <w:jc w:val="both"/>
        <w:ind w:right="20" w:firstLine="320"/>
        <w:spacing w:after="0" w:line="246" w:lineRule="exact"/>
        <w:rPr>
          <w:sz w:val="20"/>
          <w:szCs w:val="20"/>
          <w:color w:val="auto"/>
        </w:rPr>
      </w:pPr>
      <w:r>
        <w:rPr>
          <w:rFonts w:ascii="Arial" w:cs="Arial" w:eastAsia="Arial" w:hAnsi="Arial"/>
          <w:sz w:val="18"/>
          <w:szCs w:val="18"/>
          <w:color w:val="auto"/>
        </w:rPr>
        <w:t xml:space="preserve">16.1 Currency of line of credit: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Amount in words: </w:t>
      </w:r>
      <w:r>
        <w:rPr>
          <w:rFonts w:ascii="Arial" w:cs="Arial" w:eastAsia="Arial" w:hAnsi="Arial"/>
          <w:sz w:val="18"/>
          <w:szCs w:val="18"/>
          <w:u w:val="single" w:color="auto"/>
          <w:color w:val="auto"/>
        </w:rPr>
        <w:t>five million yuan;</w:t>
      </w:r>
      <w:r>
        <w:rPr>
          <w:rFonts w:ascii="Arial" w:cs="Arial" w:eastAsia="Arial" w:hAnsi="Arial"/>
          <w:sz w:val="18"/>
          <w:szCs w:val="18"/>
          <w:color w:val="auto"/>
        </w:rPr>
        <w:t xml:space="preserve"> Available for √RMB </w:t>
      </w:r>
      <w:r>
        <w:rPr>
          <w:rFonts w:ascii="MS PGothic" w:cs="MS PGothic" w:eastAsia="MS PGothic" w:hAnsi="MS PGothic"/>
          <w:sz w:val="18"/>
          <w:szCs w:val="18"/>
          <w:color w:val="auto"/>
        </w:rPr>
        <w:t>☐</w:t>
      </w:r>
      <w:r>
        <w:rPr>
          <w:rFonts w:ascii="Arial" w:cs="Arial" w:eastAsia="Arial" w:hAnsi="Arial"/>
          <w:sz w:val="18"/>
          <w:szCs w:val="18"/>
          <w:color w:val="auto"/>
        </w:rPr>
        <w:t xml:space="preserve"> (foreign currency); Belonging to √Revolving line of credit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line of credit (used for several time) □One-time line of credit (used for only once).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3" w:name="page294"/>
    <w:bookmarkEnd w:id="293"/>
    <w:p>
      <w:pPr>
        <w:ind w:left="320"/>
        <w:spacing w:after="0"/>
        <w:rPr>
          <w:sz w:val="20"/>
          <w:szCs w:val="20"/>
          <w:color w:val="auto"/>
        </w:rPr>
      </w:pPr>
      <w:r>
        <w:rPr>
          <w:rFonts w:ascii="Arial" w:cs="Arial" w:eastAsia="Arial" w:hAnsi="Arial"/>
          <w:sz w:val="18"/>
          <w:szCs w:val="18"/>
          <w:color w:val="auto"/>
        </w:rPr>
        <w:t xml:space="preserve">16.2 Purpose of line of credit: </w:t>
      </w:r>
      <w:r>
        <w:rPr>
          <w:rFonts w:ascii="Arial" w:cs="Arial" w:eastAsia="Arial" w:hAnsi="Arial"/>
          <w:sz w:val="18"/>
          <w:szCs w:val="18"/>
          <w:u w:val="single" w:color="auto"/>
          <w:color w:val="auto"/>
        </w:rPr>
        <w:t>operation turnover</w:t>
      </w:r>
      <w:r>
        <w:rPr>
          <w:rFonts w:ascii="Arial" w:cs="Arial" w:eastAsia="Arial" w:hAnsi="Arial"/>
          <w:sz w:val="18"/>
          <w:szCs w:val="18"/>
          <w:color w:val="auto"/>
        </w:rPr>
        <w:t xml:space="preserve"> .</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16.3 Period of line of credit is November 21, 2019 to November 21,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Interest Rate</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If the loan is in any foreign currency, the determination and adjustment of interest rate, and the default interest rate of overdue and embezzled loan are regulated as follows:</w:t>
      </w:r>
    </w:p>
    <w:p>
      <w:pPr>
        <w:spacing w:after="0" w:line="17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-11430</wp:posOffset>
            </wp:positionV>
            <wp:extent cx="21767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21767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Account</w:t>
      </w:r>
    </w:p>
    <w:p>
      <w:pPr>
        <w:spacing w:after="0" w:line="191" w:lineRule="exact"/>
        <w:rPr>
          <w:sz w:val="20"/>
          <w:szCs w:val="20"/>
          <w:color w:val="auto"/>
        </w:rPr>
      </w:pPr>
    </w:p>
    <w:p>
      <w:pPr>
        <w:ind w:firstLine="320"/>
        <w:spacing w:after="0" w:line="237" w:lineRule="exact"/>
        <w:rPr>
          <w:sz w:val="20"/>
          <w:szCs w:val="20"/>
          <w:color w:val="auto"/>
        </w:rPr>
      </w:pPr>
      <w:r>
        <w:rPr>
          <w:rFonts w:ascii="Arial" w:cs="Arial" w:eastAsia="Arial" w:hAnsi="Arial"/>
          <w:sz w:val="16"/>
          <w:szCs w:val="16"/>
          <w:color w:val="auto"/>
        </w:rPr>
        <w:t xml:space="preserve">18.1 The borrower appoints the following account to be the issuance account. The account </w:t>
      </w:r>
      <w:r>
        <w:rPr>
          <w:rFonts w:ascii="MS PGothic" w:cs="MS PGothic" w:eastAsia="MS PGothic" w:hAnsi="MS PGothic"/>
          <w:sz w:val="16"/>
          <w:szCs w:val="16"/>
          <w:color w:val="auto"/>
        </w:rPr>
        <w:t>☐</w:t>
      </w:r>
      <w:r>
        <w:rPr>
          <w:rFonts w:ascii="Arial" w:cs="Arial" w:eastAsia="Arial" w:hAnsi="Arial"/>
          <w:sz w:val="16"/>
          <w:szCs w:val="16"/>
          <w:color w:val="auto"/>
        </w:rPr>
        <w:t xml:space="preserve"> is √is not the dedicated loan issuance account opened at the loaner. If both parties otherwise regulate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such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should prevail.</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name: CLPS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310066865018010213932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of deposit: Zhangjiang Sub-branch of Bank of Communications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18.2 The borrower appoints that:</w:t>
      </w:r>
    </w:p>
    <w:p>
      <w:pPr>
        <w:spacing w:after="0" w:line="220" w:lineRule="exact"/>
        <w:rPr>
          <w:sz w:val="20"/>
          <w:szCs w:val="20"/>
          <w:color w:val="auto"/>
        </w:rPr>
      </w:pPr>
    </w:p>
    <w:p>
      <w:pPr>
        <w:ind w:left="320" w:right="8940" w:firstLine="7"/>
        <w:spacing w:after="0" w:line="556" w:lineRule="auto"/>
        <w:tabs>
          <w:tab w:leader="none" w:pos="56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repayment account: Account name: CLPS</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Account number: 310066865018010213932</w:t>
      </w:r>
    </w:p>
    <w:p>
      <w:pPr>
        <w:spacing w:after="0" w:line="21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Bank of deposit: Zhangjiang Sub-branch of Bank of Communications</w:t>
      </w:r>
    </w:p>
    <w:p>
      <w:pPr>
        <w:spacing w:after="0" w:line="219" w:lineRule="exact"/>
        <w:rPr>
          <w:rFonts w:ascii="Arial" w:cs="Arial" w:eastAsia="Arial" w:hAnsi="Arial"/>
          <w:sz w:val="16"/>
          <w:szCs w:val="16"/>
          <w:color w:val="auto"/>
        </w:rPr>
      </w:pPr>
    </w:p>
    <w:p>
      <w:pPr>
        <w:ind w:left="580" w:hanging="253"/>
        <w:spacing w:after="0"/>
        <w:tabs>
          <w:tab w:leader="none" w:pos="5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fund collection account: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name: CLPS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310066865018010213932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of deposit: Zhangjiang Sub-branch of Bank of Communications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Issuance, Payment and Repayment of Loan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19.1 The period of each loan withdrawn under this contract should be no longer than 12</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4" w:name="page295"/>
    <w:bookmarkEnd w:id="294"/>
    <w:p>
      <w:pPr>
        <w:spacing w:after="0" w:line="207" w:lineRule="exact"/>
        <w:rPr>
          <w:sz w:val="20"/>
          <w:szCs w:val="20"/>
          <w:color w:val="auto"/>
        </w:rPr>
      </w:pPr>
      <w:r>
        <w:rPr>
          <w:rFonts w:ascii="Arial" w:cs="Arial" w:eastAsia="Arial" w:hAnsi="Arial"/>
          <w:sz w:val="18"/>
          <w:szCs w:val="18"/>
          <w:color w:val="auto"/>
        </w:rPr>
        <w:t xml:space="preserve">√months </w:t>
      </w:r>
      <w:r>
        <w:rPr>
          <w:rFonts w:ascii="MS PGothic" w:cs="MS PGothic" w:eastAsia="MS PGothic" w:hAnsi="MS PGothic"/>
          <w:sz w:val="18"/>
          <w:szCs w:val="18"/>
          <w:color w:val="auto"/>
        </w:rPr>
        <w:t>☐</w:t>
      </w:r>
      <w:r>
        <w:rPr>
          <w:rFonts w:ascii="Arial" w:cs="Arial" w:eastAsia="Arial" w:hAnsi="Arial"/>
          <w:sz w:val="18"/>
          <w:szCs w:val="18"/>
          <w:color w:val="auto"/>
        </w:rPr>
        <w:t xml:space="preserve"> days, and the maturity date of all the loan should be no later than May 21, 2021.</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19.2 The limit of independent payment under this contract should be RMB 0.</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19.3 The entrusted payment by loaner is compulsory once any condition below is met:</w:t>
      </w:r>
    </w:p>
    <w:p>
      <w:pPr>
        <w:spacing w:after="0" w:line="22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-11430</wp:posOffset>
            </wp:positionV>
            <wp:extent cx="21202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-11430</wp:posOffset>
            </wp:positionV>
            <wp:extent cx="21202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0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19.4 In the mode of independent payment by the borrower, the borrower should report the payment of loan fund to the loaner within 15 days since the issuance of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Financial Restriction, External Rating, Production and Operation Qualification/License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20.1 Limit on the external investment by the borrower is RMB10,000,000,000; limit on the increase of debt financing is RMB10,000,000,000.</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 Specific regulations on the financial indexes of the borrower:</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r>
        <w:trPr>
          <w:trHeight w:val="407"/>
        </w:trPr>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r>
        <w:trPr>
          <w:trHeight w:val="407"/>
        </w:trPr>
        <w:tc>
          <w:tcPr>
            <w:tcW w:w="26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20.3 Specific regulations on the external rating:</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r>
        <w:trPr>
          <w:trHeight w:val="407"/>
        </w:trPr>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20.4 Specific regulations on the production and operation qualification/license of the borrower:</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r>
        <w:trPr>
          <w:trHeight w:val="407"/>
        </w:trPr>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3340" w:type="dxa"/>
            <w:vAlign w:val="bottom"/>
            <w:tcBorders>
              <w:bottom w:val="single" w:sz="8" w:color="auto"/>
            </w:tcBorders>
          </w:tcPr>
          <w:p>
            <w:pPr>
              <w:jc w:val="right"/>
              <w:ind w:right="1551"/>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Repricing of Risk</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21.1 This contract adopts the first repricing mode below: (1) Repricing through negotiations; (2) Direct raising the loan interest rate.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95" w:name="page296"/>
    <w:bookmarkEnd w:id="295"/>
    <w:p>
      <w:pPr>
        <w:ind w:left="320"/>
        <w:spacing w:after="0"/>
        <w:rPr>
          <w:sz w:val="20"/>
          <w:szCs w:val="20"/>
          <w:color w:val="auto"/>
        </w:rPr>
      </w:pPr>
      <w:r>
        <w:rPr>
          <w:rFonts w:ascii="Arial" w:cs="Arial" w:eastAsia="Arial" w:hAnsi="Arial"/>
          <w:sz w:val="18"/>
          <w:szCs w:val="18"/>
          <w:color w:val="auto"/>
        </w:rPr>
        <w:t>21.2 Once the “direct raising the loan interest rate” is adopted:</w:t>
      </w:r>
    </w:p>
    <w:p>
      <w:pPr>
        <w:spacing w:after="0" w:line="187" w:lineRule="exact"/>
        <w:rPr>
          <w:sz w:val="20"/>
          <w:szCs w:val="20"/>
          <w:color w:val="auto"/>
        </w:rPr>
      </w:pPr>
    </w:p>
    <w:p>
      <w:pPr>
        <w:ind w:left="320"/>
        <w:spacing w:after="0" w:line="196" w:lineRule="exact"/>
        <w:rPr>
          <w:sz w:val="20"/>
          <w:szCs w:val="20"/>
          <w:color w:val="auto"/>
        </w:rPr>
      </w:pPr>
      <w:r>
        <w:rPr>
          <w:rFonts w:ascii="Arial" w:cs="Arial" w:eastAsia="Arial" w:hAnsi="Arial"/>
          <w:sz w:val="17"/>
          <w:szCs w:val="17"/>
          <w:color w:val="auto"/>
        </w:rPr>
        <w:t xml:space="preserve">21.2.1 If the loan currency is RMB, the fluctuation extent/increase (decrease) value of the raised loan: </w:t>
      </w:r>
      <w:r>
        <w:rPr>
          <w:rFonts w:ascii="MS PGothic" w:cs="MS PGothic" w:eastAsia="MS PGothic" w:hAnsi="MS PGothic"/>
          <w:sz w:val="17"/>
          <w:szCs w:val="17"/>
          <w:color w:val="auto"/>
        </w:rPr>
        <w:t>☐</w:t>
      </w:r>
      <w:r>
        <w:rPr>
          <w:rFonts w:ascii="Arial" w:cs="Arial" w:eastAsia="Arial" w:hAnsi="Arial"/>
          <w:sz w:val="17"/>
          <w:szCs w:val="17"/>
          <w:color w:val="auto"/>
        </w:rPr>
        <w:t xml:space="preserve"> Benchmark interest rate (without</w:t>
      </w:r>
    </w:p>
    <w:p>
      <w:pPr>
        <w:spacing w:after="0" w:line="60" w:lineRule="exact"/>
        <w:rPr>
          <w:sz w:val="20"/>
          <w:szCs w:val="20"/>
          <w:color w:val="auto"/>
        </w:rPr>
      </w:pPr>
    </w:p>
    <w:p>
      <w:pPr>
        <w:spacing w:after="0" w:line="207" w:lineRule="exact"/>
        <w:tabs>
          <w:tab w:leader="none" w:pos="4520" w:val="left"/>
          <w:tab w:leader="none" w:pos="4900" w:val="left"/>
          <w:tab w:leader="none" w:pos="7480" w:val="left"/>
          <w:tab w:leader="none" w:pos="7800" w:val="left"/>
          <w:tab w:leader="none" w:pos="9500" w:val="left"/>
          <w:tab w:leader="none" w:pos="9880" w:val="left"/>
        </w:tabs>
        <w:rPr>
          <w:sz w:val="20"/>
          <w:szCs w:val="20"/>
          <w:color w:val="auto"/>
        </w:rPr>
      </w:pPr>
      <w:r>
        <w:rPr>
          <w:rFonts w:ascii="Arial" w:cs="Arial" w:eastAsia="Arial" w:hAnsi="Arial"/>
          <w:sz w:val="17"/>
          <w:szCs w:val="17"/>
          <w:color w:val="auto"/>
        </w:rPr>
        <w:t xml:space="preserve">fluctuation/increase or decrease) </w:t>
      </w:r>
      <w:r>
        <w:rPr>
          <w:rFonts w:ascii="MS PGothic" w:cs="MS PGothic" w:eastAsia="MS PGothic" w:hAnsi="MS PGothic"/>
          <w:sz w:val="17"/>
          <w:szCs w:val="17"/>
          <w:color w:val="auto"/>
        </w:rPr>
        <w:t>☐</w:t>
      </w:r>
      <w:r>
        <w:rPr>
          <w:rFonts w:ascii="Arial" w:cs="Arial" w:eastAsia="Arial" w:hAnsi="Arial"/>
          <w:sz w:val="17"/>
          <w:szCs w:val="17"/>
          <w:color w:val="auto"/>
        </w:rPr>
        <w:t xml:space="preserve"> Fluctuated upwards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Fluctuated downwards by</w:t>
      </w:r>
      <w:r>
        <w:rPr>
          <w:sz w:val="20"/>
          <w:szCs w:val="20"/>
          <w:color w:val="auto"/>
        </w:rPr>
        <w:tab/>
      </w:r>
      <w:r>
        <w:rPr>
          <w:rFonts w:ascii="Arial" w:cs="Arial" w:eastAsia="Arial" w:hAnsi="Arial"/>
          <w:sz w:val="18"/>
          <w:szCs w:val="18"/>
          <w:color w:val="auto"/>
        </w:rPr>
        <w:t>/</w:t>
        <w:tab/>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Increased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MS PGothic" w:cs="MS PGothic" w:eastAsia="MS PGothic" w:hAnsi="MS PGothic"/>
          <w:sz w:val="16"/>
          <w:szCs w:val="16"/>
          <w:color w:val="auto"/>
        </w:rPr>
        <w:t>☐</w:t>
      </w:r>
      <w:r>
        <w:rPr>
          <w:rFonts w:ascii="Arial" w:cs="Arial" w:eastAsia="Arial" w:hAnsi="Arial"/>
          <w:sz w:val="16"/>
          <w:szCs w:val="16"/>
          <w:color w:val="auto"/>
        </w:rPr>
        <w:t xml:space="preserve"> Decreased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-17780</wp:posOffset>
            </wp:positionV>
            <wp:extent cx="401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401320" cy="825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-17780</wp:posOffset>
            </wp:positionV>
            <wp:extent cx="3727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372745" cy="8255"/>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-17780</wp:posOffset>
            </wp:positionV>
            <wp:extent cx="4464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446405" cy="8255"/>
                    </a:xfrm>
                    <a:prstGeom prst="rect">
                      <a:avLst/>
                    </a:prstGeom>
                    <a:noFill/>
                  </pic:spPr>
                </pic:pic>
              </a:graphicData>
            </a:graphic>
          </wp:anchor>
        </w:drawing>
      </w:r>
    </w:p>
    <w:p>
      <w:pPr>
        <w:ind w:firstLine="300"/>
        <w:spacing w:after="0" w:line="251" w:lineRule="auto"/>
        <w:tabs>
          <w:tab w:leader="none" w:pos="6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 If any specific regulation is reached in a certain loan, the fluctuation extent/increase (decrease) value of the raised interest rate should be subject to the applicable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4038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21.2.2 If the loan currency is a foreign currency, interest rate of the raised loan is:</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-11430</wp:posOffset>
            </wp:positionV>
            <wp:extent cx="20637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206375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Contact Details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Contact details of the borrower to receive the notice specified in Article 12: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Mailing address: </w:t>
      </w:r>
      <w:r>
        <w:rPr>
          <w:rFonts w:ascii="Arial" w:cs="Arial" w:eastAsia="Arial" w:hAnsi="Arial"/>
          <w:sz w:val="18"/>
          <w:szCs w:val="18"/>
          <w:u w:val="single" w:color="auto"/>
          <w:color w:val="auto"/>
        </w:rPr>
        <w:t>3F, Building 10, 498 Guoshoujing Road</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840" w:type="dxa"/>
            <w:vAlign w:val="bottom"/>
            <w:gridSpan w:val="6"/>
          </w:tcPr>
          <w:p>
            <w:pPr>
              <w:spacing w:after="0"/>
              <w:rPr>
                <w:sz w:val="20"/>
                <w:szCs w:val="20"/>
                <w:color w:val="auto"/>
              </w:rPr>
            </w:pPr>
            <w:r>
              <w:rPr>
                <w:rFonts w:ascii="Arial" w:cs="Arial" w:eastAsia="Arial" w:hAnsi="Arial"/>
                <w:sz w:val="18"/>
                <w:szCs w:val="18"/>
                <w:color w:val="auto"/>
                <w:w w:val="90"/>
              </w:rPr>
              <w:t>Addressee:</w:t>
            </w:r>
          </w:p>
        </w:tc>
        <w:tc>
          <w:tcPr>
            <w:tcW w:w="386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rPr>
              <w:t>Yang Rui</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07"/>
        </w:trPr>
        <w:tc>
          <w:tcPr>
            <w:tcW w:w="780" w:type="dxa"/>
            <w:vAlign w:val="bottom"/>
            <w:gridSpan w:val="5"/>
          </w:tcPr>
          <w:p>
            <w:pPr>
              <w:spacing w:after="0"/>
              <w:rPr>
                <w:sz w:val="20"/>
                <w:szCs w:val="20"/>
                <w:color w:val="auto"/>
              </w:rPr>
            </w:pPr>
            <w:r>
              <w:rPr>
                <w:rFonts w:ascii="Arial" w:cs="Arial" w:eastAsia="Arial" w:hAnsi="Arial"/>
                <w:sz w:val="18"/>
                <w:szCs w:val="18"/>
                <w:color w:val="auto"/>
                <w:w w:val="89"/>
              </w:rPr>
              <w:t>Post code:</w:t>
            </w:r>
          </w:p>
        </w:tc>
        <w:tc>
          <w:tcPr>
            <w:tcW w:w="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511"/>
              <w:spacing w:after="0"/>
              <w:rPr>
                <w:sz w:val="20"/>
                <w:szCs w:val="20"/>
                <w:color w:val="auto"/>
              </w:rPr>
            </w:pPr>
            <w:r>
              <w:rPr>
                <w:rFonts w:ascii="Arial" w:cs="Arial" w:eastAsia="Arial" w:hAnsi="Arial"/>
                <w:sz w:val="18"/>
                <w:szCs w:val="18"/>
                <w:color w:val="auto"/>
              </w:rPr>
              <w:t>201203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7"/>
        </w:trPr>
        <w:tc>
          <w:tcPr>
            <w:tcW w:w="320" w:type="dxa"/>
            <w:vAlign w:val="bottom"/>
          </w:tcPr>
          <w:p>
            <w:pPr>
              <w:spacing w:after="0"/>
              <w:rPr>
                <w:sz w:val="20"/>
                <w:szCs w:val="20"/>
                <w:color w:val="auto"/>
              </w:rPr>
            </w:pPr>
            <w:r>
              <w:rPr>
                <w:rFonts w:ascii="Arial" w:cs="Arial" w:eastAsia="Arial" w:hAnsi="Arial"/>
                <w:sz w:val="18"/>
                <w:szCs w:val="18"/>
                <w:color w:val="auto"/>
                <w:w w:val="99"/>
              </w:rPr>
              <w:t>Tel:</w:t>
            </w:r>
          </w:p>
        </w:tc>
        <w:tc>
          <w:tcPr>
            <w:tcW w:w="520" w:type="dxa"/>
            <w:vAlign w:val="bottom"/>
            <w:tcBorders>
              <w:bottom w:val="single" w:sz="8" w:color="auto"/>
            </w:tcBorders>
            <w:gridSpan w:val="5"/>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7"/>
        </w:trPr>
        <w:tc>
          <w:tcPr>
            <w:tcW w:w="620" w:type="dxa"/>
            <w:vAlign w:val="bottom"/>
            <w:gridSpan w:val="4"/>
          </w:tcPr>
          <w:p>
            <w:pPr>
              <w:spacing w:after="0"/>
              <w:rPr>
                <w:sz w:val="20"/>
                <w:szCs w:val="20"/>
                <w:color w:val="auto"/>
              </w:rPr>
            </w:pPr>
            <w:r>
              <w:rPr>
                <w:rFonts w:ascii="Arial" w:cs="Arial" w:eastAsia="Arial" w:hAnsi="Arial"/>
                <w:sz w:val="18"/>
                <w:szCs w:val="18"/>
                <w:color w:val="auto"/>
              </w:rPr>
              <w:t>Mobile:</w:t>
            </w:r>
          </w:p>
        </w:tc>
        <w:tc>
          <w:tcPr>
            <w:tcW w:w="22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tcBorders>
          </w:tcPr>
          <w:p>
            <w:pPr>
              <w:jc w:val="right"/>
              <w:ind w:right="1231"/>
              <w:spacing w:after="0"/>
              <w:rPr>
                <w:sz w:val="20"/>
                <w:szCs w:val="20"/>
                <w:color w:val="auto"/>
              </w:rPr>
            </w:pPr>
            <w:r>
              <w:rPr>
                <w:rFonts w:ascii="Arial" w:cs="Arial" w:eastAsia="Arial" w:hAnsi="Arial"/>
                <w:sz w:val="18"/>
                <w:szCs w:val="18"/>
                <w:color w:val="auto"/>
              </w:rPr>
              <w:t>18621327026</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7"/>
        </w:trPr>
        <w:tc>
          <w:tcPr>
            <w:tcW w:w="360" w:type="dxa"/>
            <w:vAlign w:val="bottom"/>
            <w:gridSpan w:val="2"/>
          </w:tcPr>
          <w:p>
            <w:pPr>
              <w:spacing w:after="0"/>
              <w:rPr>
                <w:sz w:val="20"/>
                <w:szCs w:val="20"/>
                <w:color w:val="auto"/>
              </w:rPr>
            </w:pPr>
            <w:r>
              <w:rPr>
                <w:rFonts w:ascii="Arial" w:cs="Arial" w:eastAsia="Arial" w:hAnsi="Arial"/>
                <w:sz w:val="18"/>
                <w:szCs w:val="18"/>
                <w:color w:val="auto"/>
                <w:w w:val="96"/>
              </w:rPr>
              <w:t>Fax:</w:t>
            </w:r>
          </w:p>
        </w:tc>
        <w:tc>
          <w:tcPr>
            <w:tcW w:w="480" w:type="dxa"/>
            <w:vAlign w:val="bottom"/>
            <w:tcBorders>
              <w:bottom w:val="single" w:sz="8" w:color="auto"/>
            </w:tcBorders>
            <w:gridSpan w:val="4"/>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07"/>
        </w:trPr>
        <w:tc>
          <w:tcPr>
            <w:tcW w:w="580" w:type="dxa"/>
            <w:vAlign w:val="bottom"/>
            <w:gridSpan w:val="3"/>
          </w:tcPr>
          <w:p>
            <w:pPr>
              <w:spacing w:after="0"/>
              <w:rPr>
                <w:sz w:val="20"/>
                <w:szCs w:val="20"/>
                <w:color w:val="auto"/>
              </w:rPr>
            </w:pPr>
            <w:r>
              <w:rPr>
                <w:rFonts w:ascii="Arial" w:cs="Arial" w:eastAsia="Arial" w:hAnsi="Arial"/>
                <w:sz w:val="18"/>
                <w:szCs w:val="18"/>
                <w:color w:val="auto"/>
                <w:w w:val="99"/>
              </w:rPr>
              <w:t>E-mail:</w:t>
            </w:r>
          </w:p>
        </w:tc>
        <w:tc>
          <w:tcPr>
            <w:tcW w:w="260" w:type="dxa"/>
            <w:vAlign w:val="bottom"/>
            <w:tcBorders>
              <w:bottom w:val="single" w:sz="8" w:color="auto"/>
            </w:tcBorders>
            <w:gridSpan w:val="3"/>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Counterparts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contract is made with three copies. Both parties and the guarantor (if any) holds one copy (ies)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 Miscellaneous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24.1 Both parties agree that Article 13.3 √applies □does not apply to this contract.</w:t>
      </w:r>
    </w:p>
    <w:p>
      <w:pPr>
        <w:spacing w:after="0" w:line="22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24.2 The loaner will issue the legal VAT invoice according to laws, rules and regulations, while the specific time and mode should be determined by both parties through negotiations.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24.3 The payment mode of loan under this contract should be subject to the </w:t>
      </w:r>
      <w:r>
        <w:rPr>
          <w:rFonts w:ascii="Arial" w:cs="Arial" w:eastAsia="Arial" w:hAnsi="Arial"/>
          <w:sz w:val="18"/>
          <w:szCs w:val="18"/>
          <w:i w:val="1"/>
          <w:iCs w:val="1"/>
          <w:color w:val="auto"/>
        </w:rPr>
        <w:t>Application for Use of Line of Credit signed by the loaner.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6" w:name="page297"/>
    <w:bookmarkEnd w:id="296"/>
    <w:p>
      <w:pPr>
        <w:ind w:left="320"/>
        <w:spacing w:after="0"/>
        <w:tabs>
          <w:tab w:leader="none" w:pos="268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color w:val="auto"/>
        </w:rPr>
        <w:t>CLPS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-11430</wp:posOffset>
            </wp:positionV>
            <wp:extent cx="23025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2302510" cy="8255"/>
                    </a:xfrm>
                    <a:prstGeom prst="rect">
                      <a:avLst/>
                    </a:prstGeom>
                    <a:noFill/>
                  </pic:spPr>
                </pic:pic>
              </a:graphicData>
            </a:graphic>
          </wp:anchor>
        </w:drawing>
      </w:r>
    </w:p>
    <w:p>
      <w:pPr>
        <w:spacing w:after="0" w:line="200" w:lineRule="exact"/>
        <w:rPr>
          <w:sz w:val="20"/>
          <w:szCs w:val="20"/>
          <w:color w:val="auto"/>
        </w:rPr>
      </w:pPr>
    </w:p>
    <w:p>
      <w:pPr>
        <w:ind w:left="320"/>
        <w:spacing w:after="0"/>
        <w:tabs>
          <w:tab w:leader="none" w:pos="4940" w:val="left"/>
        </w:tabs>
        <w:rPr>
          <w:sz w:val="20"/>
          <w:szCs w:val="20"/>
          <w:color w:val="auto"/>
        </w:rPr>
      </w:pPr>
      <w:r>
        <w:rPr>
          <w:rFonts w:ascii="Arial" w:cs="Arial" w:eastAsia="Arial" w:hAnsi="Arial"/>
          <w:sz w:val="18"/>
          <w:szCs w:val="18"/>
          <w:color w:val="auto"/>
        </w:rPr>
        <w:t>Legal representative (responsible person):</w:t>
      </w:r>
      <w:r>
        <w:rPr>
          <w:sz w:val="20"/>
          <w:szCs w:val="20"/>
          <w:color w:val="auto"/>
        </w:rPr>
        <w:tab/>
      </w:r>
      <w:r>
        <w:rPr>
          <w:rFonts w:ascii="Arial" w:cs="Arial" w:eastAsia="Arial" w:hAnsi="Arial"/>
          <w:sz w:val="16"/>
          <w:szCs w:val="16"/>
          <w:color w:val="auto"/>
        </w:rPr>
        <w:t>Yang Xiaofeng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-11430</wp:posOffset>
            </wp:positionV>
            <wp:extent cx="27101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Room 26C01, 828-838 Zhangyang Road, China (Shanghai) Free Trade Area</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Loaner: </w:t>
      </w:r>
      <w:r>
        <w:rPr>
          <w:rFonts w:ascii="Arial" w:cs="Arial" w:eastAsia="Arial" w:hAnsi="Arial"/>
          <w:sz w:val="18"/>
          <w:szCs w:val="18"/>
          <w:u w:val="single" w:color="auto"/>
          <w:color w:val="auto"/>
        </w:rPr>
        <w:t>Xinqu</w:t>
      </w:r>
      <w:r>
        <w:rPr>
          <w:rFonts w:ascii="Arial" w:cs="Arial" w:eastAsia="Arial" w:hAnsi="Arial"/>
          <w:sz w:val="18"/>
          <w:szCs w:val="18"/>
          <w:color w:val="auto"/>
        </w:rPr>
        <w:t xml:space="preserve"> Branch (Sub-branch) of Bank of Communications Co., Ltd.</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w w:val="88"/>
              </w:rPr>
              <w:t>Responsible person:</w:t>
            </w:r>
          </w:p>
        </w:tc>
        <w:tc>
          <w:tcPr>
            <w:tcW w:w="37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Cai Yue</w:t>
            </w:r>
          </w:p>
        </w:tc>
        <w:tc>
          <w:tcPr>
            <w:tcW w:w="680" w:type="dxa"/>
            <w:vAlign w:val="bottom"/>
          </w:tcPr>
          <w:p>
            <w:pPr>
              <w:spacing w:after="0"/>
              <w:rPr>
                <w:sz w:val="17"/>
                <w:szCs w:val="17"/>
                <w:color w:val="auto"/>
              </w:rPr>
            </w:pPr>
          </w:p>
        </w:tc>
      </w:tr>
      <w:tr>
        <w:trPr>
          <w:trHeight w:val="407"/>
        </w:trPr>
        <w:tc>
          <w:tcPr>
            <w:tcW w:w="1240" w:type="dxa"/>
            <w:vAlign w:val="bottom"/>
          </w:tcPr>
          <w:p>
            <w:pPr>
              <w:spacing w:after="0"/>
              <w:rPr>
                <w:sz w:val="20"/>
                <w:szCs w:val="20"/>
                <w:color w:val="auto"/>
              </w:rPr>
            </w:pPr>
            <w:r>
              <w:rPr>
                <w:rFonts w:ascii="Arial" w:cs="Arial" w:eastAsia="Arial" w:hAnsi="Arial"/>
                <w:sz w:val="18"/>
                <w:szCs w:val="18"/>
                <w:color w:val="auto"/>
                <w:w w:val="93"/>
              </w:rPr>
              <w:t>Mailing address:</w:t>
            </w: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260 Xinjinqiao Road</w:t>
            </w:r>
          </w:p>
        </w:tc>
        <w:tc>
          <w:tcPr>
            <w:tcW w:w="6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288290</wp:posOffset>
            </wp:positionV>
            <wp:extent cx="4278630" cy="7283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4278630" cy="7283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left="2260" w:right="2260"/>
        <w:spacing w:after="0" w:line="255" w:lineRule="auto"/>
        <w:rPr>
          <w:sz w:val="20"/>
          <w:szCs w:val="20"/>
          <w:color w:val="auto"/>
        </w:rPr>
      </w:pPr>
      <w:r>
        <w:rPr>
          <w:rFonts w:ascii="Arial" w:cs="Arial" w:eastAsia="Arial" w:hAnsi="Arial"/>
          <w:sz w:val="18"/>
          <w:szCs w:val="18"/>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text below in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1482725" cy="15925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1482725" cy="159258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733425</wp:posOffset>
            </wp:positionV>
            <wp:extent cx="1728470" cy="10083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1728470" cy="100838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Borrower: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Loaner: (Seal)</w:t>
      </w:r>
    </w:p>
    <w:p>
      <w:pPr>
        <w:spacing w:after="0" w:line="200" w:lineRule="exact"/>
        <w:rPr>
          <w:sz w:val="20"/>
          <w:szCs w:val="20"/>
          <w:color w:val="auto"/>
        </w:rPr>
      </w:pPr>
    </w:p>
    <w:p>
      <w:pPr>
        <w:sectPr>
          <w:pgSz w:w="11900" w:h="16838" w:orient="portrait"/>
          <w:cols w:equalWidth="0" w:num="2">
            <w:col w:w="6040" w:space="720"/>
            <w:col w:w="4480"/>
          </w:cols>
          <w:pgMar w:left="320" w:top="899"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(Seal: CLPS)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(Seal: Line of Credit Business Contract Seal of Shanghai</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Xinqu Sub-branch of Bank of Communications Co., Ltd.)</w:t>
      </w:r>
    </w:p>
    <w:p>
      <w:pPr>
        <w:spacing w:after="0" w:line="200" w:lineRule="exact"/>
        <w:rPr>
          <w:sz w:val="20"/>
          <w:szCs w:val="20"/>
          <w:color w:val="auto"/>
        </w:rPr>
      </w:pPr>
    </w:p>
    <w:p>
      <w:pPr>
        <w:sectPr>
          <w:pgSz w:w="11900" w:h="16838" w:orient="portrait"/>
          <w:cols w:equalWidth="0" w:num="2">
            <w:col w:w="6040" w:space="720"/>
            <w:col w:w="4480"/>
          </w:cols>
          <w:pgMar w:left="320" w:top="899" w:right="33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422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97" w:name="page298"/>
    <w:bookmarkEnd w:id="297"/>
    <w:p>
      <w:pPr>
        <w:spacing w:after="0"/>
        <w:tabs>
          <w:tab w:leader="none" w:pos="540" w:val="left"/>
        </w:tabs>
        <w:rPr>
          <w:sz w:val="20"/>
          <w:szCs w:val="20"/>
          <w:color w:val="auto"/>
        </w:rPr>
      </w:pPr>
      <w:r>
        <w:rPr>
          <w:rFonts w:ascii="Arial" w:cs="Arial" w:eastAsia="Arial" w:hAnsi="Arial"/>
          <w:sz w:val="18"/>
          <w:szCs w:val="18"/>
          <w:color w:val="auto"/>
        </w:rPr>
        <w:t>Legal</w:t>
      </w:r>
      <w:r>
        <w:rPr>
          <w:sz w:val="20"/>
          <w:szCs w:val="20"/>
          <w:color w:val="auto"/>
        </w:rPr>
        <w:tab/>
      </w:r>
      <w:r>
        <w:rPr>
          <w:rFonts w:ascii="Arial" w:cs="Arial" w:eastAsia="Arial" w:hAnsi="Arial"/>
          <w:sz w:val="14"/>
          <w:szCs w:val="14"/>
          <w:color w:val="auto"/>
        </w:rPr>
        <w:t>representative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(responsible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person)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authorized</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Arial" w:cs="Arial" w:eastAsia="Arial" w:hAnsi="Arial"/>
          <w:sz w:val="18"/>
          <w:szCs w:val="18"/>
          <w:color w:val="auto"/>
        </w:rPr>
        <w:t>Legal</w:t>
      </w:r>
      <w:r>
        <w:rPr>
          <w:sz w:val="20"/>
          <w:szCs w:val="20"/>
          <w:color w:val="auto"/>
        </w:rPr>
        <w:tab/>
      </w:r>
      <w:r>
        <w:rPr>
          <w:rFonts w:ascii="Arial" w:cs="Arial" w:eastAsia="Arial" w:hAnsi="Arial"/>
          <w:sz w:val="14"/>
          <w:szCs w:val="14"/>
          <w:color w:val="auto"/>
        </w:rPr>
        <w:t>representative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(responsible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person)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authorized</w:t>
      </w:r>
    </w:p>
    <w:p>
      <w:pPr>
        <w:spacing w:after="0" w:line="41" w:lineRule="exact"/>
        <w:rPr>
          <w:sz w:val="20"/>
          <w:szCs w:val="20"/>
          <w:color w:val="auto"/>
        </w:rPr>
      </w:pPr>
    </w:p>
    <w:p>
      <w:pPr>
        <w:sectPr>
          <w:pgSz w:w="11900" w:h="16838" w:orient="portrait"/>
          <w:cols w:equalWidth="0" w:num="10">
            <w:col w:w="1560" w:space="160"/>
            <w:col w:w="860" w:space="160"/>
            <w:col w:w="540" w:space="160"/>
            <w:col w:w="140" w:space="160"/>
            <w:col w:w="2300" w:space="720"/>
            <w:col w:w="1560" w:space="140"/>
            <w:col w:w="880" w:space="140"/>
            <w:col w:w="540" w:space="160"/>
            <w:col w:w="140" w:space="160"/>
            <w:col w:w="760"/>
          </w:cols>
          <w:pgMar w:left="320" w:top="899" w:right="339" w:bottom="1440" w:gutter="0" w:footer="0" w:header="0"/>
        </w:sectPr>
      </w:pPr>
    </w:p>
    <w:p>
      <w:pPr>
        <w:spacing w:after="0"/>
        <w:rPr>
          <w:sz w:val="20"/>
          <w:szCs w:val="20"/>
          <w:color w:val="auto"/>
        </w:rPr>
      </w:pPr>
      <w:r>
        <w:rPr>
          <w:rFonts w:ascii="Arial" w:cs="Arial" w:eastAsia="Arial" w:hAnsi="Arial"/>
          <w:sz w:val="14"/>
          <w:szCs w:val="14"/>
          <w:color w:val="auto"/>
        </w:rPr>
        <w:t>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representative</w:t>
      </w:r>
    </w:p>
    <w:p>
      <w:pPr>
        <w:spacing w:after="0" w:line="200" w:lineRule="exact"/>
        <w:rPr>
          <w:sz w:val="20"/>
          <w:szCs w:val="20"/>
          <w:color w:val="auto"/>
        </w:rPr>
      </w:pPr>
    </w:p>
    <w:p>
      <w:pPr>
        <w:sectPr>
          <w:pgSz w:w="11900" w:h="16838" w:orient="portrait"/>
          <w:cols w:equalWidth="0" w:num="2">
            <w:col w:w="6040" w:space="720"/>
            <w:col w:w="4480"/>
          </w:cols>
          <w:pgMar w:left="320" w:top="899"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26745" cy="6267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626745" cy="626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626745" cy="6267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626745" cy="626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8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December 4, 2019</w:t>
      </w:r>
      <w:r>
        <w:rPr>
          <w:sz w:val="20"/>
          <w:szCs w:val="20"/>
          <w:color w:val="auto"/>
        </w:rPr>
        <w:tab/>
      </w:r>
      <w:r>
        <w:rPr>
          <w:rFonts w:ascii="Arial" w:cs="Arial" w:eastAsia="Arial" w:hAnsi="Arial"/>
          <w:sz w:val="14"/>
          <w:szCs w:val="14"/>
          <w:color w:val="auto"/>
        </w:rPr>
        <w:t>Date: December 4, 2019</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China Merchants Bank Co., Ltd.</w:t>
      </w:r>
    </w:p>
    <w:p>
      <w:pPr>
        <w:spacing w:after="0" w:line="24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Shanghai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Credit Granting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439420</wp:posOffset>
            </wp:positionV>
            <wp:extent cx="713422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t>Credit Granting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 is applicable to the situation that the working capital loan does not need to sign another loan contract</w:t>
      </w:r>
    </w:p>
    <w:p>
      <w:pPr>
        <w:spacing w:after="0" w:line="25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No.:121XY2019029438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grantor</w:t>
      </w:r>
      <w:r>
        <w:rPr>
          <w:rFonts w:ascii="Arial" w:cs="Arial" w:eastAsia="Arial" w:hAnsi="Arial"/>
          <w:sz w:val="18"/>
          <w:szCs w:val="18"/>
          <w:color w:val="auto"/>
        </w:rPr>
        <w:t>: China Merchants Bank Co., Ltd., Shanghai Century Avenue Branch (hereinafter referred to as “Party 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applicant</w:t>
      </w:r>
      <w:r>
        <w:rPr>
          <w:rFonts w:ascii="Arial" w:cs="Arial" w:eastAsia="Arial" w:hAnsi="Arial"/>
          <w:sz w:val="18"/>
          <w:szCs w:val="18"/>
          <w:color w:val="auto"/>
        </w:rPr>
        <w:t>: CLPS Incorporation (hereinafter referred to as “Party B”)</w:t>
      </w:r>
    </w:p>
    <w:p>
      <w:pPr>
        <w:spacing w:after="0" w:line="224"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Upon application by Party B, Party A agrees to provide a line of credit (LOC) to Party B. Upon fully consultation, Party A and Party B have reached a consensus in respect of the following terms and conditions in accordance with the relevant laws and regulations, and hereby enter into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Line of Credit</w:t>
      </w:r>
    </w:p>
    <w:p>
      <w:pPr>
        <w:spacing w:after="0" w:line="224"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1.1 Party A shall grant Party B a LOC of RMB Twenty Million yuan (or equivalent amount of other currencies, which shall be translated with the exchange rate published by Party A on the date when the specific business occurs, the same below), including revolving LOC and/or one-time LOC.</w:t>
      </w:r>
    </w:p>
    <w:p>
      <w:pPr>
        <w:spacing w:after="0" w:line="15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there is any outstanding balance of the specific business carried out under the credit agreement No. 5202180601 signed by Party A (or its subordinate organization) and Party B (fill in the text name of the agreement), it will be automatically included in this Agreement and directly occupy the credit line under this agreement</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1.2 The credit term is 12 months, from December 16, 2019 to December 15, 2020. If Party B needs to use the credit line to handle the specific credit business, it shall apply to Party A for the use of the credit line within the period. Party A shall not accept the application for trial use of the credit line submitted by Party B beyond the expiration date of the credit period, unless otherwise specified in this agreement</w:t>
      </w:r>
    </w:p>
    <w:p>
      <w:pPr>
        <w:spacing w:after="0" w:line="186"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1.3 The varieties of credit granting under the LOC includes but is not limited to credit for loan/order-related loan, trade financing, bill discounting, commercial bill acceptance, guaranteed discount for commercial acceptance bills, international/domestic letter of guarantee, customs duties and dues payment guarantee, corporate account overdraft, derivative transaction and gold leasing or the combination thereof.</w:t>
      </w:r>
    </w:p>
    <w:p>
      <w:pPr>
        <w:spacing w:after="0" w:line="16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“Trade financing” includes but is not limited to international/domestic letters of credit, import bill advance, delivery against bank guarantee, import bill advance under collection, packaged loans, export bill advance, export negotiation, export bill advance under collection, remittance financing for import/export, and credit insurance financing, factoring, bill analyzation and other business varieties.</w:t>
      </w:r>
    </w:p>
    <w:p>
      <w:pPr>
        <w:spacing w:after="0" w:line="186"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1.4 The revolving LOC refers to the maximum amount of total principal balance of the credit for one or more business varieties mentioned in the preceding paragraph granted by Party A to Party B occurred during the credit period, which can be repeatedly used in a revolving manner.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0" w:name="page301"/>
    <w:bookmarkEnd w:id="300"/>
    <w:p>
      <w:pPr>
        <w:jc w:val="both"/>
        <w:ind w:firstLine="320"/>
        <w:spacing w:after="0" w:line="255" w:lineRule="auto"/>
        <w:rPr>
          <w:sz w:val="20"/>
          <w:szCs w:val="20"/>
          <w:color w:val="auto"/>
        </w:rPr>
      </w:pPr>
      <w:r>
        <w:rPr>
          <w:rFonts w:ascii="Arial" w:cs="Arial" w:eastAsia="Arial" w:hAnsi="Arial"/>
          <w:sz w:val="18"/>
          <w:szCs w:val="18"/>
          <w:color w:val="auto"/>
        </w:rPr>
        <w:t>The one-time LOC means that the cumulative amount of credit for the business varieties mentioned in the preceding paragraph granted by Party A to Party B occurred during the credit period shall not exceed the one-time LOC approved by Party A. Party B shall not use the one-time LOC in a revolving manner, and the amount of each credit granting applied by Party B under the LOC shall offset the amount of one-time LOC until the amount of LOC is fully offset by the accumulated amount of all the credit granting.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Arrangement of credit line</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2.1 During the credit period, the credit business applied by the borrower and approved by loaner shall be automatically included in this Agreement and occupy the credit line under this arrangement.</w:t>
      </w:r>
    </w:p>
    <w:p>
      <w:pPr>
        <w:spacing w:after="0" w:line="17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2.2 If Party A handles the factoring business with Party B as the payer (debtor of the accounts receivable), the accounts receivable right transferred by Party A from a third party to Party B occupies the above credit line; if Party B applies to Party A for factoring business with Party B as the payee (creditor of accounts receivable), Party A’s own funds or other funds from other legal sources shall pay to Party B The payment is used to purchase the accounts receivable bonds held by Party B, and the purchase money (purchase money) occupies the above credit line</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2.3Where Party A, according to the needs of its internal processes, entrusts other branches of China Merchants Bank to issue a subsidiary letter of credit to the beneficiary after issuing the master letter of credit, the bill advance and delivery against bank guarantee that occurs under such letter of credit shall offset the above-mentioned LOC.</w:t>
      </w:r>
    </w:p>
    <w:p>
      <w:pPr>
        <w:spacing w:after="0" w:line="186"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When the import letter of credit is used, if the import bill advance is actually incurred later under the same letter of credit, the import letter of credit and import bill advance shall offset the same amount at different stages. That is, when the import bill advance occurs, the amount recovered after the letter of credit is paid, if re-used for import bill advance, shall be deemed to offset the same amount under the original import license.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Approval and Usage of Credit Line</w:t>
      </w:r>
    </w:p>
    <w:p>
      <w:pPr>
        <w:spacing w:after="0" w:line="224"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3.1 The types of LOC under this Agreement (revolving LOC or one-time LOC), the applicable types of credit granting, the amount of LOC under each type of credit granting, the transferability of different types of credit granting, and the specific conditions for use, etc. are subject to the approval of Party A. If Party A makes adjustments to its original approval opinions according to the application of Party B during the credit period, the subsequent approval opinions issued by Party A constitute supplements and changes to the original approval opinions, and so on.</w:t>
      </w:r>
    </w:p>
    <w:p>
      <w:pPr>
        <w:spacing w:after="0" w:line="17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3.2 Party B must apply for using the LOC on a case-by-case basis and submit the materials requested by Party A. Party A shall examine and approve the application one by one. Party A has the right to comprehensively consider whether to approve based on its internal management requirements and Party B’s operation, and has the right to refuse Party B’s application unilaterally, without bearing any form of legal responsibility for Party B. In the event of any inconsistency between this paragraph and other terms, the agreement in this paragraph shall prevail.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1" w:name="page302"/>
    <w:bookmarkEnd w:id="301"/>
    <w:p>
      <w:pPr>
        <w:jc w:val="both"/>
        <w:ind w:firstLine="320"/>
        <w:spacing w:after="0" w:line="253" w:lineRule="auto"/>
        <w:rPr>
          <w:sz w:val="20"/>
          <w:szCs w:val="20"/>
          <w:color w:val="auto"/>
        </w:rPr>
      </w:pPr>
      <w:r>
        <w:rPr>
          <w:rFonts w:ascii="Arial" w:cs="Arial" w:eastAsia="Arial" w:hAnsi="Arial"/>
          <w:sz w:val="18"/>
          <w:szCs w:val="18"/>
          <w:color w:val="auto"/>
        </w:rPr>
        <w:t>When carrying out specific credit business with the approval of Party A, the specific business agreement (including but not limited to single agreement / application, framework agreement or specific business contract) signed by Party A and Party B for specific credit business constituting an integral part of the credit agreement. The specific amount, interest rate, term, purpose, cost and other business elements of each loan or other credit business shall be determined by the specific business agreement, the business voucher (including but not limited to the loan receipt) confirmed by Party A and the business records of Party A’s system</w:t>
      </w:r>
    </w:p>
    <w:p>
      <w:pPr>
        <w:spacing w:after="0" w:line="19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3.3 If Party B applies for working capital loan within the credit line, Party A and Party B do not need to sign the “loan contract” one by one. Party B’s application for loan is the main one, and the withdrawal application is submitted by Party A for approval one by one</w:t>
      </w:r>
    </w:p>
    <w:p>
      <w:pPr>
        <w:spacing w:after="0" w:line="175"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3.4 Each loan or other credit within the credit line shall be used based on the business needs of Party B and the business management regulations of Party A. the maturity date of each specific business may be later than that of the credit period (unless otherwise required by Party A)</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3.5 During the credit period, Party A has the right to evaluate Party B’s operation and financial performance on a regular basis every year, and adjust the credit line available to Party B based on the evaluation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Liquidity loan interest rate clause</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4.1 The interest rate of any loan under this Agreement shall be determined by Party B in the corresponding withdrawal application and approved by Party A. if the withdrawal application is inconsistent with the loan receipt of the loan, the loan receipt shall prevail</w:t>
      </w:r>
    </w:p>
    <w:p>
      <w:pPr>
        <w:spacing w:after="0" w:line="171"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b w:val="1"/>
          <w:bCs w:val="1"/>
          <w:color w:val="auto"/>
        </w:rPr>
        <w:t>Party A has the right to adjust the floating interest and / or basic point of working capital loan from time to time in combination with changes in national policies, changes in domestic credit market prices or changes in Party A’s own credit policies. Once Party A decides to adjust, it shall notify Party B in advance, and such adjustment shall take effect after Party A notifies Party B. the specific floating rate and / or basic point of the newly withdrawn loans by Party B, as well as the loans that have been withdrawn but not yet returned by Party B before the notice takes effect, shall be implemented according to the notice of Party A</w:t>
      </w:r>
    </w:p>
    <w:p>
      <w:pPr>
        <w:spacing w:after="0" w:line="186" w:lineRule="exact"/>
        <w:rPr>
          <w:sz w:val="20"/>
          <w:szCs w:val="20"/>
          <w:color w:val="auto"/>
        </w:rPr>
      </w:pPr>
    </w:p>
    <w:p>
      <w:pPr>
        <w:jc w:val="both"/>
        <w:ind w:firstLine="375"/>
        <w:spacing w:after="0" w:line="274" w:lineRule="auto"/>
        <w:rPr>
          <w:sz w:val="20"/>
          <w:szCs w:val="20"/>
          <w:color w:val="auto"/>
        </w:rPr>
      </w:pPr>
      <w:r>
        <w:rPr>
          <w:rFonts w:ascii="Arial" w:cs="Arial" w:eastAsia="Arial" w:hAnsi="Arial"/>
          <w:sz w:val="18"/>
          <w:szCs w:val="18"/>
          <w:b w:val="1"/>
          <w:bCs w:val="1"/>
          <w:color w:val="auto"/>
        </w:rPr>
        <w:t>In case of any conflict or inconsistency between this clause and any other agreement in this agreement, the agreement in this clause shall prevail</w:t>
      </w:r>
    </w:p>
    <w:p>
      <w:pPr>
        <w:spacing w:after="0" w:line="172"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4.3 If Party B fails to use the loan in accordance with this agreement, the penalty interest will be charged by 100% on the basis of the original interest rate from the date of change of use. The original interest rate refers to the interest rate applicable before the loan is used for another purpose</w:t>
      </w:r>
    </w:p>
    <w:p>
      <w:pPr>
        <w:spacing w:after="0" w:line="15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If Party B fails to repay the loan on time, the expected interest (penalty interest) shall be charged for the outstanding part according to the standard of 50% (expected loan interest rate) based on the original interest rate from the date of overdue. The original interest rate refers to the interest rate applicable before the maturity date of the loan (including seven days in advance) (if it is a floating rate, it is the last floating period before the maturity date of the loan (including the early maturity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2" w:name="page303"/>
    <w:bookmarkEnd w:id="302"/>
    <w:p>
      <w:pPr>
        <w:ind w:left="320"/>
        <w:spacing w:after="0"/>
        <w:rPr>
          <w:sz w:val="20"/>
          <w:szCs w:val="20"/>
          <w:color w:val="auto"/>
        </w:rPr>
      </w:pPr>
      <w:r>
        <w:rPr>
          <w:rFonts w:ascii="Arial" w:cs="Arial" w:eastAsia="Arial" w:hAnsi="Arial"/>
          <w:sz w:val="16"/>
          <w:szCs w:val="16"/>
          <w:color w:val="auto"/>
        </w:rPr>
        <w:t>If the loan is overdue and not used in accordance with the contract, the interest shall be calculated according to the higher of the above provisions</w:t>
      </w:r>
    </w:p>
    <w:p>
      <w:pPr>
        <w:spacing w:after="0" w:line="24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4.4 During the loan period, if there is any regulation of the people’s Bank of China on adjusting the loan interest rate, the relevant provisions of the people’s Bank of China shall apply</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4.5 If the maturity date of the loan is a holiday, the loan shall be automatically extended to the first working day after the holiday, and the interest shall be calculated according to the actual number of days of loan funds</w:t>
      </w:r>
    </w:p>
    <w:p>
      <w:pPr>
        <w:spacing w:after="0" w:line="175"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4.6 Party B shall pay the interest on each and previous day. Party A may directly deduct the interest from any account of Party B in China Merchants Bank. If Party B fails to pay the interest on time, compound interest shall be calculated according to the overdue loan interest rate specified in this article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Guarantee Provisions</w:t>
      </w:r>
    </w:p>
    <w:p>
      <w:pPr>
        <w:spacing w:after="0" w:line="224"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5.1 For all debts owed by Party B to Party A under this agreement, Party B or a third party recognized by Party A shall provide property mortgage guarantee or joint guarantee. Party B or the third party as guarantor shall issue or sign the guarantee text separately according to the requirements of Party A</w:t>
      </w:r>
    </w:p>
    <w:p>
      <w:pPr>
        <w:spacing w:after="0" w:line="130"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5.2 If the guarantor fails to sign the guarantee contract and complete the guarantee procedures in accordance with the provisions of this clause (including the debtor of account receivable raises a defense before the receivable is pledged), Party A has the right to refuse to provide credit to Party B.</w:t>
      </w:r>
    </w:p>
    <w:p>
      <w:pPr>
        <w:spacing w:after="0" w:line="13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5.3 Under the circumstances that the guarantor provides the guarantee for any debt owed by Party B to Party A under this Agreement using real estate, Party B shall immediately notify Party A if it knows that the collateral has been or may be included in the government demolition and land expropriation plan, and press the guarantor to continue to provide guarantees for Party B’s debts in accordance with the guarantee contract using the compensation provided by the expropriator and complete the corresponding guarantee procedures in a timely manner, or provide other guarantee measures required and approved by Party A.</w:t>
      </w:r>
    </w:p>
    <w:p>
      <w:pPr>
        <w:spacing w:after="0" w:line="19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Under the circumstances stated in the preceding paragraph, if the guarantee needs to be reset or other guarantee measures are taken, the relevant expenses incurred shall be borne by the guarantor, with Party B being jointly and severally liable for the expenses. Party A has the right to deduct these fees directly from Party B’s account.</w:t>
      </w:r>
    </w:p>
    <w:p>
      <w:pPr>
        <w:spacing w:after="0" w:line="182" w:lineRule="exact"/>
        <w:rPr>
          <w:sz w:val="20"/>
          <w:szCs w:val="20"/>
          <w:color w:val="auto"/>
        </w:rPr>
      </w:pPr>
    </w:p>
    <w:p>
      <w:pPr>
        <w:ind w:left="180" w:hanging="173"/>
        <w:spacing w:after="0"/>
        <w:tabs>
          <w:tab w:leader="none" w:pos="1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22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6.1 Party B shall have right to:</w:t>
      </w:r>
    </w:p>
    <w:p>
      <w:pPr>
        <w:spacing w:after="0" w:line="21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6.1.1 Request Party A to provide loans or other credits within the LOC in accordance with the conditions specified in this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3" w:name="page304"/>
    <w:bookmarkEnd w:id="303"/>
    <w:p>
      <w:pPr>
        <w:ind w:left="320"/>
        <w:spacing w:after="0"/>
        <w:rPr>
          <w:sz w:val="20"/>
          <w:szCs w:val="20"/>
          <w:color w:val="auto"/>
        </w:rPr>
      </w:pPr>
      <w:r>
        <w:rPr>
          <w:rFonts w:ascii="Arial" w:cs="Arial" w:eastAsia="Arial" w:hAnsi="Arial"/>
          <w:sz w:val="18"/>
          <w:szCs w:val="18"/>
          <w:color w:val="auto"/>
        </w:rPr>
        <w:t>6.1.2 Use the LOC as stipulated in this Agreement;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6.1.3 Request Party A to keep confidential the production, operation, property, account and other information provided by Party B, unless otherwise required by laws and regulations or otherwise required by the regulatory authority; and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6.1.4 Transfer the debt to a third party after obtaining the consent of Party A.</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 Party B shall bear the following obligations:</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6.2.1 It shall truthfully provide documents and information required by Party A (including but not limited to providing its true financial books/statements and annual financial reports in the period required by Party A, major decisions and changes in production, operation and management, withdrawal/use of funds, information related to guarantee, etc.), and all the bank accounts, account numbers and balance of deposits and loans, as well as cooperate with Party A’s investigation, review and inspection.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6.2.2 It shall accept the supervision of Party A on its use of credit funds and related production operations and financial activities.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6.2.3 It shall use loans and/or other credits in accordance with the provision of this Agreement and the specific contract and/or promised purposes.</w:t>
      </w:r>
    </w:p>
    <w:p>
      <w:pPr>
        <w:spacing w:after="0" w:line="200" w:lineRule="exact"/>
        <w:rPr>
          <w:sz w:val="20"/>
          <w:szCs w:val="20"/>
          <w:color w:val="auto"/>
        </w:rPr>
      </w:pPr>
    </w:p>
    <w:p>
      <w:pPr>
        <w:spacing w:after="0" w:line="25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6.2.4 It shall repay the principal, interest and expenses of loans, advances and other debt under credit granting in full and on time in accordance with the provisions of this Agreement and each specific contract.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6.2.5 It shall obtain Party A’s written consent if transferring all or part of the debts under this Agreement to a third party.</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6.2.6 Under the following circumstances, it shall immediately notify Party A and actively cooperate with Party A to implement the guarantee measures for the safe repayment of principal, interest and expenses of loans, advances and other debt under credit granting:</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6.2.6.1 Occurrence of major financial losses, asset losses or other financial crisis;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6.2.6.2 Providing a loan or guarantee for a third party, or providing a collateral (pledge) guarantee with its own property (right);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6.2.6.3 Suspension of business, revocation or cancellation of business license, filing or being filed for bankruptcy, dissolution, etc;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6.2.6.4 The controlling shareholder and other related companies fall into a major operational or financial crisis, which affects their normal operation;</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6.2.6.5 The amount of the related transaction with the controlling shareholder and other related companies exceeds 10% of the net assets of Party B;</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6.2.6.6 Occurrence of any litigation, arbitration or criminal or administrative penalty that has a material adverse effect on its business or property status;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4" w:name="page305"/>
    <w:bookmarkEnd w:id="304"/>
    <w:p>
      <w:pPr>
        <w:ind w:left="320"/>
        <w:spacing w:after="0"/>
        <w:rPr>
          <w:sz w:val="20"/>
          <w:szCs w:val="20"/>
          <w:color w:val="auto"/>
        </w:rPr>
      </w:pPr>
      <w:r>
        <w:rPr>
          <w:rFonts w:ascii="Arial" w:cs="Arial" w:eastAsia="Arial" w:hAnsi="Arial"/>
          <w:sz w:val="18"/>
          <w:szCs w:val="18"/>
          <w:color w:val="auto"/>
        </w:rPr>
        <w:t>6.2.6.7 Occurrence of other significant events that may affect its ability to pay its debts.</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6.2.7 It shall not neglect to manage and exercise their mature creditor’s right, or dispose of existing primary property improperly or without consideration.</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6.2.8 It shall obtain the written consent of Party A before carrying out major events such as merger (M&amp;A), division, restructuring, joint venture (cooperation), transfer of property (share) rights, joint-stock reform, foreign investment, and increase of debt financing.</w:t>
      </w:r>
    </w:p>
    <w:p>
      <w:pPr>
        <w:spacing w:after="0" w:line="17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6.2.9 In case of pledge of accounts receivable, Party B shall guarantee that the credit balance at any time point during the credit period is less than 80% of the pledged balance of accounts receivable; otherwise, Party B must provide a new account receivable approved by Party A for pledge or deposit into the deposit deposit (the deposit account number shall be automatically generated or recorded by Party A’s system when the deposit of deposit is subject to the same below), until the balance of pledged accounts receivable Amount * 80% + effective margin &gt; credit balance</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6.2.10 If the balance of the deposit account is less than 95% of the corresponding business amount due to the fluctuation of exchange rate, Party B is obliged to add the corresponding amount of deposit or other guarantee according to the requirements of Party A</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6.2.11 It shall ensure that the payment for goods under the import transaction are collected through the account designated by Party A; in the event of export negotiation, transfer the notes and/or documents under the letter of credit to Party A.</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6.2.12 Party B shall ensure that the settlement, payment and other revenue and expenditure activities are mainly carried out in the British Airways settlement account opened with Party A. during the credit period, Party B’s settlement transaction share in the designated account shall not be less than Party B’s financing share in all banks in Party A’s financing amount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Rights and Obligations of Party A</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 Party A shall have:</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7.1.1 Right to request Party B to repay the principal, interest and expenses of the loan, advance and other debt under the credit granting under this Agreement and the specific contract in full and on time;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7.1.2 Right to request Party B to provide information related to the use of the LOC;</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7.1.3 Right to know the production and operation and financial activities of Party B;</w:t>
      </w:r>
    </w:p>
    <w:p>
      <w:pPr>
        <w:spacing w:after="0" w:line="220"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7.1.4 Right to supervise Party B’s use of loans and/or other credits for the purposes specified in this Agreement and each specific contract; directly suspend or limit the corporate online banking function of Party B’s account when the business needs it (including but not limited to closing the online banking, presetting the list of payment targets/single payment limit/phased payment limit, etc.), restrict the sale of settlement documents, or restrict telephone banking, mobile banking and other non-counter payment and universal cash withdrawing functions of Party B’s account;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5" w:name="page306"/>
    <w:bookmarkEnd w:id="305"/>
    <w:p>
      <w:pPr>
        <w:jc w:val="both"/>
        <w:ind w:firstLine="320"/>
        <w:spacing w:after="0" w:line="300" w:lineRule="auto"/>
        <w:rPr>
          <w:sz w:val="20"/>
          <w:szCs w:val="20"/>
          <w:color w:val="auto"/>
        </w:rPr>
      </w:pPr>
      <w:r>
        <w:rPr>
          <w:rFonts w:ascii="Arial" w:cs="Arial" w:eastAsia="Arial" w:hAnsi="Arial"/>
          <w:sz w:val="17"/>
          <w:szCs w:val="17"/>
          <w:color w:val="auto"/>
        </w:rPr>
        <w:t>7.1.5 Right to entrust other agencies of China Merchants Bank located at the place where the beneficiary is located to issue subsidiary letter of credit to the beneficiary, according to the needs of its internal processes, after accepting Party B’s application for the opening of letter of credit;</w:t>
      </w:r>
    </w:p>
    <w:p>
      <w:pPr>
        <w:spacing w:after="0" w:line="152"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7.1.6 Right to deduct directly from the account opened by Party B at any branch of China Merchants Bank to repay the debts owed by Party B under this Agreement and each specific contract (when the debt under the credit granting is not in RMB, it has the right to deduct directly from the RMB account of Party B and purchase foreign exchange at the exchange rate published by Party A to repay the principal, interest and expenses under the credit granting);</w:t>
      </w:r>
    </w:p>
    <w:p>
      <w:pPr>
        <w:spacing w:after="0" w:line="15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7.1.7 Right to transfer its creditor’s rights owed by Party B and notify Party B of the transfer and collect the debt in such manner as it deems appropriate, including but not limited to by fax, posts, personal delivery, and announcement in public media;</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7.1.8 Right to supervise the account of Party B and entrust other agencies of China Merchants Bank other than Party A to supervise Party B’s account, and control the payment of loan funds according to the loan purpose and payment scope agreed by both parties; and</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7.1.9 Party A finds that Party B has any of the circumstances stipulated in article 6.2.6 of this agreement, Party A has the right to require Party B to implement the guarantee measures for the safe repayment of the principal and interest of the credit debt and all related expenses under this agreement according to the requirements of Party A, and also has the right to directly take one or more relief measures for breach of contract stipulated in the “event of default and handling” clause of this agreement;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7.1.10 Other rights set out in this Agreement.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7.2 Party A shall bear the following obligations:</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7.2.1 It shall grant loans or other credits to Party B within the LOC in accordance with the conditions stipulated in this Agreement and each specific contract; and</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7.2.2 It shall keep confidential the information of assets, finance, production and operation of Party B, except as otherwise provided by laws and regulations or otherwise required by the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Party B specifically undertakes:</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8.1 That it is a legal person duly incorporated and validly existing under the laws of PRC and have full civil capacity to sign and perform this Agreement, and its registration and annual report publicity procedures are true, legal and valid;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8.2 That it has been fully authorized by the Board of Directors or any other authorized body to sign and fulfill this Agreement;</w:t>
      </w:r>
    </w:p>
    <w:p>
      <w:pPr>
        <w:spacing w:after="0" w:line="220"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8.3 That the documents, information, and vouchers provided by it regarding Party B, the guarantor, the mortgagor (pledgor), and the collateral (pledged property) are true, accurate, complete, and valid, without any significant errors that are inconsistent with the facts or omissions of any significant facts;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6" w:name="page307"/>
    <w:bookmarkEnd w:id="306"/>
    <w:p>
      <w:pPr>
        <w:ind w:left="320"/>
        <w:spacing w:after="0"/>
        <w:rPr>
          <w:sz w:val="20"/>
          <w:szCs w:val="20"/>
          <w:color w:val="auto"/>
        </w:rPr>
      </w:pPr>
      <w:r>
        <w:rPr>
          <w:rFonts w:ascii="Arial" w:cs="Arial" w:eastAsia="Arial" w:hAnsi="Arial"/>
          <w:sz w:val="17"/>
          <w:szCs w:val="17"/>
          <w:color w:val="auto"/>
        </w:rPr>
        <w:t>8.4 To strictly abide by covenants set out in the specific business agreements and various letters and related documents issued to Party A;</w:t>
      </w:r>
    </w:p>
    <w:p>
      <w:pPr>
        <w:spacing w:after="0" w:line="23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8.5 That at the time of signing this Agreement, there was no litigation, arbitration or criminal or administrative punishment that may have significant adverse consequences for Party B or Party B’s major property, and such litigation, arbitration or criminal or administrative penalties will not occur during the execution of this Agreement; in the event of occurrence, Party B shall immediately notify Party A;</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8.6 To strictly abide by the national laws and regulations in business activities, carry out various business in strict accordance with the business scope stipulated by the business license of Party B or approved according to law, and go through the formalities for registration, annual inspection, and the extension of term of business operation, etc. on time;</w:t>
      </w:r>
    </w:p>
    <w:p>
      <w:pPr>
        <w:spacing w:after="0" w:line="186"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8.7 To maintain or enhance the management level, ensure the value preservation and appreciation of existing assets, and not to waive any mature claims or dispose of existing major assets improperly or without consideration;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8.8 That without the permission of Party A, it shall not pay off other long-term debts in advance,</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8.9 The loan projects applied for under the credit line comply with the requirements of laws and regulations. The loan shall not be used for investment in fixed assets, equity, etc., or for speculation in securities, futures and real estate in violation of regulations; it shall not be used for mutual borrowing to obtain illegal income; it shall not be used for the fields and purposes prohibited by the state for production and operation; and shall not be used for other purposes other than those specified in this Agreement and each specific business agreement</w:t>
      </w:r>
    </w:p>
    <w:p>
      <w:pPr>
        <w:spacing w:after="0" w:line="188"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If the loan fund is paid by the borrower independently, Party B shall regularly (at least monthly) report the payment of loan fund to Party A. Party A has the right to determine whether the loan payment conforms to the agreed purpose through account analysis, certificate inspection and on-site investigation</w:t>
      </w:r>
    </w:p>
    <w:p>
      <w:pPr>
        <w:spacing w:after="0" w:line="13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8.10 When signing and performing this agreement, Party B does not have any other major events that affect the performance of Party B’s obligations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Special provisions on working capital loans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9.1 Withdrawals and payment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Party B’s use of working capital loan under this agreement includes independent payment and entrusted payment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9.1.1 independent payment</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Independent payment means that Party A, according to Party B’s withdrawal application, releases the loan funds to Party B’s account, and Party B pays the loan funds to the counterparties that meet the purpose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9.1.2 Entrusted payment</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Entrusted payment means that Party A, according to Party B’s withdrawal application and payment entrustment, pays the loan funds through Party B’s account to Party B’s counterparties who meet the purpose agreed in the agreement. Party B shall authorize Party A to pay Party B’s counterparties through Party B’s account on the day of loan granting (or the next working day after the loan is made) for the loan funds by entrusted payment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9.1.3 Under the following circumstances, Party B shall unconditionally adopt the mode of entrusted payment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9.1.3.1 Party B’s single withdrawal exceeds RMB 10 million (including or equivalent foreign currency)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9.1.3.2 Party A requires Party B to adopt the method of entrusted payment according to regulatory requirements or risk control needs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9.1.4 If the entrusted payment is adopted, the external payment after the loan is issued shall be subject to the approval of Party A. Party B shall not evade Party A’s supervision by means of online banking, reverse drawing of cheques and breaking up the whole into parts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9.2 When drawing money, Party B shall submit the withdrawal application (with Party B’s official seal or Party B’s reserved seal in Party A) as required by Party A, loan receipt and materials required by Party B according to different requirements of independent payment and entrusted payment. Otherwise, Party A has the right to refuse Party B’s withdrawal application. </w:t>
      </w:r>
      <w:r>
        <w:rPr>
          <w:rFonts w:ascii="Arial" w:cs="Arial" w:eastAsia="Arial" w:hAnsi="Arial"/>
          <w:sz w:val="16"/>
          <w:szCs w:val="16"/>
          <w:b w:val="1"/>
          <w:bCs w:val="1"/>
          <w:color w:val="auto"/>
        </w:rPr>
        <w:t>If the payment information provided by Party B is inaccurate and incomplete, resulting in</w:t>
      </w:r>
      <w:r>
        <w:rPr>
          <w:rFonts w:ascii="Arial" w:cs="Arial" w:eastAsia="Arial" w:hAnsi="Arial"/>
          <w:sz w:val="16"/>
          <w:szCs w:val="16"/>
          <w:color w:val="auto"/>
        </w:rPr>
        <w:t xml:space="preserve"> </w:t>
      </w:r>
      <w:r>
        <w:rPr>
          <w:rFonts w:ascii="Arial" w:cs="Arial" w:eastAsia="Arial" w:hAnsi="Arial"/>
          <w:sz w:val="16"/>
          <w:szCs w:val="16"/>
          <w:b w:val="1"/>
          <w:bCs w:val="1"/>
          <w:color w:val="auto"/>
        </w:rPr>
        <w:t>delay or failure of fund payment, Party A shall not be liable for the breach of contract or other losses caused by Party B to its counterparties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9.3 Loan development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Party B fails to repay the loan under this Agreement on schedule and needs to extend the loan, it shall submit a written application to party a one month before the maturity of the relevant loan; if Party A agrees to extend the loan after examination, Party A and Party B shall sign an extension agreement separately. If Party A does not agree to the extension, the loan occupied by Party B and the interest payable shall still be paid in accordance with the provisions of this Agreement and the corresponding loan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Event of Default and the Settlement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 It shall be deemed an event of default if:</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10.1.1 Party B fails to perform or breaches the obligations set out in this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8" w:name="page309"/>
    <w:bookmarkEnd w:id="308"/>
    <w:p>
      <w:pPr>
        <w:jc w:val="both"/>
        <w:ind w:firstLine="320"/>
        <w:spacing w:after="0" w:line="270" w:lineRule="auto"/>
        <w:rPr>
          <w:sz w:val="20"/>
          <w:szCs w:val="20"/>
          <w:color w:val="auto"/>
        </w:rPr>
      </w:pPr>
      <w:r>
        <w:rPr>
          <w:rFonts w:ascii="Arial" w:cs="Arial" w:eastAsia="Arial" w:hAnsi="Arial"/>
          <w:sz w:val="18"/>
          <w:szCs w:val="18"/>
          <w:color w:val="auto"/>
        </w:rPr>
        <w:t>10.1.2 The information in the representations or undertakings made by Party B under this Agreement is untrue or incomplete, or Party B breaches the requirement and does not make correction as required by Party A;</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10.1.3 It fails to withdraw and draw the loan as agreed in this agreement, or fails to repay the principal and interest or expenses of the loan in full and on time according to the provisions of this agreement, or fails to use the funds to recover the account funds as required by Party A, or fails to accept the supervision of Party A, and fails to rectify immediately as required by Party A</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10.1.4 Party B has major breach of contract under the legal and effective contract signed with other creditors, and has not been satisfactorily resolved within three months from the date of breach.</w:t>
      </w:r>
    </w:p>
    <w:p>
      <w:pPr>
        <w:spacing w:after="0" w:line="171" w:lineRule="exact"/>
        <w:rPr>
          <w:sz w:val="20"/>
          <w:szCs w:val="20"/>
          <w:color w:val="auto"/>
        </w:rPr>
      </w:pPr>
    </w:p>
    <w:p>
      <w:pPr>
        <w:jc w:val="both"/>
        <w:ind w:right="20" w:firstLine="375"/>
        <w:spacing w:after="0" w:line="274" w:lineRule="auto"/>
        <w:rPr>
          <w:sz w:val="20"/>
          <w:szCs w:val="20"/>
          <w:color w:val="auto"/>
        </w:rPr>
      </w:pPr>
      <w:r>
        <w:rPr>
          <w:rFonts w:ascii="Arial" w:cs="Arial" w:eastAsia="Arial" w:hAnsi="Arial"/>
          <w:sz w:val="18"/>
          <w:szCs w:val="18"/>
          <w:b w:val="1"/>
          <w:bCs w:val="1"/>
          <w:color w:val="auto"/>
        </w:rPr>
        <w:t>The above-mentioned major breach refers to the fact that Party B’s breach of contract in the creditor’s right to claim more than RMB 10000 from Party B</w:t>
      </w:r>
    </w:p>
    <w:p>
      <w:pPr>
        <w:spacing w:after="0" w:line="17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10.1.5 Party B encounters significant obstacles in listing its shares on the New Third Board or suspends its listing application; Party B is subject to warning letter, ordered corrections, restrictions on securities account trading and other self-regulatory measures for more than three times or subject to disciplinary punishment, termination of listing, etc; or</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10.1.6When Party B is the supplier of the government procurement unit, the government procurement unit has risk information that is not conducive to Party A’s credit repayment, such as continuous or cumulative three-phase delay in payment, or Party B’s supply qualification is cancelled (entering the blacklist of government procurement), untimely supply, unstable product quality, operational difficulties, obvious deterioration of financial situation (insolvency), project shutdown, etc ;</w:t>
      </w:r>
    </w:p>
    <w:p>
      <w:pPr>
        <w:spacing w:after="0" w:line="188" w:lineRule="exact"/>
        <w:rPr>
          <w:sz w:val="20"/>
          <w:szCs w:val="20"/>
          <w:color w:val="auto"/>
        </w:rPr>
      </w:pPr>
    </w:p>
    <w:p>
      <w:pPr>
        <w:jc w:val="both"/>
        <w:ind w:right="20" w:firstLine="320"/>
        <w:spacing w:after="0" w:line="333" w:lineRule="auto"/>
        <w:rPr>
          <w:sz w:val="20"/>
          <w:szCs w:val="20"/>
          <w:color w:val="auto"/>
        </w:rPr>
      </w:pPr>
      <w:r>
        <w:rPr>
          <w:rFonts w:ascii="Arial" w:cs="Arial" w:eastAsia="Arial" w:hAnsi="Arial"/>
          <w:sz w:val="16"/>
          <w:szCs w:val="16"/>
          <w:color w:val="auto"/>
        </w:rPr>
        <w:t>10.1.7 Party B’s financial indicators fail to continuously meet the requirements of this Agreement / specific business agreement; or any prerequisite (if any) for Party A to provide credit / financing to Party B as agreed in this Agreement / specific business agreement has not been continuously met;</w:t>
      </w:r>
    </w:p>
    <w:p>
      <w:pPr>
        <w:spacing w:after="0" w:line="13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10.1.8 Party B uses the loan in the way of “breaking up the whole into parts” to avoid the external payment of loan funds entrusted by Party B to Party A in accordance with the requirements of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10.1.9 other circumstances that Party A considers to damage the legitimate rights and interests of Party A occur.</w:t>
      </w:r>
    </w:p>
    <w:p>
      <w:pPr>
        <w:spacing w:after="0" w:line="220"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8"/>
          <w:szCs w:val="18"/>
          <w:color w:val="auto"/>
        </w:rPr>
        <w:t>10.2 If one of the following circumstances occurs to the guarantor, Party A believes that it may affect the guarantor’s guarantee capacity, and requires the guarantor to eliminate the adverse effects caused by it, or requires Party B to increase or replace the guarantee, but the guarantor and Party B fail to cooperate, it shall be deemed an event of default:</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10.2.1 A circumstance similar to those described in Clause 6.2.6 of this Agreement occurs, or the consent of Party A is not obtained when the circumstances described in Clause 6.2.8 occur;</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10.2.2 When the irrevocable letter of guarantee is issued, the actual guarantee capacity is concealed, or the authorization of relevant authority is not obtained;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9" w:name="page310"/>
    <w:bookmarkEnd w:id="309"/>
    <w:p>
      <w:pPr>
        <w:ind w:left="320"/>
        <w:spacing w:after="0"/>
        <w:rPr>
          <w:sz w:val="20"/>
          <w:szCs w:val="20"/>
          <w:color w:val="auto"/>
        </w:rPr>
      </w:pPr>
      <w:r>
        <w:rPr>
          <w:rFonts w:ascii="Arial" w:cs="Arial" w:eastAsia="Arial" w:hAnsi="Arial"/>
          <w:sz w:val="18"/>
          <w:szCs w:val="18"/>
          <w:color w:val="auto"/>
        </w:rPr>
        <w:t>10.2.3 Failure to go through formalities for the annual inspection registration and the extension of term of business operation; or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10.2.4 Neglect to manage and exercise their mature creditor’s right, or disposal of existing primary property improperly or without consideration.</w:t>
      </w:r>
    </w:p>
    <w:p>
      <w:pPr>
        <w:spacing w:after="0" w:line="23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10.3 If one of the following circumstances occurs to the mortgagor (or pledgor), Party A believes that it may result in the invalidity of the mortgage (or pledge) or the shortfall in the value of collateral (pledged property), and requires the mortgagor (or pledgor) to eliminate the adverse effects caused by it, or requires Party B to increase or replace the mortgage (or pledge), but the mortgagor (or pledgor) and Party B fail to cooperate, it shall be deemed an event of default: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10.3.1 The mortgagor (or pledgor) does not own or has no right to dispose of the collateral (or pledged property), or there is dispute over the ownership;</w:t>
      </w:r>
    </w:p>
    <w:p>
      <w:pPr>
        <w:spacing w:after="0" w:line="24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10.3.2 The collateral (or pledged property) has been rented, seized, detained, supervised, or is subject to legal right of priority (including but not limited to priority of construction project), and / or such circumstances are concealed;</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10.3.3 The mortgagor transfers, leases, re-collateralizes the collateral or dispose of it in any other improper manner without the written consent of Party A, or although the disposal of the collateral is consented to by Party A, the proceeds from the disposal are not used to repay the debt owed by Party B to Party A as required by Party A;</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10.3.4 The mortgagor does not properly keep, maintain and repair the collateral, and thus the value of the collateral is obviously impaired; or the mortgagor’s acts directly jeopardize the collateral, resulting in a decrease in the value of the collateral; or the mortgagor does not affect insurance for the collateral during the mortgage period according to Party A’s requirements;</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10.3.5 The collateral has been or may be included in the scope of government demolition and expropriation, and the mortgagor fails to immediately inform Party A and fulfill the relevant obligations as stipulated in the mortgage contract; or</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10.3.6 Where the mortgagor uses its real estate mortgaged to China Merchants Bank to provide the residual value mortgage for the business under this Agreement, the mortgagor settles the personal mortgage loan in advance without the consent of Party A before Party B pays off the debt under this Agreement.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10.3.7 if the pledger has pledged the financial products, the source of the funds of the financial products is illegal / compliant;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10.3.8 other matters that may affect the value of the mortgaged property or Party A’s mortgage (pledge) right occur or may occur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10" w:name="page311"/>
    <w:bookmarkEnd w:id="310"/>
    <w:p>
      <w:pPr>
        <w:jc w:val="both"/>
        <w:ind w:firstLine="320"/>
        <w:spacing w:after="0" w:line="271" w:lineRule="auto"/>
        <w:rPr>
          <w:sz w:val="20"/>
          <w:szCs w:val="20"/>
          <w:color w:val="auto"/>
        </w:rPr>
      </w:pPr>
      <w:r>
        <w:rPr>
          <w:rFonts w:ascii="Arial" w:cs="Arial" w:eastAsia="Arial" w:hAnsi="Arial"/>
          <w:sz w:val="17"/>
          <w:szCs w:val="17"/>
          <w:color w:val="auto"/>
        </w:rPr>
        <w:t>10.4 When the guarantee under this Agreement includes the pledge of accounts receivable, if the debtor of the accounts receivable obviously deteriorates in operation, transfers property/withdraws funds to avoid debts, colludes with the pledgor to change path for the payment of receivables, causing that the collected funds are not transferred to the account designated for receivable collection, loses business reputation, loses or may lose the ability to perform contract, or other significant events affecting the debtor’s solvency occurs, Party A has the right to request Party B to provide corresponding guarantee or provide new valid receivables for pledge; if Party B fails to provide, it shall be deemed an event of default.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 In the event of any of the above default, Party A shall have the right to adopt the following measures, separately or simultaneously: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10.5.1 Reducing the LOC under this agreement, or stop the use of remaining LOC balance;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10.5.2 Recovering in advance the principal, interest and related expenses of loans issued within the LOC;</w:t>
      </w:r>
    </w:p>
    <w:p>
      <w:pPr>
        <w:spacing w:after="0" w:line="220"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10.5.3 For bills that have been accepted by Party A during the credit period, or letter of credit (including subsidiary letter of credit issued by branches entrusted by Party A), letter of guarantee, and letter of delivery against bank guarantee, etc. that have been issued by Party A , Party A may request Party B to increase the amount of the security deposit (regardless of whether Party A has made advance payment), or transfer the funds in other accounts opened by Party B at Party A into its security deposit account as a security deposit for the settlement of Party A’s advances under this Agreement, or hand over the corresponding funds to a third party as a security deposit for Party A’s advance payment for Party B;</w:t>
      </w:r>
    </w:p>
    <w:p>
      <w:pPr>
        <w:spacing w:after="0" w:line="17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10.5.4 For the unpaid accounts receivable transferred from Party B to Party A under factoring, Party A has the right to request Party B to immediately fulfill repurchase obligations and take other recovery measures in accordance with the specific business agreements; for the accounts receivable transferred from Party B to Party A under factoring, Party A has the right to seek recourse from Party B.</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10.5.5 Party A may directly request Party B to provide other property accepted by Party A as a new guarantee, and if Party B fails to provide new guarantee as required, a penalty shall be levied against it at a rate of 30 % of the LOC amount under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10.5.6 Directly freezing/deducting deposits from any settlement account and/or other accounts opened by Party B at China Merchants Bank; and</w:t>
      </w:r>
    </w:p>
    <w:p>
      <w:pPr>
        <w:spacing w:after="0" w:line="231"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10.5.7 submit Party B’s breach of contract and breach of credit information to credit reference agencies and banking associations, and have the right to share such information among banking institutions and even to the public through appropriate means;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10.5.8 dispose of the collateral and / or recover from the guarantor in accordance with the provisions of the guarantee text;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1" w:name="page312"/>
    <w:bookmarkEnd w:id="311"/>
    <w:p>
      <w:pPr>
        <w:jc w:val="both"/>
        <w:ind w:firstLine="320"/>
        <w:spacing w:after="0" w:line="270" w:lineRule="auto"/>
        <w:rPr>
          <w:sz w:val="20"/>
          <w:szCs w:val="20"/>
          <w:color w:val="auto"/>
        </w:rPr>
      </w:pPr>
      <w:r>
        <w:rPr>
          <w:rFonts w:ascii="Arial" w:cs="Arial" w:eastAsia="Arial" w:hAnsi="Arial"/>
          <w:sz w:val="18"/>
          <w:szCs w:val="18"/>
          <w:color w:val="auto"/>
        </w:rPr>
        <w:t>10.5.9 for the working capital loan under the credit line, change the entrusted payment conditions of the loan fund and cancel Party B’s use of the loan in the way of “independent payment”;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10.5.10 recourse shall be made according to the agreement.</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10.6 For the funds obtained by Party A through seeking recourse, the repayment sequence shall be from the earliest to latest according to the actual maturity date of each credit. For each credit, the repayment sequence shall be from expenses, penalty, compounded interest, penalty interest, interest, to the principal of credit, until all the principal, interests and related expenses are paid off.</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Party A has the right to unilaterally adjust the above repayment sequence, unless otherwise required by laws and regulations.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Change and Rescission of Contract</w:t>
      </w:r>
    </w:p>
    <w:p>
      <w:pPr>
        <w:spacing w:after="0" w:line="224"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This Agreement may be changed and rescinded upon negotiation and conclusion of a written agreement by the Parties hereto. This Agreement shall still be valid before the conclusion of the written agreement. Any Party shall not change, amend or rescind this Agreement unilaterally.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Miscellaneous</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12.1 During the term of this Agreement, any tolerance, grace period granted by Party A for Party B’s breach of contract or delay of performance, or any delay of Party A in performing any rights or interests under this Contract shall not damage, affect, or limit any rights and interests of Party A as a creditor vested by relevant laws and this Agreement, and shall neither be deemed as Party A’s consent or approval to any breach of this Agreement by Party B, nor be deemed as Party A’s waiver of right to take action against any existing or future default.</w:t>
      </w:r>
    </w:p>
    <w:p>
      <w:pPr>
        <w:spacing w:after="0" w:line="188"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12.2 In the event that this Agreement or any part thereof becomes null and void for any reason, Party B shall still be liable for repaying all the debt owed to Party A under this Agreement. Under the above-mentioned circumstances, Party A shall have the right to terminate this Agreement and promptly claim for the repayment of all the debt owed by Party B under this Agreement. In the event that any change in the applicable laws and policy requirements causes the increase of costs for Party A to perform the obligations under the Agreement, Party B shall compensate Party A for the new costs as required by Party A.</w:t>
      </w:r>
    </w:p>
    <w:p>
      <w:pPr>
        <w:spacing w:after="0" w:line="16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12.3 Notices, requests or other documents related to this Agreement between Party A and Party B shall be sent in writing (including but not limited to by letters, faxes, e-mails, Party A’s online banking, SMS or WeChat).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2" w:name="page313"/>
    <w:bookmarkEnd w:id="312"/>
    <w:p>
      <w:pPr>
        <w:jc w:val="both"/>
        <w:ind w:firstLine="320"/>
        <w:spacing w:after="0" w:line="271" w:lineRule="auto"/>
        <w:rPr>
          <w:sz w:val="20"/>
          <w:szCs w:val="20"/>
          <w:color w:val="auto"/>
        </w:rPr>
      </w:pPr>
      <w:r>
        <w:rPr>
          <w:rFonts w:ascii="Arial" w:cs="Arial" w:eastAsia="Arial" w:hAnsi="Arial"/>
          <w:sz w:val="17"/>
          <w:szCs w:val="17"/>
          <w:color w:val="auto"/>
        </w:rPr>
        <w:t>12.3.1 For the delivery by hand (including but not limited to delivery by lawyer/notary, express, etc.), the instrument shall be deemed to have been served when the addressee signs the receipt (in the event of rejection by the addressee, it shall be deemed to have been served on the date of rejection/return or the 7th day after mailing ( whichever is earlier)); for the delivery by mail, the instrument shall be deemed to have been served at the 7th day after mailing; for the delivery by fax, email, Party A’s online banking notice, SMS, WeChat or other electronic means, the instrument shall be deemed to have been served at the date when the sender’s corresponding system displays that the transmission is successful.</w:t>
      </w:r>
    </w:p>
    <w:p>
      <w:pPr>
        <w:spacing w:after="0" w:line="177"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For the notice to Party B regarding the transfer of the creditor’s right or dunning published by Party A on mass media, it shall be deemed to have been served on the date of publishing.</w:t>
      </w:r>
    </w:p>
    <w:p>
      <w:pPr>
        <w:spacing w:after="0" w:line="17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Any Party that changes the contact address, email address, fax number, mobile number or WeChat account number shall notify the other party of the change within five working days from the date of the change, otherwise the other party shall have the right to deliver the instrument according to the original contact address or information If the instrument is not successfully delivered due to the change of contact address, the date of return or the 7th day after delivery (whichever is earlier) shall be deemed to be the date of service. The party making the change is responsible for the losses that may arise therefrom, and the legal effect of delivery shall not be affected.</w:t>
      </w:r>
    </w:p>
    <w:p>
      <w:pPr>
        <w:spacing w:after="0" w:line="190"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17"/>
          <w:szCs w:val="17"/>
          <w:color w:val="auto"/>
        </w:rPr>
        <w:t>12.3.2 The above-mentioned contact address, email address, fax number, mobile number, and WeChat account number are also used as their respective address for service of notary instruments and judicial instruments (including but not limited to bill of complaint/arbitration applications, evidence, subpoenas, notice of responding to action, notice to produce evidence, notice of court session, notice of hearing, judgment/arbitration award, verdict, conciliation statement, notice for performance within a time limit and other instruments in the hearing and execution stages). The instruments shall be deemed to be served effectively if the court or notary office accepting the case delivers them in writing to such address in accordance with this Agreement (the specific criteria for service shall be implemented by reference to the provisions of paragraphs 12.3.1).</w:t>
      </w:r>
    </w:p>
    <w:p>
      <w:pPr>
        <w:spacing w:after="0" w:line="18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12.4 The parties hereto agree that for each business application under the trade financing, Party B shall affix the seal according to the Letter of Authorization for Reserved Specimen Seal provided by Party B to Party A, and both parties shall recognize the validity of such seal.</w:t>
      </w:r>
    </w:p>
    <w:p>
      <w:pPr>
        <w:spacing w:after="0" w:line="17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12.5 Both parties agree that: if Party B submits various applications or business vouchers for credit business through Party A’s online enterprise banking system, the electronic signature generated in the form of digital certificate shall be deemed as Party B’s valid signature and seal, representing Party B’s true intention. Party A has the right to fill in relevant business vouchers according to the application information sent on the Internet, and Party B recognizes its authenticity, accuracy and legality, and accepts its authenticity, accuracy and legality constraint.</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12.6 In order to facilitate business handling, Party A’s operations (including but not limited to application acceptance, data review, loan granting, transaction confirmation, deduction, inquiry, receipt printing, collection, deduction, etc.) involved in the transaction can be processed and generated, issued or issued by any business outlet within the jurisdiction of Party A. the business operation and correspondence of the branch under the jurisdiction of Party A shall be deemed as Party A Party A’s actions shall be binding on Party B</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3" w:name="page314"/>
    <w:bookmarkEnd w:id="313"/>
    <w:p>
      <w:pPr>
        <w:jc w:val="both"/>
        <w:ind w:firstLine="320"/>
        <w:spacing w:after="0" w:line="270" w:lineRule="auto"/>
        <w:rPr>
          <w:sz w:val="20"/>
          <w:szCs w:val="20"/>
          <w:color w:val="auto"/>
        </w:rPr>
      </w:pPr>
      <w:r>
        <w:rPr>
          <w:rFonts w:ascii="Arial" w:cs="Arial" w:eastAsia="Arial" w:hAnsi="Arial"/>
          <w:sz w:val="18"/>
          <w:szCs w:val="18"/>
          <w:color w:val="auto"/>
        </w:rPr>
        <w:t>12.7 The annex under this Agreement constitutes an integral part of this Agreement and is automatically applicable to the corresponding specific business actually occurred between the two parties</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12.8 This agreement involves notarization (except compulsory notarization) or other matters entrusted to a third party to provide services, and the relevant expenses shall be borne by the client. If both parties jointly act as principals, each party shall bear 50%.</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In the event that Party B fails to repay the debts owed to Party A under this Agreement on time, all expenses incurred by Party A to realize the creditor’s rights, such as lawyer’s fees, litigation costs, travel expenses, announcement fees, delivery fees, etc., shall be borne by Party B in full, and Party B shall authorize Party A to deduct directly from Party B’s bank account in Party A. In case of any shortage, Party B shall guarantee to repay the amount after receiving the notice from Party A without any proof from Party A.</w:t>
      </w:r>
    </w:p>
    <w:p>
      <w:pPr>
        <w:spacing w:after="0" w:line="155" w:lineRule="exact"/>
        <w:rPr>
          <w:sz w:val="20"/>
          <w:szCs w:val="20"/>
          <w:color w:val="auto"/>
        </w:rPr>
      </w:pPr>
    </w:p>
    <w:p>
      <w:pPr>
        <w:ind w:left="320"/>
        <w:spacing w:after="0" w:line="207" w:lineRule="exact"/>
        <w:rPr>
          <w:sz w:val="20"/>
          <w:szCs w:val="20"/>
          <w:color w:val="auto"/>
        </w:rPr>
      </w:pPr>
      <w:r>
        <w:rPr>
          <w:rFonts w:ascii="Arial" w:cs="Arial" w:eastAsia="Arial" w:hAnsi="Arial"/>
          <w:sz w:val="18"/>
          <w:szCs w:val="18"/>
          <w:color w:val="auto"/>
        </w:rPr>
        <w:t>12.9 Party B shall, according to the requirements of Party A (choose “</w:t>
      </w:r>
      <w:r>
        <w:rPr>
          <w:rFonts w:ascii="MS PGothic" w:cs="MS PGothic" w:eastAsia="MS PGothic" w:hAnsi="MS PGothic"/>
          <w:sz w:val="18"/>
          <w:szCs w:val="18"/>
          <w:color w:val="auto"/>
        </w:rPr>
        <w:t>✔</w:t>
      </w:r>
      <w:r>
        <w:rPr>
          <w:rFonts w:ascii="Arial" w:cs="Arial" w:eastAsia="Arial" w:hAnsi="Arial"/>
          <w:sz w:val="18"/>
          <w:szCs w:val="18"/>
          <w:color w:val="auto"/>
        </w:rPr>
        <w:t>” in the )</w:t>
      </w:r>
    </w:p>
    <w:p>
      <w:pPr>
        <w:spacing w:after="0" w:line="279" w:lineRule="exact"/>
        <w:rPr>
          <w:sz w:val="20"/>
          <w:szCs w:val="20"/>
          <w:color w:val="auto"/>
        </w:rPr>
      </w:pPr>
    </w:p>
    <w:p>
      <w:pPr>
        <w:ind w:left="520" w:hanging="193"/>
        <w:spacing w:after="0"/>
        <w:tabs>
          <w:tab w:leader="none" w:pos="520" w:val="left"/>
        </w:tabs>
        <w:numPr>
          <w:ilvl w:val="0"/>
          <w:numId w:val="198"/>
        </w:numPr>
        <w:rPr>
          <w:rFonts w:ascii="MS PGothic" w:cs="MS PGothic" w:eastAsia="MS PGothic" w:hAnsi="MS PGothic"/>
          <w:sz w:val="18"/>
          <w:szCs w:val="18"/>
          <w:color w:val="auto"/>
        </w:rPr>
      </w:pPr>
      <w:r>
        <w:rPr>
          <w:rFonts w:ascii="Arial" w:cs="Arial" w:eastAsia="Arial" w:hAnsi="Arial"/>
          <w:sz w:val="18"/>
          <w:szCs w:val="18"/>
          <w:color w:val="auto"/>
        </w:rPr>
        <w:t>To insure its core assets and appoint Party A as the first beneficiary</w:t>
      </w:r>
    </w:p>
    <w:p>
      <w:pPr>
        <w:spacing w:after="0" w:line="246" w:lineRule="exact"/>
        <w:rPr>
          <w:rFonts w:ascii="MS PGothic" w:cs="MS PGothic" w:eastAsia="MS PGothic" w:hAnsi="MS PGothic"/>
          <w:sz w:val="18"/>
          <w:szCs w:val="18"/>
          <w:color w:val="auto"/>
        </w:rPr>
      </w:pPr>
    </w:p>
    <w:p>
      <w:pPr>
        <w:ind w:left="540" w:hanging="213"/>
        <w:spacing w:after="0"/>
        <w:tabs>
          <w:tab w:leader="none" w:pos="540" w:val="left"/>
        </w:tabs>
        <w:numPr>
          <w:ilvl w:val="0"/>
          <w:numId w:val="198"/>
        </w:numPr>
        <w:rPr>
          <w:rFonts w:ascii="MS PGothic" w:cs="MS PGothic" w:eastAsia="MS PGothic" w:hAnsi="MS PGothic"/>
          <w:sz w:val="18"/>
          <w:szCs w:val="18"/>
          <w:color w:val="auto"/>
        </w:rPr>
      </w:pPr>
      <w:r>
        <w:rPr>
          <w:rFonts w:ascii="Arial" w:cs="Arial" w:eastAsia="Arial" w:hAnsi="Arial"/>
          <w:sz w:val="18"/>
          <w:szCs w:val="18"/>
          <w:color w:val="auto"/>
        </w:rPr>
        <w:t>Party A shall not sell or mortgage the 21 assets designated by Party A before the credit debts are settled</w:t>
      </w:r>
    </w:p>
    <w:p>
      <w:pPr>
        <w:spacing w:after="0" w:line="246" w:lineRule="exact"/>
        <w:rPr>
          <w:rFonts w:ascii="MS PGothic" w:cs="MS PGothic" w:eastAsia="MS PGothic" w:hAnsi="MS PGothic"/>
          <w:sz w:val="18"/>
          <w:szCs w:val="18"/>
          <w:color w:val="auto"/>
        </w:rPr>
      </w:pPr>
    </w:p>
    <w:p>
      <w:pPr>
        <w:ind w:left="540" w:hanging="213"/>
        <w:spacing w:after="0"/>
        <w:tabs>
          <w:tab w:leader="none" w:pos="540" w:val="left"/>
        </w:tabs>
        <w:numPr>
          <w:ilvl w:val="0"/>
          <w:numId w:val="198"/>
        </w:numPr>
        <w:rPr>
          <w:rFonts w:ascii="MS PGothic" w:cs="MS PGothic" w:eastAsia="MS PGothic" w:hAnsi="MS PGothic"/>
          <w:sz w:val="16"/>
          <w:szCs w:val="16"/>
          <w:color w:val="auto"/>
        </w:rPr>
      </w:pPr>
      <w:r>
        <w:rPr>
          <w:rFonts w:ascii="Arial" w:cs="Arial" w:eastAsia="Arial" w:hAnsi="Arial"/>
          <w:sz w:val="16"/>
          <w:szCs w:val="16"/>
          <w:color w:val="auto"/>
        </w:rPr>
        <w:t>Before the credit debt is settled; the following restrictions shall be made on the dividends of its shareholders according to the requirements of Party A</w:t>
      </w:r>
    </w:p>
    <w:p>
      <w:pPr>
        <w:spacing w:after="0" w:line="269" w:lineRule="exact"/>
        <w:rPr>
          <w:rFonts w:ascii="MS PGothic" w:cs="MS PGothic" w:eastAsia="MS PGothic" w:hAnsi="MS PGothic"/>
          <w:sz w:val="16"/>
          <w:szCs w:val="16"/>
          <w:color w:val="auto"/>
        </w:rPr>
      </w:pPr>
    </w:p>
    <w:p>
      <w:pPr>
        <w:ind w:left="320"/>
        <w:spacing w:after="0"/>
        <w:rPr>
          <w:rFonts w:ascii="MS PGothic" w:cs="MS PGothic" w:eastAsia="MS PGothic" w:hAnsi="MS PGothic"/>
          <w:sz w:val="16"/>
          <w:szCs w:val="16"/>
          <w:color w:val="auto"/>
        </w:rPr>
      </w:pPr>
      <w:r>
        <w:rPr>
          <w:rFonts w:ascii="Arial" w:cs="Arial" w:eastAsia="Arial" w:hAnsi="Arial"/>
          <w:sz w:val="17"/>
          <w:szCs w:val="17"/>
          <w:color w:val="auto"/>
        </w:rPr>
        <w:t>12.10 Party B shall ensure that the financial indicators of Party B during the credit period shall not be lower than the following requirements</w:t>
      </w:r>
    </w:p>
    <w:p>
      <w:pPr>
        <w:spacing w:after="0" w:line="227" w:lineRule="exact"/>
        <w:rPr>
          <w:sz w:val="20"/>
          <w:szCs w:val="20"/>
          <w:color w:val="auto"/>
        </w:rPr>
      </w:pPr>
    </w:p>
    <w:p>
      <w:pPr>
        <w:jc w:val="both"/>
        <w:ind w:firstLine="427"/>
        <w:spacing w:after="0" w:line="293"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b w:val="1"/>
          <w:bCs w:val="1"/>
          <w:color w:val="auto"/>
        </w:rPr>
        <w:t>At the same time, Party B agrees to be bound by the group credit business cooperation agreement (including the adjustment and</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 made by the signing party from time to time) signed by the first party of China Merchants Bank Co., Ltd. and Party B’s parent company / head office / holding company (fill in the enterprise name), agree to be bound by the agreement, and agree to be a subordinate unit of the group under the agreement Obligations set by the subordinate units of the group. In case of any violation, Party B shall be deemed to have breached the contract, and Party A shall have the right to take various remedial measures for breach of contract stipulated in this agreement.</w:t>
      </w:r>
    </w:p>
    <w:p>
      <w:pPr>
        <w:spacing w:after="0" w:line="158"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12.12</w:t>
      </w:r>
      <w:r>
        <w:rPr>
          <w:rFonts w:ascii="Arial" w:cs="Arial" w:eastAsia="Arial" w:hAnsi="Arial"/>
          <w:sz w:val="17"/>
          <w:szCs w:val="17"/>
          <w:b w:val="1"/>
          <w:bCs w:val="1"/>
          <w:color w:val="auto"/>
        </w:rPr>
        <w:t>other provisions: Party A has the right to adjust the benchmark interest rate or interest rate pricing method of the loan / other credit</w:t>
      </w:r>
      <w:r>
        <w:rPr>
          <w:rFonts w:ascii="Arial" w:cs="Arial" w:eastAsia="Arial" w:hAnsi="Arial"/>
          <w:sz w:val="17"/>
          <w:szCs w:val="17"/>
          <w:color w:val="auto"/>
        </w:rPr>
        <w:t xml:space="preserve"> </w:t>
      </w:r>
      <w:r>
        <w:rPr>
          <w:rFonts w:ascii="Arial" w:cs="Arial" w:eastAsia="Arial" w:hAnsi="Arial"/>
          <w:sz w:val="17"/>
          <w:szCs w:val="17"/>
          <w:b w:val="1"/>
          <w:bCs w:val="1"/>
          <w:color w:val="auto"/>
        </w:rPr>
        <w:t>extension under this agreement in combination with the market situation or its own credit policy. Such adjustment shall take effect after Party A notifies Party B (the notice method is to announce at Party A’s website or official website, or send a notice to Party B’s reserved contact address / method in this Agreement); if Party B does not accept the adjustment, it can repay in advance, otherwise it shall be deemed that the adjustment shall be carried out according to the adjusted interest rate recorded in the notice.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4" w:name="page315"/>
    <w:bookmarkEnd w:id="314"/>
    <w:p>
      <w:pPr>
        <w:ind w:left="260" w:hanging="253"/>
        <w:spacing w:after="0"/>
        <w:tabs>
          <w:tab w:leader="none" w:pos="2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Account information</w:t>
      </w:r>
    </w:p>
    <w:p>
      <w:pPr>
        <w:spacing w:after="0" w:line="191" w:lineRule="exact"/>
        <w:rPr>
          <w:rFonts w:ascii="Arial" w:cs="Arial" w:eastAsia="Arial" w:hAnsi="Arial"/>
          <w:sz w:val="18"/>
          <w:szCs w:val="18"/>
          <w:b w:val="1"/>
          <w:bCs w:val="1"/>
          <w:color w:val="auto"/>
        </w:rPr>
      </w:pPr>
    </w:p>
    <w:p>
      <w:pPr>
        <w:ind w:left="540" w:hanging="213"/>
        <w:spacing w:after="0" w:line="207" w:lineRule="exact"/>
        <w:tabs>
          <w:tab w:leader="none" w:pos="540" w:val="left"/>
        </w:tabs>
        <w:numPr>
          <w:ilvl w:val="1"/>
          <w:numId w:val="199"/>
        </w:numPr>
        <w:rPr>
          <w:rFonts w:ascii="MS PGothic" w:cs="MS PGothic" w:eastAsia="MS PGothic" w:hAnsi="MS PGothic"/>
          <w:sz w:val="18"/>
          <w:szCs w:val="18"/>
          <w:color w:val="auto"/>
        </w:rPr>
      </w:pPr>
      <w:r>
        <w:rPr>
          <w:rFonts w:ascii="Arial" w:cs="Arial" w:eastAsia="Arial" w:hAnsi="Arial"/>
          <w:sz w:val="18"/>
          <w:szCs w:val="18"/>
          <w:color w:val="auto"/>
        </w:rPr>
        <w:t>13.1 Special loan account If applicable, please mark</w:t>
      </w:r>
      <w:r>
        <w:rPr>
          <w:rFonts w:ascii="MS PGothic" w:cs="MS PGothic" w:eastAsia="MS PGothic" w:hAnsi="MS PGothic"/>
          <w:sz w:val="18"/>
          <w:szCs w:val="18"/>
          <w:color w:val="auto"/>
        </w:rPr>
        <w:t>✔</w:t>
      </w:r>
      <w:r>
        <w:rPr>
          <w:rFonts w:ascii="Arial" w:cs="Arial" w:eastAsia="Arial" w:hAnsi="Arial"/>
          <w:sz w:val="18"/>
          <w:szCs w:val="18"/>
          <w:color w:val="auto"/>
        </w:rPr>
        <w:t>in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loans and payments under this agreement must be made through the following account</w:t>
      </w:r>
    </w:p>
    <w:p>
      <w:pPr>
        <w:spacing w:after="0" w:line="247" w:lineRule="exact"/>
        <w:rPr>
          <w:sz w:val="20"/>
          <w:szCs w:val="20"/>
          <w:color w:val="auto"/>
        </w:rPr>
      </w:pPr>
    </w:p>
    <w:p>
      <w:pPr>
        <w:ind w:left="320"/>
        <w:spacing w:after="0"/>
        <w:tabs>
          <w:tab w:leader="none" w:pos="174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6"/>
          <w:szCs w:val="16"/>
          <w:color w:val="auto"/>
        </w:rPr>
        <w:t>CLPS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-11430</wp:posOffset>
            </wp:positionV>
            <wp:extent cx="6648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Account No.: </w:t>
      </w:r>
      <w:r>
        <w:rPr>
          <w:rFonts w:ascii="Arial" w:cs="Arial" w:eastAsia="Arial" w:hAnsi="Arial"/>
          <w:sz w:val="18"/>
          <w:szCs w:val="18"/>
          <w:u w:val="single" w:color="auto"/>
          <w:color w:val="auto"/>
        </w:rPr>
        <w:t>121908367810901</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Bank of deposit: </w:t>
      </w:r>
      <w:r>
        <w:rPr>
          <w:rFonts w:ascii="Arial" w:cs="Arial" w:eastAsia="Arial" w:hAnsi="Arial"/>
          <w:sz w:val="18"/>
          <w:szCs w:val="18"/>
          <w:u w:val="single" w:color="auto"/>
          <w:color w:val="auto"/>
        </w:rPr>
        <w:t>Century avenue Sub-branch of Bank of China Merchants</w:t>
      </w:r>
    </w:p>
    <w:p>
      <w:pPr>
        <w:spacing w:after="0" w:line="220" w:lineRule="exact"/>
        <w:rPr>
          <w:sz w:val="20"/>
          <w:szCs w:val="20"/>
          <w:color w:val="auto"/>
        </w:rPr>
      </w:pPr>
    </w:p>
    <w:p>
      <w:pPr>
        <w:ind w:left="540" w:hanging="213"/>
        <w:spacing w:after="0"/>
        <w:tabs>
          <w:tab w:leader="none" w:pos="54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13.2 Fund withdrawal account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13.2.1 Party A and Party B agree to appoint the following account as Party B’s fund withdrawal account</w:t>
      </w:r>
    </w:p>
    <w:p>
      <w:pPr>
        <w:spacing w:after="0" w:line="220" w:lineRule="exact"/>
        <w:rPr>
          <w:sz w:val="20"/>
          <w:szCs w:val="20"/>
          <w:color w:val="auto"/>
        </w:rPr>
      </w:pPr>
    </w:p>
    <w:p>
      <w:pPr>
        <w:ind w:left="320"/>
        <w:spacing w:after="0"/>
        <w:tabs>
          <w:tab w:leader="none" w:pos="170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6"/>
          <w:szCs w:val="16"/>
          <w:color w:val="auto"/>
        </w:rPr>
        <w:t>CLPS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-11430</wp:posOffset>
            </wp:positionV>
            <wp:extent cx="5803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Account No.: </w:t>
      </w:r>
      <w:r>
        <w:rPr>
          <w:rFonts w:ascii="Arial" w:cs="Arial" w:eastAsia="Arial" w:hAnsi="Arial"/>
          <w:sz w:val="18"/>
          <w:szCs w:val="18"/>
          <w:u w:val="single" w:color="auto"/>
          <w:color w:val="auto"/>
        </w:rPr>
        <w:t>121908367810901</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Bank of deposit: </w:t>
      </w:r>
      <w:r>
        <w:rPr>
          <w:rFonts w:ascii="Arial" w:cs="Arial" w:eastAsia="Arial" w:hAnsi="Arial"/>
          <w:sz w:val="18"/>
          <w:szCs w:val="18"/>
          <w:u w:val="single" w:color="auto"/>
          <w:color w:val="auto"/>
        </w:rPr>
        <w:t>Century avenue Sub-branch of Bank of China Merchants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13.2.2 the account monitoring requirements are as follows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Party A has the right to recover the loan in advance according to the withdrawal of Party B’s funds, that is, when the account has funds withdrawn, the loan corresponding to the amount of the recovered funds can be regarded as early maturity, and Party A has the right to directly deduct money from the account to repay this part of the loan.</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13.3 Party B shall provide the capital in and out of the above account on a quarterly basis, and cooperate with Party A in monitoring the relevant accounts and withdrawal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Applicable law and dispute resolution</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14.1The conclusion, interpretation and dispute settlement of this Agreement shall be governed by the laws of the people’s Republic of China (excluding the laws of Hong Kong, Macao and Taiwan), and the rights and interests of Party A and Party B shall be protected by the laws of the people’s Republic of China.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5" w:name="page316"/>
    <w:bookmarkEnd w:id="315"/>
    <w:p>
      <w:pPr>
        <w:spacing w:after="0" w:line="230" w:lineRule="exact"/>
        <w:rPr>
          <w:sz w:val="20"/>
          <w:szCs w:val="20"/>
          <w:color w:val="auto"/>
        </w:rPr>
      </w:pPr>
      <w:r>
        <w:rPr>
          <w:rFonts w:ascii="Arial" w:cs="Arial" w:eastAsia="Arial" w:hAnsi="Arial"/>
          <w:sz w:val="17"/>
          <w:szCs w:val="17"/>
          <w:color w:val="auto"/>
        </w:rPr>
        <w:t xml:space="preserve">14.2 any dispute arising from the performance of this Agreement shall be settled by both parties through negotiation. If the negotiation fails, either party may (choose one of the three, put an “inch” in the </w:t>
      </w:r>
      <w:r>
        <w:rPr>
          <w:rFonts w:ascii="MS PGothic" w:cs="MS PGothic" w:eastAsia="MS PGothic" w:hAnsi="MS PGothic"/>
          <w:sz w:val="17"/>
          <w:szCs w:val="17"/>
          <w:color w:val="auto"/>
        </w:rPr>
        <w:t>☐</w:t>
      </w:r>
      <w:r>
        <w:rPr>
          <w:rFonts w:ascii="Arial" w:cs="Arial" w:eastAsia="Arial" w:hAnsi="Arial"/>
          <w:sz w:val="17"/>
          <w:szCs w:val="17"/>
          <w:color w:val="auto"/>
        </w:rPr>
        <w:t>): file a lawsuit to the people’s court with jurisdiction in the place where Party A is located)</w:t>
      </w:r>
    </w:p>
    <w:p>
      <w:pPr>
        <w:spacing w:after="0" w:line="181" w:lineRule="exact"/>
        <w:rPr>
          <w:sz w:val="20"/>
          <w:szCs w:val="20"/>
          <w:color w:val="auto"/>
        </w:rPr>
      </w:pPr>
    </w:p>
    <w:p>
      <w:pPr>
        <w:ind w:left="220" w:hanging="213"/>
        <w:spacing w:after="0"/>
        <w:tabs>
          <w:tab w:leader="none" w:pos="220" w:val="left"/>
        </w:tabs>
        <w:numPr>
          <w:ilvl w:val="0"/>
          <w:numId w:val="201"/>
        </w:numPr>
        <w:rPr>
          <w:rFonts w:ascii="MS PGothic" w:cs="MS PGothic" w:eastAsia="MS PGothic" w:hAnsi="MS PGothic"/>
          <w:sz w:val="18"/>
          <w:szCs w:val="18"/>
          <w:color w:val="auto"/>
        </w:rPr>
      </w:pPr>
      <w:r>
        <w:rPr>
          <w:rFonts w:ascii="Arial" w:cs="Arial" w:eastAsia="Arial" w:hAnsi="Arial"/>
          <w:sz w:val="18"/>
          <w:szCs w:val="18"/>
          <w:color w:val="auto"/>
        </w:rPr>
        <w:t>14.2.1 Bring a lawsuit to the people’s court with jurisdiction in the place where Party A is located</w:t>
      </w:r>
    </w:p>
    <w:p>
      <w:pPr>
        <w:spacing w:after="0" w:line="219" w:lineRule="exact"/>
        <w:rPr>
          <w:rFonts w:ascii="MS PGothic" w:cs="MS PGothic" w:eastAsia="MS PGothic" w:hAnsi="MS PGothic"/>
          <w:sz w:val="18"/>
          <w:szCs w:val="18"/>
          <w:color w:val="auto"/>
        </w:rPr>
      </w:pPr>
    </w:p>
    <w:p>
      <w:pPr>
        <w:ind w:firstLine="7"/>
        <w:spacing w:after="0" w:line="270" w:lineRule="auto"/>
        <w:tabs>
          <w:tab w:leader="none" w:pos="216" w:val="left"/>
        </w:tabs>
        <w:numPr>
          <w:ilvl w:val="0"/>
          <w:numId w:val="201"/>
        </w:numPr>
        <w:rPr>
          <w:rFonts w:ascii="MS PGothic" w:cs="MS PGothic" w:eastAsia="MS PGothic" w:hAnsi="MS PGothic"/>
          <w:sz w:val="18"/>
          <w:szCs w:val="18"/>
          <w:color w:val="auto"/>
        </w:rPr>
      </w:pPr>
      <w:r>
        <w:rPr>
          <w:rFonts w:ascii="Arial" w:cs="Arial" w:eastAsia="Arial" w:hAnsi="Arial"/>
          <w:sz w:val="18"/>
          <w:szCs w:val="18"/>
          <w:color w:val="auto"/>
        </w:rPr>
        <w:t>14.2.2 bring a lawsuit to the people’s court with jurisdiction in the place where the agreement is signed, and the place where the agreement is signed is Century avenue Sub-branch of Bank of China Merchants</w:t>
      </w:r>
    </w:p>
    <w:p>
      <w:pPr>
        <w:spacing w:after="0" w:line="174" w:lineRule="exact"/>
        <w:rPr>
          <w:rFonts w:ascii="MS PGothic" w:cs="MS PGothic" w:eastAsia="MS PGothic" w:hAnsi="MS PGothic"/>
          <w:sz w:val="18"/>
          <w:szCs w:val="18"/>
          <w:color w:val="auto"/>
        </w:rPr>
      </w:pPr>
    </w:p>
    <w:p>
      <w:pPr>
        <w:ind w:left="220" w:hanging="213"/>
        <w:spacing w:after="0"/>
        <w:tabs>
          <w:tab w:leader="none" w:pos="220" w:val="left"/>
        </w:tabs>
        <w:numPr>
          <w:ilvl w:val="0"/>
          <w:numId w:val="201"/>
        </w:numPr>
        <w:rPr>
          <w:rFonts w:ascii="MS PGothic" w:cs="MS PGothic" w:eastAsia="MS PGothic" w:hAnsi="MS PGothic"/>
          <w:sz w:val="18"/>
          <w:szCs w:val="18"/>
          <w:color w:val="auto"/>
        </w:rPr>
      </w:pPr>
      <w:r>
        <w:rPr>
          <w:rFonts w:ascii="Arial" w:cs="Arial" w:eastAsia="Arial" w:hAnsi="Arial"/>
          <w:sz w:val="18"/>
          <w:szCs w:val="18"/>
          <w:color w:val="auto"/>
        </w:rPr>
        <w:t>14.2.3 Apply to (fill in the name of specific arbitration institution) for arbitration, and the place of arbitration is</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14.3 after this Agreement and each specific business agreement have been notarized by both parties, Party A may directly apply to the people’s court with jurisdiction for compulsory enforcement in order to recover the debts owed by Party B under this Agreement and each specific business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Effectiveness of Agreement</w:t>
      </w:r>
    </w:p>
    <w:p>
      <w:pPr>
        <w:spacing w:after="0" w:line="224"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This Agreement shall become effective after being signed (or sealed) by the legal representatives/person in charge or the authorized signatories of both parties and being affixed with the company seal/special seal for contract of both parties, and shall automatically terminate upon expiration of the credit period or full repayment of the debt and other related fees under this Agreement owed by Party B to Party A (whichever comes later)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Provisions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Agreement shall be made in copies, with Party A, Party B, and each holding one copy, which have the same legal effect.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I: Special Provisions regarding cross border trade financing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II: Special Provisions regarding Buyer / Import Factoring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III: Special Provisions regarding Order-related Loan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IV: Special Provisions regarding Guaranteed Discount for Commercial Acceptance Bills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V: Special Provisions regarding Derivative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VI: Special Provisions regarding Gold Leasing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t>Annex I Special Provisions regarding cross border trade financing business</w:t>
      </w:r>
    </w:p>
    <w:p>
      <w:pPr>
        <w:spacing w:after="0" w:line="224" w:lineRule="exact"/>
        <w:rPr>
          <w:sz w:val="20"/>
          <w:szCs w:val="20"/>
          <w:color w:val="auto"/>
        </w:rPr>
      </w:pPr>
    </w:p>
    <w:p>
      <w:pPr>
        <w:jc w:val="both"/>
        <w:ind w:left="320" w:firstLine="7"/>
        <w:spacing w:after="0" w:line="258" w:lineRule="auto"/>
        <w:tabs>
          <w:tab w:leader="none" w:pos="51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Cross border linkage trade financing business refers to the cross-border trade financing business provided by Party A and overseas institutions of China Merchants Bank (hereinafter referred to as “linkage platform”) that Party B applies to Party A for handling based on the real cross-border trade background with overseas companies.</w:t>
      </w:r>
    </w:p>
    <w:p>
      <w:pPr>
        <w:spacing w:after="0" w:line="186" w:lineRule="exact"/>
        <w:rPr>
          <w:rFonts w:ascii="Arial" w:cs="Arial" w:eastAsia="Arial" w:hAnsi="Arial"/>
          <w:sz w:val="18"/>
          <w:szCs w:val="18"/>
          <w:color w:val="auto"/>
        </w:rPr>
      </w:pPr>
    </w:p>
    <w:p>
      <w:pPr>
        <w:jc w:val="both"/>
        <w:ind w:left="320" w:firstLine="7"/>
        <w:spacing w:after="0" w:line="258" w:lineRule="auto"/>
        <w:tabs>
          <w:tab w:leader="none" w:pos="5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specific types of cross-border linkage trade financing business include back-to-back L / C, entrusted L / C, entrusted overseas financing, bill guarantee, overseas credit of letter of guarantee and cross-border trade financing through train. The specific meaning and business rules of various business types shall be stipulated by specific business agreement.</w:t>
      </w:r>
    </w:p>
    <w:p>
      <w:pPr>
        <w:spacing w:after="0" w:line="186" w:lineRule="exact"/>
        <w:rPr>
          <w:rFonts w:ascii="Arial" w:cs="Arial" w:eastAsia="Arial" w:hAnsi="Arial"/>
          <w:sz w:val="18"/>
          <w:szCs w:val="18"/>
          <w:color w:val="auto"/>
        </w:rPr>
      </w:pPr>
    </w:p>
    <w:p>
      <w:pPr>
        <w:jc w:val="both"/>
        <w:ind w:left="320" w:firstLine="7"/>
        <w:spacing w:after="0" w:line="281" w:lineRule="auto"/>
        <w:tabs>
          <w:tab w:leader="none" w:pos="50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Under the back-to-back letter of credit, the parent letter of credit applied by Party B to Party A directly occupies the credit line under this agreement. Under such parent letter of credit, Party A’s bills or advances (whether during the credit period or not) and the corresponding interest and expenses constitute the financing debt of Party B to Party A and are included in the scope of credit guarantee.</w:t>
      </w:r>
    </w:p>
    <w:p>
      <w:pPr>
        <w:spacing w:after="0" w:line="167" w:lineRule="exact"/>
        <w:rPr>
          <w:sz w:val="20"/>
          <w:szCs w:val="20"/>
          <w:color w:val="auto"/>
        </w:rPr>
      </w:pPr>
    </w:p>
    <w:p>
      <w:pPr>
        <w:jc w:val="both"/>
        <w:ind w:left="320"/>
        <w:spacing w:after="0" w:line="253" w:lineRule="auto"/>
        <w:rPr>
          <w:sz w:val="20"/>
          <w:szCs w:val="20"/>
          <w:color w:val="auto"/>
        </w:rPr>
      </w:pPr>
      <w:r>
        <w:rPr>
          <w:rFonts w:ascii="Arial" w:cs="Arial" w:eastAsia="Arial" w:hAnsi="Arial"/>
          <w:sz w:val="18"/>
          <w:szCs w:val="18"/>
          <w:color w:val="auto"/>
        </w:rPr>
        <w:t>Under the entrustment of L / C / overseas financing, Party A entrusts the linkage platform to accept the letter of credit applied by overseas companies / the trade financing provided by Party B occupies the credit line under this agreement. If Party A issues import collection and pledge remittance or provides advance money to Party B for external payment under import collection, such pledged remittance or advance payment (whether within the credit period or not) and relevant interest and expenses directly constitute the financing debt of Party B to Party A and be included in the scope of credit guarantee.</w:t>
      </w:r>
    </w:p>
    <w:p>
      <w:pPr>
        <w:spacing w:after="0" w:line="190"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Under the bill guarantee, Party A directly occupies its credit line under this agreement according to the application of Party B, and guarantees the acceptance bill of Party B. If Party B fails to pay the bill in full and on time, Party A has the right to make advance payment directly on the guaranteed bill, and such advance (whether occurred during the credit period or not) and relevant interest and expenses shall be included in the scope of credit guarantee.</w:t>
      </w:r>
    </w:p>
    <w:p>
      <w:pPr>
        <w:spacing w:after="0" w:line="188" w:lineRule="exact"/>
        <w:rPr>
          <w:sz w:val="20"/>
          <w:szCs w:val="20"/>
          <w:color w:val="auto"/>
        </w:rPr>
      </w:pPr>
    </w:p>
    <w:p>
      <w:pPr>
        <w:jc w:val="both"/>
        <w:ind w:left="320"/>
        <w:spacing w:after="0" w:line="253" w:lineRule="auto"/>
        <w:rPr>
          <w:sz w:val="20"/>
          <w:szCs w:val="20"/>
          <w:color w:val="auto"/>
        </w:rPr>
      </w:pPr>
      <w:r>
        <w:rPr>
          <w:rFonts w:ascii="Arial" w:cs="Arial" w:eastAsia="Arial" w:hAnsi="Arial"/>
          <w:sz w:val="18"/>
          <w:szCs w:val="18"/>
          <w:color w:val="auto"/>
        </w:rPr>
        <w:t>Under the overseas credit business of letter of guarantee, the letter of guarantee / standby letter of credit issued by Party A according to Party B’s application directly occupies the credit line under this agreement. After the overseas company transfers the collection rights (non claim rights) under the letter of guarantee to the linkage platform, when the linkage platform claims to Party A according to the letter of guarantee / standby letter of credit, the advances made by Party A (whether during the credit period or not) and the relevant interest and expenses directly constitute the financing debt of Party B to Party A and are included in the scope of credit guarantee.</w:t>
      </w:r>
    </w:p>
    <w:p>
      <w:pPr>
        <w:spacing w:after="0" w:line="190" w:lineRule="exact"/>
        <w:rPr>
          <w:sz w:val="20"/>
          <w:szCs w:val="20"/>
          <w:color w:val="auto"/>
        </w:rPr>
      </w:pPr>
    </w:p>
    <w:p>
      <w:pPr>
        <w:jc w:val="both"/>
        <w:ind w:left="320"/>
        <w:spacing w:after="0" w:line="253" w:lineRule="auto"/>
        <w:rPr>
          <w:sz w:val="20"/>
          <w:szCs w:val="20"/>
          <w:color w:val="auto"/>
        </w:rPr>
      </w:pPr>
      <w:r>
        <w:rPr>
          <w:rFonts w:ascii="Arial" w:cs="Arial" w:eastAsia="Arial" w:hAnsi="Arial"/>
          <w:sz w:val="18"/>
          <w:szCs w:val="18"/>
          <w:color w:val="auto"/>
        </w:rPr>
        <w:t>Under the cross-border trade financing through train, after Party A approves its trade financing according to Party B’s application, the trade financing directly provided to Party B by the linkage platform occupies the credit line under this agreement. If Party B fails to repay the trade financing funds of the linkage platform in full and on schedule, Party A has the right to repay it by way of documentary or advance payment. The relevant documentary or advance payment (whether occurred in the credit period or not) and the relevant interest and expenses directly constitute the financing debt of Party B to Party A and be included in the scope of credit guarantee.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t>Annex II: Special Provisions regarding Buyer / Import Factoring</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Definition</w:t>
      </w:r>
    </w:p>
    <w:p>
      <w:pPr>
        <w:spacing w:after="0" w:line="220" w:lineRule="exact"/>
        <w:rPr>
          <w:sz w:val="20"/>
          <w:szCs w:val="20"/>
          <w:color w:val="auto"/>
        </w:rPr>
      </w:pPr>
    </w:p>
    <w:p>
      <w:pPr>
        <w:jc w:val="both"/>
        <w:ind w:left="320"/>
        <w:spacing w:after="0" w:line="258" w:lineRule="auto"/>
        <w:rPr>
          <w:sz w:val="20"/>
          <w:szCs w:val="20"/>
          <w:color w:val="auto"/>
        </w:rPr>
      </w:pPr>
      <w:r>
        <w:rPr>
          <w:rFonts w:ascii="Arial" w:cs="Arial" w:eastAsia="Arial" w:hAnsi="Arial"/>
          <w:sz w:val="18"/>
          <w:szCs w:val="18"/>
          <w:color w:val="auto"/>
        </w:rPr>
        <w:t>1.1 The buyer/import factoring means that Party A, as the buyer/import factor, provides approved payment, accounts receivable dunning and management and other comprehensive factoring services for seller/export factor after the seller/export factor transfers to it the accounts receivable (under a business contract) of which Party B is the debtor.</w:t>
      </w:r>
    </w:p>
    <w:p>
      <w:pPr>
        <w:spacing w:after="0" w:line="186" w:lineRule="exact"/>
        <w:rPr>
          <w:sz w:val="20"/>
          <w:szCs w:val="20"/>
          <w:color w:val="auto"/>
        </w:rPr>
      </w:pPr>
    </w:p>
    <w:p>
      <w:pPr>
        <w:jc w:val="both"/>
        <w:ind w:left="320"/>
        <w:spacing w:after="0" w:line="258" w:lineRule="auto"/>
        <w:rPr>
          <w:sz w:val="20"/>
          <w:szCs w:val="20"/>
          <w:color w:val="auto"/>
        </w:rPr>
      </w:pPr>
      <w:r>
        <w:rPr>
          <w:rFonts w:ascii="Arial" w:cs="Arial" w:eastAsia="Arial" w:hAnsi="Arial"/>
          <w:sz w:val="18"/>
          <w:szCs w:val="18"/>
          <w:color w:val="auto"/>
        </w:rPr>
        <w:t>Under the buyer/import factoring, if the buyer’s credit risk occurs, Party A shall be liable to seller/export factor for approved payment; if a dispute arises during the performance of the business contract, Party A shall have the right to re-transfer to the seller/export factor the accounts receivable transferred to it.</w:t>
      </w:r>
    </w:p>
    <w:p>
      <w:pPr>
        <w:spacing w:after="0" w:line="186" w:lineRule="exact"/>
        <w:rPr>
          <w:sz w:val="20"/>
          <w:szCs w:val="20"/>
          <w:color w:val="auto"/>
        </w:rPr>
      </w:pPr>
    </w:p>
    <w:p>
      <w:pPr>
        <w:jc w:val="both"/>
        <w:ind w:left="320"/>
        <w:spacing w:after="0" w:line="258" w:lineRule="auto"/>
        <w:rPr>
          <w:sz w:val="20"/>
          <w:szCs w:val="20"/>
          <w:color w:val="auto"/>
        </w:rPr>
      </w:pPr>
      <w:r>
        <w:rPr>
          <w:rFonts w:ascii="Arial" w:cs="Arial" w:eastAsia="Arial" w:hAnsi="Arial"/>
          <w:sz w:val="18"/>
          <w:szCs w:val="18"/>
          <w:color w:val="auto"/>
        </w:rPr>
        <w:t>1.2 The seller/export factor is the party that signs a factoring agreement with the supplier/service provider (creditor of an account receivable) under the business contract and to which the account receivable held by the creditor thereof is transferred. Party A may act both as a buyer/import factor and as a seller/export factor.</w:t>
      </w:r>
    </w:p>
    <w:p>
      <w:pPr>
        <w:spacing w:after="0" w:line="186" w:lineRule="exact"/>
        <w:rPr>
          <w:sz w:val="20"/>
          <w:szCs w:val="20"/>
          <w:color w:val="auto"/>
        </w:rPr>
      </w:pPr>
    </w:p>
    <w:p>
      <w:pPr>
        <w:jc w:val="both"/>
        <w:ind w:left="320"/>
        <w:spacing w:after="0" w:line="296" w:lineRule="auto"/>
        <w:rPr>
          <w:sz w:val="20"/>
          <w:szCs w:val="20"/>
          <w:color w:val="auto"/>
        </w:rPr>
      </w:pPr>
      <w:r>
        <w:rPr>
          <w:rFonts w:ascii="Arial" w:cs="Arial" w:eastAsia="Arial" w:hAnsi="Arial"/>
          <w:sz w:val="16"/>
          <w:szCs w:val="16"/>
          <w:color w:val="auto"/>
        </w:rPr>
        <w:t>1.3 The dispute refers to the defense, counter claim, offset or other similar acts filed by Party B in respect of the accounts receivable transferred to Party A due to any dispute related to the goods, services, invoices or any other commercial contracts related matters between the creditor of the accounts receivable and Party B, and the acts of a third-party to make a claim on or apply for the freezing of the accounts receivable under this Agreement. If the accounts receivable transferred to Party A cannot be recovered in full or in part due to non-buyer’s credit risk, it shall be deemed to be a dispute.</w:t>
      </w:r>
    </w:p>
    <w:p>
      <w:pPr>
        <w:spacing w:after="0" w:line="160" w:lineRule="exact"/>
        <w:rPr>
          <w:sz w:val="20"/>
          <w:szCs w:val="20"/>
          <w:color w:val="auto"/>
        </w:rPr>
      </w:pPr>
    </w:p>
    <w:p>
      <w:pPr>
        <w:jc w:val="both"/>
        <w:ind w:left="320"/>
        <w:spacing w:after="0" w:line="270" w:lineRule="auto"/>
        <w:rPr>
          <w:sz w:val="20"/>
          <w:szCs w:val="20"/>
          <w:color w:val="auto"/>
        </w:rPr>
      </w:pPr>
      <w:r>
        <w:rPr>
          <w:rFonts w:ascii="Arial" w:cs="Arial" w:eastAsia="Arial" w:hAnsi="Arial"/>
          <w:sz w:val="18"/>
          <w:szCs w:val="18"/>
          <w:color w:val="auto"/>
        </w:rPr>
        <w:t>1.4 Business contract: refers to the transaction contract signed between Party B and the creditors of the accounts receivable for the purpose of commodity trading and/or service trading, with sale on credit as the settlement method.</w:t>
      </w:r>
    </w:p>
    <w:p>
      <w:pPr>
        <w:spacing w:after="0" w:line="175" w:lineRule="exact"/>
        <w:rPr>
          <w:sz w:val="20"/>
          <w:szCs w:val="20"/>
          <w:color w:val="auto"/>
        </w:rPr>
      </w:pPr>
    </w:p>
    <w:p>
      <w:pPr>
        <w:jc w:val="both"/>
        <w:ind w:left="320"/>
        <w:spacing w:after="0" w:line="270" w:lineRule="auto"/>
        <w:rPr>
          <w:sz w:val="20"/>
          <w:szCs w:val="20"/>
          <w:color w:val="auto"/>
        </w:rPr>
      </w:pPr>
      <w:r>
        <w:rPr>
          <w:rFonts w:ascii="Arial" w:cs="Arial" w:eastAsia="Arial" w:hAnsi="Arial"/>
          <w:sz w:val="18"/>
          <w:szCs w:val="18"/>
          <w:color w:val="auto"/>
        </w:rPr>
        <w:t>1.5 Approved payment / guaranteed payment means that after the occurrence of buyer’s credit risk, Party A shall pay the corresponding amount of the account receivable to the seller/export factor within a certain period after the account receivable is mature.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8" w:name="page319"/>
    <w:bookmarkEnd w:id="318"/>
    <w:p>
      <w:pPr>
        <w:ind w:firstLine="7"/>
        <w:spacing w:after="0" w:line="300" w:lineRule="auto"/>
        <w:tabs>
          <w:tab w:leader="none" w:pos="20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Upon Party B’s application, Party A agrees to handle the Buyer / import factoring business within the credit line, and the accounts receivable transferred from the seller / export factor shall be deducted / occupied according to the amount of the credit line under the credit agreement.</w:t>
      </w:r>
    </w:p>
    <w:p>
      <w:pPr>
        <w:spacing w:after="0" w:line="1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amount paid by Party A as the Buyer / import factor to fulfill the responsibility of approved payment / guaranteed payment and related expenses shall be deemed as the credit granted by Party A to Party B under the credit agreement, and shall be included in the scope of credit guarantee provided by Party B. Party A has the right to claim the approved payment / guaranteed payment from Party B by taking various measures agreed in the credit agreement. As long as Party A has transferred the accounts receivable during the credit period, even if Party A performs the approved payment responsibility beyond the credit period, party a still has the right to claim against Party B according to the credit agreement and the business contract.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3. Commission fees of buyer/import factoring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Commission fees of factoring: mean the business management fee that should be charged by Party A for the buyer/import factoring services, which shall be charged by Party A from Party B according to a certain percentage of the amount of accounts receivable at the time of transfer, with the specific rate being reasonably determined by Party A in accordance with its business rules.</w:t>
      </w:r>
    </w:p>
    <w:p>
      <w:pPr>
        <w:spacing w:after="0" w:line="186" w:lineRule="exact"/>
        <w:rPr>
          <w:sz w:val="20"/>
          <w:szCs w:val="20"/>
          <w:color w:val="auto"/>
        </w:rPr>
      </w:pPr>
    </w:p>
    <w:p>
      <w:pPr>
        <w:jc w:val="both"/>
        <w:ind w:firstLine="7"/>
        <w:spacing w:after="0" w:line="281" w:lineRule="auto"/>
        <w:tabs>
          <w:tab w:leader="none" w:pos="17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Party B shall waive the right to raise an objection based on disputes arising during the performance of the business contract. In view of this, regardless of whether there are other agreements, if Party B fails to make payment in accordance with the provision of the business contract, it shall be deemed as the occurrence of the buyer’s credit risk; Party A will make the approved payment, and Party B will raise no objection.</w:t>
      </w: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99"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t>Annex III: Special Provisions regarding Order-related Loan</w:t>
      </w:r>
    </w:p>
    <w:p>
      <w:pPr>
        <w:spacing w:after="0" w:line="224" w:lineRule="exact"/>
        <w:rPr>
          <w:sz w:val="20"/>
          <w:szCs w:val="20"/>
          <w:color w:val="auto"/>
        </w:rPr>
      </w:pPr>
    </w:p>
    <w:p>
      <w:pPr>
        <w:jc w:val="both"/>
        <w:ind w:left="320" w:firstLine="7"/>
        <w:spacing w:after="0" w:line="258" w:lineRule="auto"/>
        <w:tabs>
          <w:tab w:leader="none" w:pos="49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order-related loan means the loan lent by Party A to Party B based on the business contract (or engineering contract) signed between Party B and its downstream customers, used for the performance of the business contract (or the engineering contract) for the business unit, with the proceeds from the business contract (or engineering contract) being the first source for the repayment of the loan.</w:t>
      </w:r>
    </w:p>
    <w:p>
      <w:pPr>
        <w:spacing w:after="0" w:line="186" w:lineRule="exact"/>
        <w:rPr>
          <w:rFonts w:ascii="Arial" w:cs="Arial" w:eastAsia="Arial" w:hAnsi="Arial"/>
          <w:sz w:val="18"/>
          <w:szCs w:val="18"/>
          <w:color w:val="auto"/>
        </w:rPr>
      </w:pPr>
    </w:p>
    <w:p>
      <w:pPr>
        <w:jc w:val="both"/>
        <w:ind w:left="320" w:firstLine="7"/>
        <w:spacing w:after="0" w:line="253" w:lineRule="auto"/>
        <w:tabs>
          <w:tab w:leader="none" w:pos="50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Party B shall open a special account at Party A for the collection of proceeds under the business contract (or engineering contract). All sales under the business contract (or engineering contract) based on which the order-related loan is applied must be directly paid to the special account; without the approval of Party A, the funds may not be used and the special account may not be changed. Party B shall notify the payer that the account is the only account for the payment of sales proceeds. Party A has the right to deduct the funds from the special account for the repayment of the principal and interest, penalty interest and other related expenses of the order-related loan.</w:t>
      </w:r>
    </w:p>
    <w:p>
      <w:pPr>
        <w:spacing w:after="0" w:line="189" w:lineRule="exact"/>
        <w:rPr>
          <w:rFonts w:ascii="Arial" w:cs="Arial" w:eastAsia="Arial" w:hAnsi="Arial"/>
          <w:sz w:val="18"/>
          <w:szCs w:val="18"/>
          <w:color w:val="auto"/>
        </w:rPr>
      </w:pPr>
    </w:p>
    <w:p>
      <w:pPr>
        <w:ind w:left="320" w:right="20" w:firstLine="7"/>
        <w:spacing w:after="0" w:line="270" w:lineRule="auto"/>
        <w:tabs>
          <w:tab w:leader="none" w:pos="50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Under any of the following circumstances, Party A may immediately stop the use of remaining LOC balance under the Credit Granting Agreement, and take remedy measures in accordance with the Credit Granting Agreement:</w:t>
      </w:r>
    </w:p>
    <w:p>
      <w:pPr>
        <w:spacing w:after="0" w:line="175" w:lineRule="exact"/>
        <w:rPr>
          <w:sz w:val="20"/>
          <w:szCs w:val="20"/>
          <w:color w:val="auto"/>
        </w:rPr>
      </w:pPr>
    </w:p>
    <w:p>
      <w:pPr>
        <w:jc w:val="both"/>
        <w:ind w:left="320"/>
        <w:spacing w:after="0" w:line="270" w:lineRule="auto"/>
        <w:rPr>
          <w:sz w:val="20"/>
          <w:szCs w:val="20"/>
          <w:color w:val="auto"/>
        </w:rPr>
      </w:pPr>
      <w:r>
        <w:rPr>
          <w:rFonts w:ascii="Arial" w:cs="Arial" w:eastAsia="Arial" w:hAnsi="Arial"/>
          <w:sz w:val="18"/>
          <w:szCs w:val="18"/>
          <w:color w:val="auto"/>
        </w:rPr>
        <w:t>3.1 The downstream customers of Party B have delayed in payment for three consecutive periods, and Party A has reasonably judged that their financial status has deteriorated, which is not conducive to protecting Party A’s creditor’s rights; and</w:t>
      </w:r>
    </w:p>
    <w:p>
      <w:pPr>
        <w:spacing w:after="0" w:line="175"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3.2 Party B’s supplier qualification is canceled by its downstream customers, Party B’s supply to the downstream customers is not timely, the product quality is unstable, Party B fails to make progress in construction as scheduled in the engineering contract, which is not recognized by the downstream customers, the industry practice qualification of Party B has been lowered, which results in its failure to meet the requirements of downstream customers, Party A has reasonably judged that Party B is difficult to operate and its financial status deteriorates, the funds collected from downstream customers is less than the monthly total repayment amount of financing contracts under the credit granting for three consecutive months, or the downstream customers fail to pay the installments as agreed in the engineering contract for two consecutive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t>Annex IV: Special Provisions regarding Guaranteed Discount for Commercial Acceptance Bills</w:t>
      </w:r>
    </w:p>
    <w:p>
      <w:pPr>
        <w:spacing w:after="0" w:line="224" w:lineRule="exact"/>
        <w:rPr>
          <w:sz w:val="20"/>
          <w:szCs w:val="20"/>
          <w:color w:val="auto"/>
        </w:rPr>
      </w:pPr>
    </w:p>
    <w:p>
      <w:pPr>
        <w:jc w:val="both"/>
        <w:ind w:left="320" w:firstLine="7"/>
        <w:spacing w:after="0" w:line="271" w:lineRule="auto"/>
        <w:tabs>
          <w:tab w:leader="none" w:pos="52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Commercial acceptance bill security business refers to the business that Party A gives discount or allows the holder to discount the commercial acceptance bill accepted, endorsed or undertaken by Party B (including bill guarantee and guarantee provided by Party B for bill debtor in addition to the bill, the same below) or allows the holder to discount any branch of China Merchants Bank (hereinafter referred to as “other discount accepting banks”). The holder (hereinafter referred to as “discount applicant”) may apply for discount to Party A or other discount acceptance bank with the commercial acceptance bill, and such discount business will occupy the credit line under this agreement.</w:t>
      </w:r>
    </w:p>
    <w:p>
      <w:pPr>
        <w:spacing w:after="0" w:line="177" w:lineRule="exact"/>
        <w:rPr>
          <w:sz w:val="20"/>
          <w:szCs w:val="20"/>
          <w:color w:val="auto"/>
        </w:rPr>
      </w:pPr>
    </w:p>
    <w:p>
      <w:pPr>
        <w:jc w:val="both"/>
        <w:ind w:left="320"/>
        <w:spacing w:after="0" w:line="258" w:lineRule="auto"/>
        <w:rPr>
          <w:sz w:val="20"/>
          <w:szCs w:val="20"/>
          <w:color w:val="auto"/>
        </w:rPr>
      </w:pPr>
      <w:r>
        <w:rPr>
          <w:rFonts w:ascii="Arial" w:cs="Arial" w:eastAsia="Arial" w:hAnsi="Arial"/>
          <w:sz w:val="18"/>
          <w:szCs w:val="18"/>
          <w:color w:val="auto"/>
        </w:rPr>
        <w:t>In view of the fact that Party A provides Party B with the commercial acceptance bill security service is the precondition for other discount accepting banks to accept the bill holder’s application for discount, other discount acceptance banks have the right to transfer the discounted bill to Party A, and Party A has the obligation to accept the transfer. Party B has no objection to this.</w:t>
      </w:r>
    </w:p>
    <w:p>
      <w:pPr>
        <w:spacing w:after="0" w:line="186" w:lineRule="exact"/>
        <w:rPr>
          <w:sz w:val="20"/>
          <w:szCs w:val="20"/>
          <w:color w:val="auto"/>
        </w:rPr>
      </w:pPr>
    </w:p>
    <w:p>
      <w:pPr>
        <w:jc w:val="both"/>
        <w:ind w:left="320" w:firstLine="7"/>
        <w:spacing w:after="0" w:line="258" w:lineRule="auto"/>
        <w:tabs>
          <w:tab w:leader="none" w:pos="50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commercial acceptance bill mentioned in this article includes both paper commercial acceptance bill and electronic commercial acceptance bill (hereinafter referred to as electronic commercial bill); the mode of interest payment includes the buyer’s interest payment, the seller’s interest payment, the other party’s interest payment and agreement interest payment.</w:t>
      </w:r>
    </w:p>
    <w:p>
      <w:pPr>
        <w:spacing w:after="0" w:line="186" w:lineRule="exact"/>
        <w:rPr>
          <w:rFonts w:ascii="Arial" w:cs="Arial" w:eastAsia="Arial" w:hAnsi="Arial"/>
          <w:sz w:val="18"/>
          <w:szCs w:val="18"/>
          <w:color w:val="auto"/>
        </w:rPr>
      </w:pPr>
    </w:p>
    <w:p>
      <w:pPr>
        <w:jc w:val="both"/>
        <w:ind w:left="320" w:firstLine="7"/>
        <w:spacing w:after="0" w:line="255" w:lineRule="auto"/>
        <w:tabs>
          <w:tab w:leader="none" w:pos="51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Party B shall open a deposit account for commercial acceptance bills with Party A (the account number shall be subject to the system generated or recorded by Party A when the deposit is made), and before acceptance of each bill, Party B shall deposit a certain amount of funds into the deposit account according to the proportion required by Party a, as the payment deposit of commercial acceptance bill discounted by Party A or transferred from other discount acceptance banks.</w:t>
      </w:r>
    </w:p>
    <w:p>
      <w:pPr>
        <w:spacing w:after="0" w:line="188" w:lineRule="exact"/>
        <w:rPr>
          <w:sz w:val="20"/>
          <w:szCs w:val="20"/>
          <w:color w:val="auto"/>
        </w:rPr>
      </w:pPr>
    </w:p>
    <w:p>
      <w:pPr>
        <w:ind w:left="320"/>
        <w:spacing w:after="0" w:line="270" w:lineRule="auto"/>
        <w:rPr>
          <w:sz w:val="20"/>
          <w:szCs w:val="20"/>
          <w:color w:val="auto"/>
        </w:rPr>
      </w:pPr>
      <w:r>
        <w:rPr>
          <w:rFonts w:ascii="Arial" w:cs="Arial" w:eastAsia="Arial" w:hAnsi="Arial"/>
          <w:sz w:val="18"/>
          <w:szCs w:val="18"/>
          <w:color w:val="auto"/>
        </w:rPr>
        <w:t>If Party B is the acceptor of the commercial acceptance bill, Party B shall deposit the full amount of the payable bill to the deposit account opened by Party A before the maturity of each commercial acceptance bill, so as to pay the bill when it is due.</w:t>
      </w:r>
    </w:p>
    <w:p>
      <w:pPr>
        <w:spacing w:after="0" w:line="175" w:lineRule="exact"/>
        <w:rPr>
          <w:sz w:val="20"/>
          <w:szCs w:val="20"/>
          <w:color w:val="auto"/>
        </w:rPr>
      </w:pPr>
    </w:p>
    <w:p>
      <w:pPr>
        <w:jc w:val="both"/>
        <w:ind w:left="320" w:firstLine="7"/>
        <w:spacing w:after="0" w:line="306" w:lineRule="auto"/>
        <w:tabs>
          <w:tab w:leader="none" w:pos="50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During the credit period, the discount applicant may directly apply to Party A for discount with the commercial acceptance bill accepted, endorsed or guaranteed by Party B, or apply for discount from other discount accepting banks. Party A or other discount accepting banks have the right to examine the qualification of discount applicants, request Party B to review and confirm, and decide whether to apply for discount at their own discretion.</w:t>
      </w:r>
    </w:p>
    <w:p>
      <w:pPr>
        <w:spacing w:after="0" w:line="150" w:lineRule="exact"/>
        <w:rPr>
          <w:sz w:val="20"/>
          <w:szCs w:val="20"/>
          <w:color w:val="auto"/>
        </w:rPr>
      </w:pPr>
    </w:p>
    <w:p>
      <w:pPr>
        <w:jc w:val="both"/>
        <w:ind w:left="320"/>
        <w:spacing w:after="0" w:line="281" w:lineRule="auto"/>
        <w:rPr>
          <w:sz w:val="20"/>
          <w:szCs w:val="20"/>
          <w:color w:val="auto"/>
        </w:rPr>
      </w:pPr>
      <w:r>
        <w:rPr>
          <w:rFonts w:ascii="Arial" w:cs="Arial" w:eastAsia="Arial" w:hAnsi="Arial"/>
          <w:sz w:val="17"/>
          <w:szCs w:val="17"/>
          <w:color w:val="auto"/>
        </w:rPr>
        <w:t>Ther discount accepting banks shall have the right to endorse and transfer the discounted commercial acceptance bill to Party A in accordance with relevant regulations of China Merchants Bank. After Party A processes the discount or accepts the commercial acceptance bill from other discount acceptance banks, Party B shall unconditionally and timely pay the bill payable to party a when Party B holds the bill for 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1" w:name="page322"/>
    <w:bookmarkEnd w:id="321"/>
    <w:p>
      <w:pPr>
        <w:jc w:val="both"/>
        <w:ind w:firstLine="7"/>
        <w:spacing w:after="0" w:line="274" w:lineRule="auto"/>
        <w:tabs>
          <w:tab w:leader="none" w:pos="17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opening, acceptance, endorsement, discount and other bill behaviors of each e-commerce bill shall be subject to the business information stored in the electronic bill system of Shanghai bill exchange, or the business records of customer statements filled or printed accordingly. The information retained in the electronic bill system of Shanghai ticketing exchange and the business records generated therefrom are integral parts of this annex and have the same legal effect as this Annex. Party B recognizes its accuracy, authenticity and legality.</w:t>
      </w:r>
    </w:p>
    <w:p>
      <w:pPr>
        <w:spacing w:after="0" w:line="174" w:lineRule="exact"/>
        <w:rPr>
          <w:rFonts w:ascii="Arial" w:cs="Arial" w:eastAsia="Arial" w:hAnsi="Arial"/>
          <w:sz w:val="17"/>
          <w:szCs w:val="17"/>
          <w:color w:val="auto"/>
        </w:rPr>
      </w:pPr>
    </w:p>
    <w:p>
      <w:pPr>
        <w:jc w:val="both"/>
        <w:ind w:firstLine="7"/>
        <w:spacing w:after="0" w:line="333" w:lineRule="auto"/>
        <w:tabs>
          <w:tab w:leader="none" w:pos="17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dispute arising from the basic contract of commercial acceptance bill guaranteed by Party A shall be settled by Party B and the parties concerned by themselves, and Party B shall not be exempted from the obligation of timely and full deposit of deposit and draft money in accordance with Article 3.</w:t>
      </w:r>
    </w:p>
    <w:p>
      <w:pPr>
        <w:spacing w:after="0" w:line="129" w:lineRule="exact"/>
        <w:rPr>
          <w:rFonts w:ascii="Arial" w:cs="Arial" w:eastAsia="Arial" w:hAnsi="Arial"/>
          <w:sz w:val="16"/>
          <w:szCs w:val="16"/>
          <w:color w:val="auto"/>
        </w:rPr>
      </w:pPr>
    </w:p>
    <w:p>
      <w:pPr>
        <w:jc w:val="both"/>
        <w:ind w:firstLine="7"/>
        <w:spacing w:after="0" w:line="252" w:lineRule="auto"/>
        <w:tabs>
          <w:tab w:leader="none" w:pos="21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Party A has discounted the commercial acceptance bills accepted, endorsed or guaranteed by Party B, or has transferred such commercial acceptance bills from other discount acceptance banks, if the bill payer or Party B fails to pay the bill in full before the due date of the commercial acceptance bill, Party A has the right to directly take recourse against Party B, including but not limited to any account opened by Party B in China Merchants Bank Account deduction for payment. For the amount advanced by Party A due to Party B’s insufficient delivery and insufficient account balance, Party A shall collect the penalty interest from Party B at the rate of 0.05% of the advance amount per day in accordance with the relevant provisions of the payment and settlement measures.</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99" w:right="3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t>Annex V: Special Provisions regarding Derivative Transactions</w:t>
      </w:r>
    </w:p>
    <w:p>
      <w:pPr>
        <w:spacing w:after="0" w:line="224" w:lineRule="exact"/>
        <w:rPr>
          <w:sz w:val="20"/>
          <w:szCs w:val="20"/>
          <w:color w:val="auto"/>
        </w:rPr>
      </w:pPr>
    </w:p>
    <w:p>
      <w:pPr>
        <w:jc w:val="both"/>
        <w:ind w:left="320" w:firstLine="7"/>
        <w:spacing w:after="0" w:line="252" w:lineRule="auto"/>
        <w:tabs>
          <w:tab w:leader="none" w:pos="5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derivative transaction for which Party A accepts the application of Party B may offset the LOC according to a certain percentage of the nominal principal/transaction amount of the transaction, or when floating loss occurs to the derivative transaction, Party A may offset additional amount of LOC granted to Party B according to the specific agreement between the parties (the additional amount being offset shall be determined by Party A according to the type, duration and risk of the derivative, as well as the risk coefficient of the business corresponding to the offset LOC at the occurrence of each specific trading). The amount of LOC being actually offset shall be subject to the notice of amount of LOC being offset issued by Party A and/or trading confirmation letter/certificate and other trading documents.</w:t>
      </w:r>
    </w:p>
    <w:p>
      <w:pPr>
        <w:spacing w:after="0" w:line="190" w:lineRule="exact"/>
        <w:rPr>
          <w:rFonts w:ascii="Arial" w:cs="Arial" w:eastAsia="Arial" w:hAnsi="Arial"/>
          <w:sz w:val="18"/>
          <w:szCs w:val="18"/>
          <w:color w:val="auto"/>
        </w:rPr>
      </w:pPr>
    </w:p>
    <w:p>
      <w:pPr>
        <w:ind w:left="320" w:firstLine="7"/>
        <w:spacing w:after="0" w:line="270" w:lineRule="auto"/>
        <w:tabs>
          <w:tab w:leader="none" w:pos="49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Where there is a derivative transaction with a balance or loss during the credit period, it shall offset the LOC in accordance with the provisions of the preceding clauses, regardless of whether the transaction occurs within the credit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t>Annex VI: Special Provisions regarding Gold Leasing</w:t>
      </w:r>
    </w:p>
    <w:p>
      <w:pPr>
        <w:spacing w:after="0" w:line="224" w:lineRule="exact"/>
        <w:rPr>
          <w:sz w:val="20"/>
          <w:szCs w:val="20"/>
          <w:color w:val="auto"/>
        </w:rPr>
      </w:pPr>
    </w:p>
    <w:p>
      <w:pPr>
        <w:ind w:left="320" w:firstLine="7"/>
        <w:spacing w:after="0" w:line="270" w:lineRule="auto"/>
        <w:tabs>
          <w:tab w:leader="none" w:pos="4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gold leasing service means that Party A leases the physical gold to Party B, and Party B will return the same amount of gold with the same quality after the expiration of the lease, and pay a lease fee to Party A by installment.</w:t>
      </w:r>
    </w:p>
    <w:p>
      <w:pPr>
        <w:spacing w:after="0" w:line="174" w:lineRule="exact"/>
        <w:rPr>
          <w:rFonts w:ascii="Arial" w:cs="Arial" w:eastAsia="Arial" w:hAnsi="Arial"/>
          <w:sz w:val="18"/>
          <w:szCs w:val="18"/>
          <w:color w:val="auto"/>
        </w:rPr>
      </w:pPr>
    </w:p>
    <w:p>
      <w:pPr>
        <w:jc w:val="both"/>
        <w:ind w:left="320" w:firstLine="7"/>
        <w:spacing w:after="0" w:line="258" w:lineRule="auto"/>
        <w:tabs>
          <w:tab w:leader="none" w:pos="51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Party A may provide gold leasing service during the credit period and within the LOC according to the application of Party B. The physical gold leased out by Party A shall offset the LOC according to the value agreed in the gold lease agreement signed by both parties, and constitute debts owed by Party B to Party 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4" w:name="page325"/>
    <w:bookmarkEnd w:id="324"/>
    <w:p>
      <w:pPr>
        <w:ind w:left="320"/>
        <w:spacing w:after="0"/>
        <w:rPr>
          <w:sz w:val="20"/>
          <w:szCs w:val="20"/>
          <w:color w:val="auto"/>
        </w:rPr>
      </w:pPr>
      <w:r>
        <w:rPr>
          <w:rFonts w:ascii="Arial" w:cs="Arial" w:eastAsia="Arial" w:hAnsi="Arial"/>
          <w:sz w:val="18"/>
          <w:szCs w:val="18"/>
          <w:b w:val="1"/>
          <w:bCs w:val="1"/>
          <w:color w:val="auto"/>
        </w:rPr>
        <w:t>Special Notes:</w:t>
      </w:r>
    </w:p>
    <w:p>
      <w:pPr>
        <w:spacing w:after="0" w:line="224" w:lineRule="exact"/>
        <w:rPr>
          <w:sz w:val="20"/>
          <w:szCs w:val="20"/>
          <w:color w:val="auto"/>
        </w:rPr>
      </w:pPr>
    </w:p>
    <w:p>
      <w:pPr>
        <w:jc w:val="both"/>
        <w:ind w:left="320"/>
        <w:spacing w:after="0" w:line="274" w:lineRule="auto"/>
        <w:rPr>
          <w:sz w:val="20"/>
          <w:szCs w:val="20"/>
          <w:color w:val="auto"/>
        </w:rPr>
      </w:pPr>
      <w:r>
        <w:rPr>
          <w:rFonts w:ascii="Arial" w:cs="Arial" w:eastAsia="Arial" w:hAnsi="Arial"/>
          <w:sz w:val="17"/>
          <w:szCs w:val="17"/>
          <w:color w:val="auto"/>
        </w:rPr>
        <w:t>All terms and conditions of this Agreement (including attachments) have been fully negotiated by both parties. Party A has requested Party B to pay special attention to the clauses concerning Exemption or limitation of Party A’s liability, Party A’s unilateral possession of certain rights, increase of Party B’s liability or limitation of Party B’s rights, and make a comprehensive and accurate understanding of them. Party A has made corresponding explanation for the above terms at the request of Party B. All parties have the same understanding of the terms of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content hereinafter contains no main text)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the signature column of the credit agreement No. 121xy2019029438)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284480</wp:posOffset>
            </wp:positionV>
            <wp:extent cx="2592705" cy="15163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2592705"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(This page is the signature page for the (Credit Granting Agreement) numbered (5202180601))</w:t>
      </w:r>
    </w:p>
    <w:p>
      <w:pPr>
        <w:spacing w:after="0" w:line="22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Party A:</w:t>
      </w:r>
      <w:r>
        <w:rPr>
          <w:sz w:val="20"/>
          <w:szCs w:val="20"/>
          <w:color w:val="auto"/>
        </w:rPr>
        <w:tab/>
      </w:r>
      <w:r>
        <w:rPr>
          <w:rFonts w:ascii="Arial" w:cs="Arial" w:eastAsia="Arial" w:hAnsi="Arial"/>
          <w:sz w:val="16"/>
          <w:szCs w:val="16"/>
          <w:color w:val="auto"/>
        </w:rPr>
        <w:t>(seal)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Person in charge or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Bank Co., Ltd., Shanghai Century Avenue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1982470" cy="12877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1982470" cy="128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Party B:</w:t>
      </w:r>
      <w:r>
        <w:rPr>
          <w:sz w:val="20"/>
          <w:szCs w:val="20"/>
          <w:color w:val="auto"/>
        </w:rPr>
        <w:tab/>
      </w:r>
      <w:r>
        <w:rPr>
          <w:rFonts w:ascii="Arial" w:cs="Arial" w:eastAsia="Arial" w:hAnsi="Arial"/>
          <w:sz w:val="16"/>
          <w:szCs w:val="16"/>
          <w:color w:val="auto"/>
        </w:rPr>
        <w:t>(seal)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representative/person in charge or the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Signed on: December 17, 2019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Signed in: Pudong New Area, Shanghai</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Raymond Ming Hui Lin, certify that:</w:t>
      </w:r>
    </w:p>
    <w:p>
      <w:pPr>
        <w:spacing w:after="0" w:line="220" w:lineRule="exact"/>
        <w:rPr>
          <w:sz w:val="20"/>
          <w:szCs w:val="20"/>
          <w:color w:val="auto"/>
        </w:rPr>
      </w:pPr>
    </w:p>
    <w:p>
      <w:pPr>
        <w:ind w:left="320" w:hanging="313"/>
        <w:spacing w:after="0"/>
        <w:tabs>
          <w:tab w:leader="none" w:pos="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19" w:lineRule="exact"/>
        <w:rPr>
          <w:rFonts w:ascii="Arial" w:cs="Arial" w:eastAsia="Arial" w:hAnsi="Arial"/>
          <w:sz w:val="18"/>
          <w:szCs w:val="18"/>
          <w:color w:val="auto"/>
        </w:rPr>
      </w:pPr>
    </w:p>
    <w:p>
      <w:pPr>
        <w:ind w:left="320" w:hanging="313"/>
        <w:spacing w:after="0" w:line="333" w:lineRule="auto"/>
        <w:tabs>
          <w:tab w:leader="none" w:pos="3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20" w:hanging="313"/>
        <w:spacing w:after="0" w:line="270" w:lineRule="auto"/>
        <w:tabs>
          <w:tab w:leader="none" w:pos="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3"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ind w:left="640" w:hanging="313"/>
        <w:spacing w:after="0" w:line="300" w:lineRule="auto"/>
        <w:tabs>
          <w:tab w:leader="none" w:pos="6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7"/>
          <w:szCs w:val="17"/>
          <w:color w:val="auto"/>
        </w:rPr>
      </w:pPr>
    </w:p>
    <w:p>
      <w:pPr>
        <w:ind w:left="640" w:hanging="313"/>
        <w:spacing w:after="0" w:line="333" w:lineRule="auto"/>
        <w:tabs>
          <w:tab w:leader="none" w:pos="6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6"/>
          <w:szCs w:val="16"/>
          <w:color w:val="auto"/>
        </w:rPr>
      </w:pPr>
    </w:p>
    <w:p>
      <w:pPr>
        <w:ind w:left="320" w:hanging="313"/>
        <w:spacing w:after="0" w:line="300" w:lineRule="auto"/>
        <w:tabs>
          <w:tab w:leader="none" w:pos="3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1"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r>
              <w:rPr>
                <w:rFonts w:ascii="Arial" w:cs="Arial" w:eastAsia="Arial" w:hAnsi="Arial"/>
                <w:sz w:val="18"/>
                <w:szCs w:val="18"/>
                <w:color w:val="auto"/>
              </w:rPr>
              <w:t>Date: October 22, 2020</w:t>
            </w:r>
          </w:p>
        </w:tc>
        <w:tc>
          <w:tcPr>
            <w:tcW w:w="3100" w:type="dxa"/>
            <w:vAlign w:val="bottom"/>
          </w:tcPr>
          <w:p>
            <w:pPr>
              <w:ind w:left="25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199"/>
        </w:trPr>
        <w:tc>
          <w:tcPr>
            <w:tcW w:w="4220" w:type="dxa"/>
            <w:vAlign w:val="bottom"/>
          </w:tcPr>
          <w:p>
            <w:pPr>
              <w:spacing w:after="0"/>
              <w:rPr>
                <w:sz w:val="17"/>
                <w:szCs w:val="17"/>
                <w:color w:val="auto"/>
              </w:rPr>
            </w:pPr>
          </w:p>
        </w:tc>
        <w:tc>
          <w:tcPr>
            <w:tcW w:w="3100" w:type="dxa"/>
            <w:vAlign w:val="bottom"/>
          </w:tcPr>
          <w:p>
            <w:pPr>
              <w:ind w:left="2540"/>
              <w:spacing w:after="0" w:line="199"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9" w:lineRule="exact"/>
              <w:rPr>
                <w:sz w:val="20"/>
                <w:szCs w:val="20"/>
                <w:color w:val="auto"/>
              </w:rPr>
            </w:pPr>
            <w:r>
              <w:rPr>
                <w:rFonts w:ascii="Arial" w:cs="Arial" w:eastAsia="Arial" w:hAnsi="Arial"/>
                <w:sz w:val="18"/>
                <w:szCs w:val="18"/>
                <w:color w:val="auto"/>
              </w:rPr>
              <w:t>Raymond Ming Hui Lin</w:t>
            </w:r>
          </w:p>
        </w:tc>
      </w:tr>
      <w:tr>
        <w:trPr>
          <w:trHeight w:val="213"/>
        </w:trPr>
        <w:tc>
          <w:tcPr>
            <w:tcW w:w="4220" w:type="dxa"/>
            <w:vAlign w:val="bottom"/>
          </w:tcPr>
          <w:p>
            <w:pPr>
              <w:spacing w:after="0"/>
              <w:rPr>
                <w:sz w:val="18"/>
                <w:szCs w:val="18"/>
                <w:color w:val="auto"/>
              </w:rPr>
            </w:pPr>
          </w:p>
        </w:tc>
        <w:tc>
          <w:tcPr>
            <w:tcW w:w="3100" w:type="dxa"/>
            <w:vAlign w:val="bottom"/>
          </w:tcPr>
          <w:p>
            <w:pPr>
              <w:ind w:left="25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6"/>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Rui Yang, certify that:</w:t>
      </w:r>
    </w:p>
    <w:p>
      <w:pPr>
        <w:spacing w:after="0" w:line="220" w:lineRule="exact"/>
        <w:rPr>
          <w:sz w:val="20"/>
          <w:szCs w:val="20"/>
          <w:color w:val="auto"/>
        </w:rPr>
      </w:pPr>
    </w:p>
    <w:p>
      <w:pPr>
        <w:ind w:left="320" w:hanging="313"/>
        <w:spacing w:after="0"/>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19" w:lineRule="exact"/>
        <w:rPr>
          <w:rFonts w:ascii="Arial" w:cs="Arial" w:eastAsia="Arial" w:hAnsi="Arial"/>
          <w:sz w:val="18"/>
          <w:szCs w:val="18"/>
          <w:color w:val="auto"/>
        </w:rPr>
      </w:pPr>
    </w:p>
    <w:p>
      <w:pPr>
        <w:ind w:left="320" w:hanging="313"/>
        <w:spacing w:after="0" w:line="333" w:lineRule="auto"/>
        <w:tabs>
          <w:tab w:leader="none" w:pos="3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20" w:hanging="313"/>
        <w:spacing w:after="0" w:line="270" w:lineRule="auto"/>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3"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ind w:left="640" w:hanging="313"/>
        <w:spacing w:after="0" w:line="300" w:lineRule="auto"/>
        <w:tabs>
          <w:tab w:leader="none" w:pos="6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7"/>
          <w:szCs w:val="17"/>
          <w:color w:val="auto"/>
        </w:rPr>
      </w:pPr>
    </w:p>
    <w:p>
      <w:pPr>
        <w:ind w:left="640" w:hanging="313"/>
        <w:spacing w:after="0" w:line="333" w:lineRule="auto"/>
        <w:tabs>
          <w:tab w:leader="none" w:pos="6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6"/>
          <w:szCs w:val="16"/>
          <w:color w:val="auto"/>
        </w:rPr>
      </w:pPr>
    </w:p>
    <w:p>
      <w:pPr>
        <w:ind w:left="320" w:hanging="313"/>
        <w:spacing w:after="0" w:line="300" w:lineRule="auto"/>
        <w:tabs>
          <w:tab w:leader="none" w:pos="3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1"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r>
              <w:rPr>
                <w:rFonts w:ascii="Arial" w:cs="Arial" w:eastAsia="Arial" w:hAnsi="Arial"/>
                <w:sz w:val="18"/>
                <w:szCs w:val="18"/>
                <w:color w:val="auto"/>
              </w:rPr>
              <w:t>Date: October 22, 2020</w:t>
            </w:r>
          </w:p>
        </w:tc>
        <w:tc>
          <w:tcPr>
            <w:tcW w:w="3100" w:type="dxa"/>
            <w:vAlign w:val="bottom"/>
          </w:tcPr>
          <w:p>
            <w:pPr>
              <w:ind w:left="25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Rui Yang</w:t>
            </w:r>
          </w:p>
        </w:tc>
      </w:tr>
      <w:tr>
        <w:trPr>
          <w:trHeight w:val="199"/>
        </w:trPr>
        <w:tc>
          <w:tcPr>
            <w:tcW w:w="4220" w:type="dxa"/>
            <w:vAlign w:val="bottom"/>
          </w:tcPr>
          <w:p>
            <w:pPr>
              <w:spacing w:after="0"/>
              <w:rPr>
                <w:sz w:val="17"/>
                <w:szCs w:val="17"/>
                <w:color w:val="auto"/>
              </w:rPr>
            </w:pPr>
          </w:p>
        </w:tc>
        <w:tc>
          <w:tcPr>
            <w:tcW w:w="3100" w:type="dxa"/>
            <w:vAlign w:val="bottom"/>
          </w:tcPr>
          <w:p>
            <w:pPr>
              <w:ind w:left="2540"/>
              <w:spacing w:after="0" w:line="199"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9" w:lineRule="exact"/>
              <w:rPr>
                <w:sz w:val="20"/>
                <w:szCs w:val="20"/>
                <w:color w:val="auto"/>
              </w:rPr>
            </w:pPr>
            <w:r>
              <w:rPr>
                <w:rFonts w:ascii="Arial" w:cs="Arial" w:eastAsia="Arial" w:hAnsi="Arial"/>
                <w:sz w:val="18"/>
                <w:szCs w:val="18"/>
                <w:color w:val="auto"/>
              </w:rPr>
              <w:t>Rui Yang</w:t>
            </w:r>
          </w:p>
        </w:tc>
      </w:tr>
      <w:tr>
        <w:trPr>
          <w:trHeight w:val="213"/>
        </w:trPr>
        <w:tc>
          <w:tcPr>
            <w:tcW w:w="4220" w:type="dxa"/>
            <w:vAlign w:val="bottom"/>
          </w:tcPr>
          <w:p>
            <w:pPr>
              <w:spacing w:after="0"/>
              <w:rPr>
                <w:sz w:val="18"/>
                <w:szCs w:val="18"/>
                <w:color w:val="auto"/>
              </w:rPr>
            </w:pPr>
          </w:p>
        </w:tc>
        <w:tc>
          <w:tcPr>
            <w:tcW w:w="3100" w:type="dxa"/>
            <w:vAlign w:val="bottom"/>
          </w:tcPr>
          <w:p>
            <w:pPr>
              <w:ind w:left="25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Acting Chief Financial Officer</w:t>
            </w:r>
          </w:p>
        </w:tc>
      </w:tr>
      <w:tr>
        <w:trPr>
          <w:trHeight w:val="226"/>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13.1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2020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240" w:type="dxa"/>
            <w:vAlign w:val="bottom"/>
            <w:gridSpan w:val="2"/>
          </w:tcPr>
          <w:p>
            <w:pPr>
              <w:ind w:left="2760"/>
              <w:spacing w:after="0"/>
              <w:rPr>
                <w:sz w:val="20"/>
                <w:szCs w:val="20"/>
                <w:color w:val="auto"/>
              </w:rPr>
            </w:pPr>
            <w:r>
              <w:rPr>
                <w:rFonts w:ascii="Arial" w:cs="Arial" w:eastAsia="Arial" w:hAnsi="Arial"/>
                <w:sz w:val="18"/>
                <w:szCs w:val="18"/>
                <w:b w:val="1"/>
                <w:bCs w:val="1"/>
                <w:color w:val="auto"/>
              </w:rPr>
              <w:t>CLPS Incorporation</w:t>
            </w:r>
          </w:p>
        </w:tc>
      </w:tr>
      <w:tr>
        <w:trPr>
          <w:trHeight w:val="435"/>
        </w:trPr>
        <w:tc>
          <w:tcPr>
            <w:tcW w:w="4000" w:type="dxa"/>
            <w:vAlign w:val="bottom"/>
          </w:tcPr>
          <w:p>
            <w:pPr>
              <w:spacing w:after="0"/>
              <w:rPr>
                <w:sz w:val="20"/>
                <w:szCs w:val="20"/>
                <w:color w:val="auto"/>
              </w:rPr>
            </w:pPr>
            <w:r>
              <w:rPr>
                <w:rFonts w:ascii="Arial" w:cs="Arial" w:eastAsia="Arial" w:hAnsi="Arial"/>
                <w:sz w:val="18"/>
                <w:szCs w:val="18"/>
                <w:color w:val="auto"/>
              </w:rPr>
              <w:t>October 22, 2020</w:t>
            </w:r>
          </w:p>
        </w:tc>
        <w:tc>
          <w:tcPr>
            <w:tcW w:w="3320" w:type="dxa"/>
            <w:vAlign w:val="bottom"/>
          </w:tcPr>
          <w:p>
            <w:pPr>
              <w:ind w:left="2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199"/>
        </w:trPr>
        <w:tc>
          <w:tcPr>
            <w:tcW w:w="4000" w:type="dxa"/>
            <w:vAlign w:val="bottom"/>
          </w:tcPr>
          <w:p>
            <w:pPr>
              <w:spacing w:after="0"/>
              <w:rPr>
                <w:sz w:val="17"/>
                <w:szCs w:val="17"/>
                <w:color w:val="auto"/>
              </w:rPr>
            </w:pPr>
          </w:p>
        </w:tc>
        <w:tc>
          <w:tcPr>
            <w:tcW w:w="3320" w:type="dxa"/>
            <w:vAlign w:val="bottom"/>
          </w:tcPr>
          <w:p>
            <w:pPr>
              <w:ind w:left="2760"/>
              <w:spacing w:after="0" w:line="199"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9" w:lineRule="exact"/>
              <w:rPr>
                <w:sz w:val="20"/>
                <w:szCs w:val="20"/>
                <w:color w:val="auto"/>
              </w:rPr>
            </w:pPr>
            <w:r>
              <w:rPr>
                <w:rFonts w:ascii="Arial" w:cs="Arial" w:eastAsia="Arial" w:hAnsi="Arial"/>
                <w:sz w:val="18"/>
                <w:szCs w:val="18"/>
                <w:color w:val="auto"/>
              </w:rPr>
              <w:t>Raymond Ming Hui Lin</w:t>
            </w:r>
          </w:p>
        </w:tc>
      </w:tr>
      <w:tr>
        <w:trPr>
          <w:trHeight w:val="213"/>
        </w:trPr>
        <w:tc>
          <w:tcPr>
            <w:tcW w:w="4000" w:type="dxa"/>
            <w:vAlign w:val="bottom"/>
          </w:tcPr>
          <w:p>
            <w:pPr>
              <w:spacing w:after="0"/>
              <w:rPr>
                <w:sz w:val="18"/>
                <w:szCs w:val="18"/>
                <w:color w:val="auto"/>
              </w:rPr>
            </w:pPr>
          </w:p>
        </w:tc>
        <w:tc>
          <w:tcPr>
            <w:tcW w:w="3320" w:type="dxa"/>
            <w:vAlign w:val="bottom"/>
          </w:tcPr>
          <w:p>
            <w:pPr>
              <w:ind w:left="2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6"/>
        </w:trPr>
        <w:tc>
          <w:tcPr>
            <w:tcW w:w="4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5"/>
        </w:trPr>
        <w:tc>
          <w:tcPr>
            <w:tcW w:w="4000" w:type="dxa"/>
            <w:vAlign w:val="bottom"/>
          </w:tcPr>
          <w:p>
            <w:pPr>
              <w:spacing w:after="0"/>
              <w:rPr>
                <w:sz w:val="20"/>
                <w:szCs w:val="20"/>
                <w:color w:val="auto"/>
              </w:rPr>
            </w:pPr>
            <w:r>
              <w:rPr>
                <w:rFonts w:ascii="Arial" w:cs="Arial" w:eastAsia="Arial" w:hAnsi="Arial"/>
                <w:sz w:val="18"/>
                <w:szCs w:val="18"/>
                <w:color w:val="auto"/>
              </w:rPr>
              <w:t>October 22, 2020</w:t>
            </w:r>
          </w:p>
        </w:tc>
        <w:tc>
          <w:tcPr>
            <w:tcW w:w="3320" w:type="dxa"/>
            <w:vAlign w:val="bottom"/>
          </w:tcPr>
          <w:p>
            <w:pPr>
              <w:ind w:left="2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Rui Yang</w:t>
            </w:r>
          </w:p>
        </w:tc>
      </w:tr>
      <w:tr>
        <w:trPr>
          <w:trHeight w:val="199"/>
        </w:trPr>
        <w:tc>
          <w:tcPr>
            <w:tcW w:w="4000" w:type="dxa"/>
            <w:vAlign w:val="bottom"/>
          </w:tcPr>
          <w:p>
            <w:pPr>
              <w:spacing w:after="0"/>
              <w:rPr>
                <w:sz w:val="17"/>
                <w:szCs w:val="17"/>
                <w:color w:val="auto"/>
              </w:rPr>
            </w:pPr>
          </w:p>
        </w:tc>
        <w:tc>
          <w:tcPr>
            <w:tcW w:w="3320" w:type="dxa"/>
            <w:vAlign w:val="bottom"/>
          </w:tcPr>
          <w:p>
            <w:pPr>
              <w:ind w:left="2760"/>
              <w:spacing w:after="0" w:line="199"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9" w:lineRule="exact"/>
              <w:rPr>
                <w:sz w:val="20"/>
                <w:szCs w:val="20"/>
                <w:color w:val="auto"/>
              </w:rPr>
            </w:pPr>
            <w:r>
              <w:rPr>
                <w:rFonts w:ascii="Arial" w:cs="Arial" w:eastAsia="Arial" w:hAnsi="Arial"/>
                <w:sz w:val="18"/>
                <w:szCs w:val="18"/>
                <w:color w:val="auto"/>
              </w:rPr>
              <w:t>Rui Yang</w:t>
            </w:r>
          </w:p>
        </w:tc>
      </w:tr>
      <w:tr>
        <w:trPr>
          <w:trHeight w:val="213"/>
        </w:trPr>
        <w:tc>
          <w:tcPr>
            <w:tcW w:w="4000" w:type="dxa"/>
            <w:vAlign w:val="bottom"/>
          </w:tcPr>
          <w:p>
            <w:pPr>
              <w:spacing w:after="0"/>
              <w:rPr>
                <w:sz w:val="18"/>
                <w:szCs w:val="18"/>
                <w:color w:val="auto"/>
              </w:rPr>
            </w:pPr>
          </w:p>
        </w:tc>
        <w:tc>
          <w:tcPr>
            <w:tcW w:w="3320" w:type="dxa"/>
            <w:vAlign w:val="bottom"/>
          </w:tcPr>
          <w:p>
            <w:pPr>
              <w:ind w:left="2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Acting Chief Financial Officer</w:t>
            </w:r>
          </w:p>
        </w:tc>
      </w:tr>
      <w:tr>
        <w:trPr>
          <w:trHeight w:val="226"/>
        </w:trPr>
        <w:tc>
          <w:tcPr>
            <w:tcW w:w="4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328" w:name="page329"/>
    <w:bookmarkEnd w:id="328"/>
    <w:p>
      <w:pPr>
        <w:ind w:left="10140"/>
        <w:spacing w:after="0"/>
        <w:rPr>
          <w:sz w:val="20"/>
          <w:szCs w:val="20"/>
          <w:color w:val="auto"/>
        </w:rPr>
      </w:pPr>
      <w:r>
        <w:rPr>
          <w:rFonts w:ascii="Arial" w:cs="Arial" w:eastAsia="Arial" w:hAnsi="Arial"/>
          <w:sz w:val="19"/>
          <w:szCs w:val="19"/>
          <w:b w:val="1"/>
          <w:bCs w:val="1"/>
          <w:color w:val="auto"/>
        </w:rPr>
        <w:t>Exhibit 21.1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b w:val="1"/>
                <w:bCs w:val="1"/>
                <w:color w:val="auto"/>
              </w:rPr>
              <w:t>Name of the Entity</w:t>
            </w:r>
          </w:p>
        </w:tc>
        <w:tc>
          <w:tcPr>
            <w:tcW w:w="50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Jurisdiction</w:t>
            </w:r>
          </w:p>
        </w:tc>
      </w:tr>
      <w:tr>
        <w:trPr>
          <w:trHeight w:val="213"/>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Qinheng Co., Limited</w:t>
            </w:r>
          </w:p>
        </w:tc>
        <w:tc>
          <w:tcPr>
            <w:tcW w:w="2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Qiner Co., Limited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CLIVST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British Virgin Islands</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FDT-CL Financial Technology Services Limited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JQ Technology Co., Limited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Hong Kong</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JIALIN Technology Limited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Taiwan</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ChinaLink Professional Services Co.,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Dalian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CLPS Ruicheng Co.,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Beijing Hengtong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Judge (Shanghai) Co.,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Judge (Shanghai) Human Resource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CLPS-Ridik Technology (Australia) Pty.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Australia</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Technology (Singapore) Pte.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Singapore</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CLPS Technology (HK) Co.,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Shenzhen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Tianjin Huanyu Qinshang Network Technology Co.,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Guangzhou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CLPS Technology (US)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Delware</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Technology (California) Inc.</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Infogain Solutions PTE.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Singapore</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CLPS Hangzhou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Ridik Pte.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Singapore</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Ridik Consulting Private Limited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Ridik Sdn. Bhd.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Malaysia</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Ridik Software Solutions Pte.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Singapore</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Ridik Software Solutions Ltd.</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UK</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Suzhou Ridik Information Technology Co., Ltd.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CLPS Technology Japan</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Japan</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Qinson Credit Card Services Limited</w:t>
            </w: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240"/>
          </w:cols>
          <w:pgMar w:left="320" w:top="111"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consent to the incorporation by reference in the Post-Effective Amendment No. 1 to Registration Statement (Form S-8 No. 333-226110) and Registration Statement (Form S-8 No. 333-226110) pertaining to the 2017 Equity Incentive Plan, Registration Statement (Form S-8 No. 333-231103) pertaining to the 2019 Equity Incentive Plan, Amendment No. 1 to Registration Statement (Form F-3 No. 333-231812) and Registration Statement (Form F-3 No. 333-231812), and Registration Statement (Form S-8 No. 333-237846) pertaining to the 2020 Equity Incentive Plan of CLPS Incorporation of our report dated October 22, 2020, with respect to the consolidated financial statements of CLPS Incorporation, included in this Annual Report (on Form 20-F) for the year ended June 30,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October 22, 2020</w:t>
      </w:r>
    </w:p>
    <w:p>
      <w:pPr>
        <w:sectPr>
          <w:pgSz w:w="11900" w:h="16838" w:orient="portrait"/>
          <w:cols w:equalWidth="0" w:num="1">
            <w:col w:w="11240"/>
          </w:cols>
          <w:pgMar w:left="320" w:top="121" w:right="339" w:bottom="1440" w:gutter="0" w:footer="0" w:header="0"/>
        </w:sectPr>
      </w:pPr>
    </w:p>
    <w:bookmarkStart w:id="330" w:name="page331"/>
    <w:bookmarkEnd w:id="330"/>
    <w:p>
      <w:pPr>
        <w:ind w:left="10320"/>
        <w:spacing w:after="0"/>
        <w:rPr>
          <w:sz w:val="20"/>
          <w:szCs w:val="20"/>
          <w:color w:val="auto"/>
        </w:rPr>
      </w:pPr>
      <w:r>
        <w:rPr>
          <w:rFonts w:ascii="Arial" w:cs="Arial" w:eastAsia="Arial" w:hAnsi="Arial"/>
          <w:sz w:val="16"/>
          <w:szCs w:val="16"/>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2940050" cy="4489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2940050" cy="44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 to the Amendment No. 1 to Form F-3 (No. 333-231812), Form F-3 (No. 333-231812), Post-Effective Amendment No. 1 to Form S-8 (No. 333-226110) and Registration Statement (Form S-8 No. 333-226110) pertaining to the 2017 Equity Incentive Plan, Form S-8 (No. 333-231103) of CLPS Incorporation and subsidiaries (the “Company”) as of our report dated September 25, 2018 with respect to the consolidated financial statements of CLPS Incorporation and subsidiaries included in its Annual Report on Form 20-F for the fiscal year ended June 30, 2018, filed with the Securities and Exchange Commission on September 25, 2018. We also consent to the reference to our firm under the wording “Experts” in such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547370</wp:posOffset>
            </wp:positionV>
            <wp:extent cx="5464810" cy="3727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5464810" cy="3727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lvl w:ilvl="1">
      <w:lvlJc w:val="left"/>
      <w:lvlText w:val="☒"/>
      <w:numFmt w:val="bullet"/>
      <w:start w:val="1"/>
    </w:lvl>
  </w:abstractNum>
  <w:abstractNum w:abstractNumId="1">
    <w:nsid w:val="59ADEA3D"/>
    <w:multiLevelType w:val="hybridMultilevel"/>
    <w:lvl w:ilvl="0">
      <w:lvlJc w:val="left"/>
      <w:lvlText w:val="☐"/>
      <w:numFmt w:val="bullet"/>
      <w:start w:val="1"/>
    </w:lvl>
    <w:lvl w:ilvl="1">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1."/>
      <w:numFmt w:val="upperLetter"/>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1)"/>
      <w:numFmt w:val="decimal"/>
      <w:start w:val="1"/>
    </w:lvl>
  </w:abstractNum>
  <w:abstractNum w:abstractNumId="7">
    <w:nsid w:val="1CA0C5FA"/>
    <w:multiLevelType w:val="hybridMultilevel"/>
    <w:lvl w:ilvl="0">
      <w:lvlJc w:val="left"/>
      <w:lvlText w:val="%1."/>
      <w:numFmt w:val="upperLetter"/>
      <w:start w:val="3"/>
    </w:lvl>
  </w:abstractNum>
  <w:abstractNum w:abstractNumId="8">
    <w:nsid w:val="53584BCB"/>
    <w:multiLevelType w:val="hybridMultilevel"/>
    <w:lvl w:ilvl="0">
      <w:lvlJc w:val="left"/>
      <w:lvlText w:val="%1."/>
      <w:numFmt w:val="upperLetter"/>
      <w:start w:val="4"/>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
      <w:numFmt w:val="bullet"/>
      <w:start w:val="1"/>
    </w:lvl>
  </w:abstractNum>
  <w:abstractNum w:abstractNumId="21">
    <w:nsid w:val="379E21B5"/>
    <w:multiLevelType w:val="hybridMultilevel"/>
    <w:lvl w:ilvl="0">
      <w:lvlJc w:val="left"/>
      <w:lvlText w:val="%1."/>
      <w:numFmt w:val="upperLetter"/>
      <w:start w:val="1"/>
    </w:lvl>
  </w:abstractNum>
  <w:abstractNum w:abstractNumId="22">
    <w:nsid w:val="69E373"/>
    <w:multiLevelType w:val="hybridMultilevel"/>
    <w:lvl w:ilvl="0">
      <w:lvlJc w:val="left"/>
      <w:lvlText w:val="●"/>
      <w:numFmt w:val="bullet"/>
      <w:start w:val="1"/>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
      <w:numFmt w:val="bullet"/>
      <w:start w:val="1"/>
    </w:lvl>
  </w:abstractNum>
  <w:abstractNum w:abstractNumId="25">
    <w:nsid w:val="6AA7B75C"/>
    <w:multiLevelType w:val="hybridMultilevel"/>
    <w:lvl w:ilvl="0">
      <w:lvlJc w:val="left"/>
      <w:lvlText w:val="%1."/>
      <w:numFmt w:val="upperLetter"/>
      <w:start w:val="2"/>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
      <w:numFmt w:val="bullet"/>
      <w:start w:val="1"/>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1."/>
      <w:numFmt w:val="decimal"/>
      <w:start w:val="2"/>
    </w:lvl>
    <w:lvl w:ilvl="1">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1."/>
      <w:numFmt w:val="upperLetter"/>
      <w:start w:val="1"/>
    </w:lvl>
  </w:abstractNum>
  <w:abstractNum w:abstractNumId="35">
    <w:nsid w:val="34FD6B4F"/>
    <w:multiLevelType w:val="hybridMultilevel"/>
    <w:lvl w:ilvl="0">
      <w:lvlJc w:val="left"/>
      <w:lvlText w:val="(%1)"/>
      <w:numFmt w:val="decimal"/>
      <w:start w:val="1"/>
    </w:lvl>
  </w:abstractNum>
  <w:abstractNum w:abstractNumId="36">
    <w:nsid w:val="5915FF32"/>
    <w:multiLevelType w:val="hybridMultilevel"/>
    <w:lvl w:ilvl="0">
      <w:lvlJc w:val="left"/>
      <w:lvlText w:val="&amp;"/>
      <w:numFmt w:val="bullet"/>
      <w:start w:val="1"/>
    </w:lvl>
  </w:abstractNum>
  <w:abstractNum w:abstractNumId="37">
    <w:nsid w:val="56438D15"/>
    <w:multiLevelType w:val="hybridMultilevel"/>
    <w:lvl w:ilvl="0">
      <w:lvlJc w:val="left"/>
      <w:lvlText w:val="(%1)"/>
      <w:numFmt w:val="decimal"/>
      <w:start w:val="1"/>
    </w:lvl>
  </w:abstractNum>
  <w:abstractNum w:abstractNumId="38">
    <w:nsid w:val="519E3149"/>
    <w:multiLevelType w:val="hybridMultilevel"/>
    <w:lvl w:ilvl="0">
      <w:lvlJc w:val="left"/>
      <w:lvlText w:val="%1."/>
      <w:numFmt w:val="upperLetter"/>
      <w:start w:val="3"/>
    </w:lvl>
  </w:abstractNum>
  <w:abstractNum w:abstractNumId="39">
    <w:nsid w:val="2C6E4AFD"/>
    <w:multiLevelType w:val="hybridMultilevel"/>
    <w:lvl w:ilvl="0">
      <w:lvlJc w:val="left"/>
      <w:lvlText w:val="●"/>
      <w:numFmt w:val="bullet"/>
      <w:start w:val="1"/>
    </w:lvl>
  </w:abstractNum>
  <w:abstractNum w:abstractNumId="40">
    <w:nsid w:val="17A1B582"/>
    <w:multiLevelType w:val="hybridMultilevel"/>
    <w:lvl w:ilvl="0">
      <w:lvlJc w:val="left"/>
      <w:lvlText w:val="●"/>
      <w:numFmt w:val="bullet"/>
      <w:start w:val="1"/>
    </w:lvl>
  </w:abstractNum>
  <w:abstractNum w:abstractNumId="41">
    <w:nsid w:val="4DF72E4E"/>
    <w:multiLevelType w:val="hybridMultilevel"/>
    <w:lvl w:ilvl="0">
      <w:lvlJc w:val="left"/>
      <w:lvlText w:val="●"/>
      <w:numFmt w:val="bullet"/>
      <w:start w:val="1"/>
    </w:lvl>
  </w:abstractNum>
  <w:abstractNum w:abstractNumId="42">
    <w:nsid w:val="5046B5A9"/>
    <w:multiLevelType w:val="hybridMultilevel"/>
    <w:lvl w:ilvl="0">
      <w:lvlJc w:val="left"/>
      <w:lvlText w:val="●"/>
      <w:numFmt w:val="bullet"/>
      <w:start w:val="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1."/>
      <w:numFmt w:val="upperLetter"/>
      <w:start w:val="4"/>
    </w:lvl>
  </w:abstractNum>
  <w:abstractNum w:abstractNumId="45">
    <w:nsid w:val="5EC6AFD4"/>
    <w:multiLevelType w:val="hybridMultilevel"/>
    <w:lvl w:ilvl="0">
      <w:lvlJc w:val="left"/>
      <w:lvlText w:val="%1."/>
      <w:numFmt w:val="upperLetter"/>
      <w:start w:val="5"/>
    </w:lvl>
  </w:abstractNum>
  <w:abstractNum w:abstractNumId="46">
    <w:nsid w:val="19E21BB2"/>
    <w:multiLevelType w:val="hybridMultilevel"/>
    <w:lvl w:ilvl="0">
      <w:lvlJc w:val="left"/>
      <w:lvlText w:val="%1."/>
      <w:numFmt w:val="upperLetter"/>
      <w:start w:val="1"/>
    </w:lvl>
  </w:abstractNum>
  <w:abstractNum w:abstractNumId="47">
    <w:nsid w:val="75E0858A"/>
    <w:multiLevelType w:val="hybridMultilevel"/>
    <w:lvl w:ilvl="0">
      <w:lvlJc w:val="left"/>
      <w:lvlText w:val="(%1)"/>
      <w:numFmt w:val="decimal"/>
      <w:start w:val="1"/>
    </w:lvl>
  </w:abstractNum>
  <w:abstractNum w:abstractNumId="48">
    <w:nsid w:val="57A61A29"/>
    <w:multiLevelType w:val="hybridMultilevel"/>
    <w:lvl w:ilvl="0">
      <w:lvlJc w:val="left"/>
      <w:lvlText w:val="%1."/>
      <w:numFmt w:val="upperLetter"/>
      <w:start w:val="2"/>
    </w:lvl>
  </w:abstractNum>
  <w:abstractNum w:abstractNumId="49">
    <w:nsid w:val="5399C654"/>
    <w:multiLevelType w:val="hybridMultilevel"/>
    <w:lvl w:ilvl="0">
      <w:lvlJc w:val="left"/>
      <w:lvlText w:val="(%1)"/>
      <w:numFmt w:val="lowerLetter"/>
      <w:start w:val="1"/>
    </w:lvl>
  </w:abstractNum>
  <w:abstractNum w:abstractNumId="50">
    <w:nsid w:val="20EE1348"/>
    <w:multiLevelType w:val="hybridMultilevel"/>
    <w:lvl w:ilvl="0">
      <w:lvlJc w:val="left"/>
      <w:lvlText w:val="(%1)"/>
      <w:numFmt w:val="lowerLetter"/>
      <w:start w:val="2"/>
    </w:lvl>
  </w:abstractNum>
  <w:abstractNum w:abstractNumId="51">
    <w:nsid w:val="4427069A"/>
    <w:multiLevelType w:val="hybridMultilevel"/>
    <w:lvl w:ilvl="0">
      <w:lvlJc w:val="left"/>
      <w:lvlText w:val="%1)"/>
      <w:numFmt w:val="lowerLetter"/>
      <w:start w:val="2"/>
    </w:lvl>
  </w:abstractNum>
  <w:abstractNum w:abstractNumId="52">
    <w:nsid w:val="B37E80A"/>
    <w:multiLevelType w:val="hybridMultilevel"/>
    <w:lvl w:ilvl="0">
      <w:lvlJc w:val="left"/>
      <w:lvlText w:val="%1)"/>
      <w:numFmt w:val="lowerLetter"/>
      <w:start w:val="4"/>
    </w:lvl>
  </w:abstractNum>
  <w:abstractNum w:abstractNumId="53">
    <w:nsid w:val="2157F6BC"/>
    <w:multiLevelType w:val="hybridMultilevel"/>
    <w:lvl w:ilvl="0">
      <w:lvlJc w:val="left"/>
      <w:lvlText w:val="%1)"/>
      <w:numFmt w:val="lowerLetter"/>
      <w:start w:val="5"/>
    </w:lvl>
  </w:abstractNum>
  <w:abstractNum w:abstractNumId="54">
    <w:nsid w:val="704E1DD5"/>
    <w:multiLevelType w:val="hybridMultilevel"/>
    <w:lvl w:ilvl="0">
      <w:lvlJc w:val="left"/>
      <w:lvlText w:val="%1."/>
      <w:numFmt w:val="upperLetter"/>
      <w:start w:val="3"/>
    </w:lvl>
  </w:abstractNum>
  <w:abstractNum w:abstractNumId="55">
    <w:nsid w:val="57D2F10E"/>
    <w:multiLevelType w:val="hybridMultilevel"/>
    <w:lvl w:ilvl="0">
      <w:lvlJc w:val="left"/>
      <w:lvlText w:val="%1."/>
      <w:numFmt w:val="upperLetter"/>
      <w:start w:val="1"/>
    </w:lvl>
  </w:abstractNum>
  <w:abstractNum w:abstractNumId="56">
    <w:nsid w:val="BFFAE18"/>
    <w:multiLevelType w:val="hybridMultilevel"/>
    <w:lvl w:ilvl="0">
      <w:lvlJc w:val="left"/>
      <w:lvlText w:val="%1."/>
      <w:numFmt w:val="upperLetter"/>
      <w:start w:val="2"/>
    </w:lvl>
  </w:abstractNum>
  <w:abstractNum w:abstractNumId="57">
    <w:nsid w:val="E3E47A8"/>
    <w:multiLevelType w:val="hybridMultilevel"/>
    <w:lvl w:ilvl="0">
      <w:lvlJc w:val="left"/>
      <w:lvlText w:val="%1."/>
      <w:numFmt w:val="upperLetter"/>
      <w:start w:val="1"/>
    </w:lvl>
  </w:abstractNum>
  <w:abstractNum w:abstractNumId="58">
    <w:nsid w:val="2E48F044"/>
    <w:multiLevelType w:val="hybridMultilevel"/>
    <w:lvl w:ilvl="0">
      <w:lvlJc w:val="left"/>
      <w:lvlText w:val="%1."/>
      <w:numFmt w:val="upperLetter"/>
      <w:start w:val="2"/>
    </w:lvl>
  </w:abstractNum>
  <w:abstractNum w:abstractNumId="59">
    <w:nsid w:val="49D0FEAC"/>
    <w:multiLevelType w:val="hybridMultilevel"/>
    <w:lvl w:ilvl="0">
      <w:lvlJc w:val="left"/>
      <w:lvlText w:val="%1."/>
      <w:numFmt w:val="upperLetter"/>
      <w:start w:val="3"/>
    </w:lvl>
  </w:abstractNum>
  <w:abstractNum w:abstractNumId="60">
    <w:nsid w:val="4BEE5A5B"/>
    <w:multiLevelType w:val="hybridMultilevel"/>
    <w:lvl w:ilvl="0">
      <w:lvlJc w:val="left"/>
      <w:lvlText w:val="%1."/>
      <w:numFmt w:val="upperLetter"/>
      <w:start w:val="4"/>
    </w:lvl>
  </w:abstractNum>
  <w:abstractNum w:abstractNumId="61">
    <w:nsid w:val="5551B9F3"/>
    <w:multiLevelType w:val="hybridMultilevel"/>
    <w:lvl w:ilvl="0">
      <w:lvlJc w:val="left"/>
      <w:lvlText w:val="%1."/>
      <w:numFmt w:val="upperLetter"/>
      <w:start w:val="5"/>
    </w:lvl>
  </w:abstractNum>
  <w:abstractNum w:abstractNumId="62">
    <w:nsid w:val="24F6AB8E"/>
    <w:multiLevelType w:val="hybridMultilevel"/>
    <w:lvl w:ilvl="0">
      <w:lvlJc w:val="left"/>
      <w:lvlText w:val="%1."/>
      <w:numFmt w:val="upperLetter"/>
      <w:start w:val="6"/>
    </w:lvl>
  </w:abstractNum>
  <w:abstractNum w:abstractNumId="63">
    <w:nsid w:val="634C574C"/>
    <w:multiLevelType w:val="hybridMultilevel"/>
    <w:lvl w:ilvl="0">
      <w:lvlJc w:val="left"/>
      <w:lvlText w:val="%1."/>
      <w:numFmt w:val="upperLetter"/>
      <w:start w:val="1"/>
    </w:lvl>
  </w:abstractNum>
  <w:abstractNum w:abstractNumId="64">
    <w:nsid w:val="24E99DD7"/>
    <w:multiLevelType w:val="hybridMultilevel"/>
    <w:lvl w:ilvl="0">
      <w:lvlJc w:val="left"/>
      <w:lvlText w:val="%1."/>
      <w:numFmt w:val="upperLetter"/>
      <w:start w:val="2"/>
    </w:lvl>
  </w:abstractNum>
  <w:abstractNum w:abstractNumId="65">
    <w:nsid w:val="2A31B62D"/>
    <w:multiLevelType w:val="hybridMultilevel"/>
    <w:lvl w:ilvl="0">
      <w:lvlJc w:val="left"/>
      <w:lvlText w:val="%1."/>
      <w:numFmt w:val="upperLetter"/>
      <w:start w:val="3"/>
    </w:lvl>
  </w:abstractNum>
  <w:abstractNum w:abstractNumId="66">
    <w:nsid w:val="1849C29B"/>
    <w:multiLevelType w:val="hybridMultilevel"/>
    <w:lvl w:ilvl="0">
      <w:lvlJc w:val="left"/>
      <w:lvlText w:val="%1."/>
      <w:numFmt w:val="upperLetter"/>
      <w:start w:val="4"/>
    </w:lvl>
  </w:abstractNum>
  <w:abstractNum w:abstractNumId="67">
    <w:nsid w:val="7DFF9D09"/>
    <w:multiLevelType w:val="hybridMultilevel"/>
    <w:lvl w:ilvl="0">
      <w:lvlJc w:val="left"/>
      <w:lvlText w:val="%1."/>
      <w:numFmt w:val="upperLetter"/>
      <w:start w:val="5"/>
    </w:lvl>
  </w:abstractNum>
  <w:abstractNum w:abstractNumId="68">
    <w:nsid w:val="754342"/>
    <w:multiLevelType w:val="hybridMultilevel"/>
    <w:lvl w:ilvl="0">
      <w:lvlJc w:val="left"/>
      <w:lvlText w:val="●"/>
      <w:numFmt w:val="bullet"/>
      <w:start w:val="1"/>
    </w:lvl>
  </w:abstractNum>
  <w:abstractNum w:abstractNumId="69">
    <w:nsid w:val="69E7F3E5"/>
    <w:multiLevelType w:val="hybridMultilevel"/>
    <w:lvl w:ilvl="0">
      <w:lvlJc w:val="left"/>
      <w:lvlText w:val="●"/>
      <w:numFmt w:val="bullet"/>
      <w:start w:val="1"/>
    </w:lvl>
  </w:abstractNum>
  <w:abstractNum w:abstractNumId="70">
    <w:nsid w:val="2A6DE806"/>
    <w:multiLevelType w:val="hybridMultilevel"/>
    <w:lvl w:ilvl="0">
      <w:lvlJc w:val="left"/>
      <w:lvlText w:val="●"/>
      <w:numFmt w:val="bullet"/>
      <w:start w:val="1"/>
    </w:lvl>
  </w:abstractNum>
  <w:abstractNum w:abstractNumId="71">
    <w:nsid w:val="1816F8C4"/>
    <w:multiLevelType w:val="hybridMultilevel"/>
    <w:lvl w:ilvl="0">
      <w:lvlJc w:val="left"/>
      <w:lvlText w:val="●"/>
      <w:numFmt w:val="bullet"/>
      <w:start w:val="1"/>
    </w:lvl>
  </w:abstractNum>
  <w:abstractNum w:abstractNumId="72">
    <w:nsid w:val="37DF2233"/>
    <w:multiLevelType w:val="hybridMultilevel"/>
    <w:lvl w:ilvl="0">
      <w:lvlJc w:val="left"/>
      <w:lvlText w:val="●"/>
      <w:numFmt w:val="bullet"/>
      <w:start w:val="1"/>
    </w:lvl>
  </w:abstractNum>
  <w:abstractNum w:abstractNumId="73">
    <w:nsid w:val="7AB49DAF"/>
    <w:multiLevelType w:val="hybridMultilevel"/>
    <w:lvl w:ilvl="0">
      <w:lvlJc w:val="left"/>
      <w:lvlText w:val="●"/>
      <w:numFmt w:val="bullet"/>
      <w:start w:val="1"/>
    </w:lvl>
  </w:abstractNum>
  <w:abstractNum w:abstractNumId="74">
    <w:nsid w:val="759F82CD"/>
    <w:multiLevelType w:val="hybridMultilevel"/>
    <w:lvl w:ilvl="0">
      <w:lvlJc w:val="left"/>
      <w:lvlText w:val="%1."/>
      <w:numFmt w:val="upperLetter"/>
      <w:start w:val="6"/>
    </w:lvl>
  </w:abstractNum>
  <w:abstractNum w:abstractNumId="75">
    <w:nsid w:val="61E74EA3"/>
    <w:multiLevelType w:val="hybridMultilevel"/>
    <w:lvl w:ilvl="0">
      <w:lvlJc w:val="left"/>
      <w:lvlText w:val="%1."/>
      <w:numFmt w:val="upperLetter"/>
      <w:start w:val="7"/>
    </w:lvl>
  </w:abstractNum>
  <w:abstractNum w:abstractNumId="76">
    <w:nsid w:val="597B4D84"/>
    <w:multiLevelType w:val="hybridMultilevel"/>
    <w:lvl w:ilvl="0">
      <w:lvlJc w:val="left"/>
      <w:lvlText w:val="%1."/>
      <w:numFmt w:val="upperLetter"/>
      <w:start w:val="8"/>
    </w:lvl>
  </w:abstractNum>
  <w:abstractNum w:abstractNumId="77">
    <w:nsid w:val="F819E7F"/>
    <w:multiLevelType w:val="hybridMultilevel"/>
    <w:lvl w:ilvl="0">
      <w:lvlJc w:val="left"/>
      <w:lvlText w:val="%1."/>
      <w:numFmt w:val="upperLetter"/>
      <w:start w:val="9"/>
    </w:lvl>
  </w:abstractNum>
  <w:abstractNum w:abstractNumId="78">
    <w:nsid w:val="57C7D42D"/>
    <w:multiLevelType w:val="hybridMultilevel"/>
    <w:lvl w:ilvl="0">
      <w:lvlJc w:val="left"/>
      <w:lvlText w:val="●"/>
      <w:numFmt w:val="bullet"/>
      <w:start w:val="1"/>
    </w:lvl>
  </w:abstractNum>
  <w:abstractNum w:abstractNumId="79">
    <w:nsid w:val="312167AD"/>
    <w:multiLevelType w:val="hybridMultilevel"/>
    <w:lvl w:ilvl="0">
      <w:lvlJc w:val="left"/>
      <w:lvlText w:val="$"/>
      <w:numFmt w:val="bullet"/>
      <w:start w:val="1"/>
    </w:lvl>
  </w:abstractNum>
  <w:abstractNum w:abstractNumId="80">
    <w:nsid w:val="631B64D4"/>
    <w:multiLevelType w:val="hybridMultilevel"/>
    <w:lvl w:ilvl="0">
      <w:lvlJc w:val="left"/>
      <w:lvlText w:val="$"/>
      <w:numFmt w:val="bullet"/>
      <w:start w:val="1"/>
    </w:lvl>
  </w:abstractNum>
  <w:abstractNum w:abstractNumId="81">
    <w:nsid w:val="78B5E776"/>
    <w:multiLevelType w:val="hybridMultilevel"/>
    <w:lvl w:ilvl="0">
      <w:lvlJc w:val="left"/>
      <w:lvlText w:val="%1)"/>
      <w:numFmt w:val="lowerLetter"/>
      <w:start w:val="2"/>
    </w:lvl>
  </w:abstractNum>
  <w:abstractNum w:abstractNumId="82">
    <w:nsid w:val="75486E47"/>
    <w:multiLevelType w:val="hybridMultilevel"/>
    <w:lvl w:ilvl="0">
      <w:lvlJc w:val="left"/>
      <w:lvlText w:val="%1)"/>
      <w:numFmt w:val="lowerLetter"/>
      <w:start w:val="3"/>
    </w:lvl>
  </w:abstractNum>
  <w:abstractNum w:abstractNumId="83">
    <w:nsid w:val="6E534CDE"/>
    <w:multiLevelType w:val="hybridMultilevel"/>
    <w:lvl w:ilvl="0">
      <w:lvlJc w:val="left"/>
      <w:lvlText w:val="%1)"/>
      <w:numFmt w:val="lowerLetter"/>
      <w:start w:val="4"/>
    </w:lvl>
  </w:abstractNum>
  <w:abstractNum w:abstractNumId="84">
    <w:nsid w:val="1A0DDE32"/>
    <w:multiLevelType w:val="hybridMultilevel"/>
    <w:lvl w:ilvl="0">
      <w:lvlJc w:val="left"/>
      <w:lvlText w:val="%1)"/>
      <w:numFmt w:val="lowerLetter"/>
      <w:start w:val="5"/>
    </w:lvl>
  </w:abstractNum>
  <w:abstractNum w:abstractNumId="85">
    <w:nsid w:val="65968C1C"/>
    <w:multiLevelType w:val="hybridMultilevel"/>
    <w:lvl w:ilvl="0">
      <w:lvlJc w:val="left"/>
      <w:lvlText w:val="(%1)"/>
      <w:numFmt w:val="lowerLetter"/>
      <w:start w:val="1"/>
    </w:lvl>
  </w:abstractNum>
  <w:abstractNum w:abstractNumId="86">
    <w:nsid w:val="46263DEC"/>
    <w:multiLevelType w:val="hybridMultilevel"/>
    <w:lvl w:ilvl="0">
      <w:lvlJc w:val="left"/>
      <w:lvlText w:val="(%1)"/>
      <w:numFmt w:val="lowerLetter"/>
      <w:start w:val="1"/>
    </w:lvl>
  </w:abstractNum>
  <w:abstractNum w:abstractNumId="87">
    <w:nsid w:val="260D8C4A"/>
    <w:multiLevelType w:val="hybridMultilevel"/>
    <w:lvl w:ilvl="0">
      <w:lvlJc w:val="left"/>
      <w:lvlText w:val="$"/>
      <w:numFmt w:val="bullet"/>
      <w:start w:val="1"/>
    </w:lvl>
  </w:abstractNum>
  <w:abstractNum w:abstractNumId="88">
    <w:nsid w:val="73D4D3C4"/>
    <w:multiLevelType w:val="hybridMultilevel"/>
    <w:lvl w:ilvl="0">
      <w:lvlJc w:val="left"/>
      <w:lvlText w:val="$"/>
      <w:numFmt w:val="bullet"/>
      <w:start w:val="1"/>
    </w:lvl>
  </w:abstractNum>
  <w:abstractNum w:abstractNumId="89">
    <w:nsid w:val="746F2E30"/>
    <w:multiLevelType w:val="hybridMultilevel"/>
    <w:lvl w:ilvl="0">
      <w:lvlJc w:val="left"/>
      <w:lvlText w:val="%1)"/>
      <w:numFmt w:val="lowerLetter"/>
      <w:start w:val="3"/>
    </w:lvl>
  </w:abstractNum>
  <w:abstractNum w:abstractNumId="90">
    <w:nsid w:val="6FDE8AF6"/>
    <w:multiLevelType w:val="hybridMultilevel"/>
    <w:lvl w:ilvl="0">
      <w:lvlJc w:val="left"/>
      <w:lvlText w:val="2"/>
      <w:numFmt w:val="bullet"/>
      <w:start w:val="1"/>
    </w:lvl>
  </w:abstractNum>
  <w:abstractNum w:abstractNumId="91">
    <w:nsid w:val="3FC32E20"/>
    <w:multiLevelType w:val="hybridMultilevel"/>
    <w:lvl w:ilvl="0">
      <w:lvlJc w:val="left"/>
      <w:lvlText w:val="(%1)"/>
      <w:numFmt w:val="decimal"/>
      <w:start w:val="1"/>
    </w:lvl>
  </w:abstractNum>
  <w:abstractNum w:abstractNumId="92">
    <w:nsid w:val="49C0E823"/>
    <w:multiLevelType w:val="hybridMultilevel"/>
    <w:lvl w:ilvl="0">
      <w:lvlJc w:val="left"/>
      <w:lvlText w:val="●"/>
      <w:numFmt w:val="bullet"/>
      <w:start w:val="1"/>
    </w:lvl>
  </w:abstractNum>
  <w:abstractNum w:abstractNumId="93">
    <w:nsid w:val="14D53685"/>
    <w:multiLevelType w:val="hybridMultilevel"/>
    <w:lvl w:ilvl="0">
      <w:lvlJc w:val="left"/>
      <w:lvlText w:val="%1."/>
      <w:numFmt w:val="decimal"/>
      <w:start w:val="1"/>
    </w:lvl>
    <w:lvl w:ilvl="1">
      <w:lvlJc w:val="left"/>
      <w:lvlText w:val="(%2)"/>
      <w:numFmt w:val="lowerLetter"/>
      <w:start w:val="1"/>
    </w:lvl>
  </w:abstractNum>
  <w:abstractNum w:abstractNumId="94">
    <w:nsid w:val="230F856C"/>
    <w:multiLevelType w:val="hybridMultilevel"/>
    <w:lvl w:ilvl="0">
      <w:lvlJc w:val="left"/>
      <w:lvlText w:val="%1"/>
      <w:numFmt w:val="decimal"/>
      <w:start w:val="1"/>
    </w:lvl>
    <w:lvl w:ilvl="1">
      <w:lvlJc w:val="left"/>
      <w:lvlText w:val="(%2)"/>
      <w:numFmt w:val="lowerLetter"/>
      <w:start w:val="2"/>
    </w:lvl>
  </w:abstractNum>
  <w:abstractNum w:abstractNumId="95">
    <w:nsid w:val="6EAA85FB"/>
    <w:multiLevelType w:val="hybridMultilevel"/>
    <w:lvl w:ilvl="0">
      <w:lvlJc w:val="left"/>
      <w:lvlText w:val="%1."/>
      <w:numFmt w:val="decimal"/>
      <w:start w:val="3"/>
    </w:lvl>
    <w:lvl w:ilvl="1">
      <w:lvlJc w:val="left"/>
      <w:lvlText w:val="(%2)"/>
      <w:numFmt w:val="lowerLetter"/>
      <w:start w:val="1"/>
    </w:lvl>
  </w:abstractNum>
  <w:abstractNum w:abstractNumId="96">
    <w:nsid w:val="3F06ECB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7">
    <w:nsid w:val="3B594807"/>
    <w:multiLevelType w:val="hybridMultilevel"/>
    <w:lvl w:ilvl="0">
      <w:lvlJc w:val="left"/>
      <w:lvlText w:val="%1."/>
      <w:numFmt w:val="decimal"/>
      <w:start w:val="7"/>
    </w:lvl>
    <w:lvl w:ilvl="1">
      <w:lvlJc w:val="left"/>
      <w:lvlText w:val="(%2)"/>
      <w:numFmt w:val="lowerLetter"/>
      <w:start w:val="1"/>
    </w:lvl>
  </w:abstractNum>
  <w:abstractNum w:abstractNumId="98">
    <w:nsid w:val="6CAA2304"/>
    <w:multiLevelType w:val="hybridMultilevel"/>
    <w:lvl w:ilvl="0">
      <w:lvlJc w:val="left"/>
      <w:lvlText w:val="%1."/>
      <w:numFmt w:val="decimal"/>
      <w:start w:val="8"/>
    </w:lvl>
    <w:lvl w:ilvl="1">
      <w:lvlJc w:val="left"/>
      <w:lvlText w:val="(%2)"/>
      <w:numFmt w:val="lowerLetter"/>
      <w:start w:val="1"/>
    </w:lvl>
  </w:abstractNum>
  <w:abstractNum w:abstractNumId="99">
    <w:nsid w:val="3F7C2FF4"/>
    <w:multiLevelType w:val="hybridMultilevel"/>
    <w:lvl w:ilvl="0">
      <w:lvlJc w:val="left"/>
      <w:lvlText w:val="%1"/>
      <w:numFmt w:val="decimal"/>
      <w:start w:val="1"/>
    </w:lvl>
    <w:lvl w:ilvl="1">
      <w:lvlJc w:val="left"/>
      <w:lvlText w:val="(%2)"/>
      <w:numFmt w:val="lowerLetter"/>
      <w:start w:val="4"/>
    </w:lvl>
  </w:abstractNum>
  <w:abstractNum w:abstractNumId="100">
    <w:nsid w:val="25413BEC"/>
    <w:multiLevelType w:val="hybridMultilevel"/>
    <w:lvl w:ilvl="0">
      <w:lvlJc w:val="left"/>
      <w:lvlText w:val="%1."/>
      <w:numFmt w:val="decimal"/>
      <w:start w:val="9"/>
    </w:lvl>
    <w:lvl w:ilvl="1">
      <w:lvlJc w:val="left"/>
      <w:lvlText w:val="(%2)"/>
      <w:numFmt w:val="lowerLetter"/>
      <w:start w:val="2"/>
    </w:lvl>
  </w:abstractNum>
  <w:abstractNum w:abstractNumId="101">
    <w:nsid w:val="17180B0B"/>
    <w:multiLevelType w:val="hybridMultilevel"/>
    <w:lvl w:ilvl="0">
      <w:lvlJc w:val="left"/>
      <w:lvlText w:val="%1"/>
      <w:numFmt w:val="decimal"/>
      <w:start w:val="1"/>
    </w:lvl>
    <w:lvl w:ilvl="1">
      <w:lvlJc w:val="left"/>
      <w:lvlText w:val="(%2)"/>
      <w:numFmt w:val="lowerLetter"/>
      <w:start w:val="4"/>
    </w:lvl>
  </w:abstractNum>
  <w:abstractNum w:abstractNumId="102">
    <w:nsid w:val="579328B9"/>
    <w:multiLevelType w:val="hybridMultilevel"/>
    <w:lvl w:ilvl="0">
      <w:lvlJc w:val="left"/>
      <w:lvlText w:val="%1."/>
      <w:numFmt w:val="decimal"/>
      <w:start w:val="10"/>
    </w:lvl>
    <w:lvl w:ilvl="1">
      <w:lvlJc w:val="left"/>
      <w:lvlText w:val="%2"/>
      <w:numFmt w:val="lowerLetter"/>
      <w:start w:val="1"/>
    </w:lvl>
  </w:abstractNum>
  <w:abstractNum w:abstractNumId="103">
    <w:nsid w:val="5D205E20"/>
    <w:multiLevelType w:val="hybridMultilevel"/>
    <w:lvl w:ilvl="0">
      <w:lvlJc w:val="left"/>
      <w:lvlText w:val="%1."/>
      <w:numFmt w:val="decimal"/>
      <w:start w:val="12"/>
    </w:lvl>
    <w:lvl w:ilvl="1">
      <w:lvlJc w:val="left"/>
      <w:lvlText w:val="(%2)"/>
      <w:numFmt w:val="lowerLetter"/>
      <w:start w:val="1"/>
    </w:lvl>
  </w:abstractNum>
  <w:abstractNum w:abstractNumId="104">
    <w:nsid w:val="11CCA8BA"/>
    <w:multiLevelType w:val="hybridMultilevel"/>
    <w:lvl w:ilvl="0">
      <w:lvlJc w:val="left"/>
      <w:lvlText w:val="%1."/>
      <w:numFmt w:val="decimal"/>
      <w:start w:val="13"/>
    </w:lvl>
  </w:abstractNum>
  <w:abstractNum w:abstractNumId="105">
    <w:nsid w:val="4D32AB86"/>
    <w:multiLevelType w:val="hybridMultilevel"/>
    <w:lvl w:ilvl="0">
      <w:lvlJc w:val="left"/>
      <w:lvlText w:val="%1."/>
      <w:numFmt w:val="decimal"/>
      <w:start w:val="19"/>
    </w:lvl>
  </w:abstractNum>
  <w:abstractNum w:abstractNumId="106">
    <w:nsid w:val="3F07ACC3"/>
    <w:multiLevelType w:val="hybridMultilevel"/>
    <w:lvl w:ilvl="0">
      <w:lvlJc w:val="left"/>
      <w:lvlText w:val="1"/>
      <w:numFmt w:val="bullet"/>
      <w:start w:val="1"/>
    </w:lvl>
  </w:abstractNum>
  <w:abstractNum w:abstractNumId="107">
    <w:nsid w:val="6B47F63E"/>
    <w:multiLevelType w:val="hybridMultilevel"/>
    <w:lvl w:ilvl="0">
      <w:lvlJc w:val="left"/>
      <w:lvlText w:val="2"/>
      <w:numFmt w:val="bullet"/>
      <w:start w:val="1"/>
    </w:lvl>
  </w:abstractNum>
  <w:abstractNum w:abstractNumId="108">
    <w:nsid w:val="5CB44A05"/>
    <w:multiLevelType w:val="hybridMultilevel"/>
    <w:lvl w:ilvl="0">
      <w:lvlJc w:val="left"/>
      <w:lvlText w:val="1"/>
      <w:numFmt w:val="bullet"/>
      <w:start w:val="1"/>
    </w:lvl>
    <w:lvl w:ilvl="1">
      <w:lvlJc w:val="left"/>
      <w:lvlText w:val="(%2)"/>
      <w:numFmt w:val="decimal"/>
      <w:start w:val="1"/>
    </w:lvl>
  </w:abstractNum>
  <w:abstractNum w:abstractNumId="109">
    <w:nsid w:val="16CF80F1"/>
    <w:multiLevelType w:val="hybridMultilevel"/>
    <w:lvl w:ilvl="0">
      <w:lvlJc w:val="left"/>
      <w:lvlText w:val="%1"/>
      <w:numFmt w:val="decimal"/>
      <w:start w:val="1"/>
    </w:lvl>
    <w:lvl w:ilvl="1">
      <w:lvlJc w:val="left"/>
      <w:lvlText w:val="(%2)"/>
      <w:numFmt w:val="decimal"/>
      <w:start w:val="2"/>
    </w:lvl>
  </w:abstractNum>
  <w:abstractNum w:abstractNumId="110">
    <w:nsid w:val="1C695DEC"/>
    <w:multiLevelType w:val="hybridMultilevel"/>
    <w:lvl w:ilvl="0">
      <w:lvlJc w:val="left"/>
      <w:lvlText w:val="%1."/>
      <w:numFmt w:val="decimal"/>
      <w:start w:val="13"/>
    </w:lvl>
    <w:lvl w:ilvl="1">
      <w:lvlJc w:val="left"/>
      <w:lvlText w:val="%2"/>
      <w:numFmt w:val="decimal"/>
      <w:start w:val="1"/>
    </w:lvl>
  </w:abstractNum>
  <w:abstractNum w:abstractNumId="111">
    <w:nsid w:val="3FCFAED9"/>
    <w:multiLevelType w:val="hybridMultilevel"/>
    <w:lvl w:ilvl="0">
      <w:lvlJc w:val="left"/>
      <w:lvlText w:val="(%1)"/>
      <w:numFmt w:val="decimal"/>
      <w:start w:val="1"/>
    </w:lvl>
  </w:abstractNum>
  <w:abstractNum w:abstractNumId="112">
    <w:nsid w:val="F856867"/>
    <w:multiLevelType w:val="hybridMultilevel"/>
    <w:lvl w:ilvl="0">
      <w:lvlJc w:val="left"/>
      <w:lvlText w:val="(%1)"/>
      <w:numFmt w:val="decimal"/>
      <w:start w:val="1"/>
    </w:lvl>
    <w:lvl w:ilvl="1">
      <w:lvlJc w:val="left"/>
      <w:lvlText w:val="(%2)"/>
      <w:numFmt w:val="decimal"/>
      <w:start w:val="1"/>
    </w:lvl>
  </w:abstractNum>
  <w:abstractNum w:abstractNumId="113">
    <w:nsid w:val="11B1CC33"/>
    <w:multiLevelType w:val="hybridMultilevel"/>
    <w:lvl w:ilvl="0">
      <w:lvlJc w:val="left"/>
      <w:lvlText w:val="%1"/>
      <w:numFmt w:val="decimal"/>
      <w:start w:val="1"/>
    </w:lvl>
    <w:lvl w:ilvl="1">
      <w:lvlJc w:val="left"/>
      <w:lvlText w:val="(%2)"/>
      <w:numFmt w:val="decimal"/>
      <w:start w:val="2"/>
    </w:lvl>
  </w:abstractNum>
  <w:abstractNum w:abstractNumId="114">
    <w:nsid w:val="2E22FBB7"/>
    <w:multiLevelType w:val="hybridMultilevel"/>
    <w:lvl w:ilvl="0">
      <w:lvlJc w:val="left"/>
      <w:lvlText w:val="%1."/>
      <w:numFmt w:val="decimal"/>
      <w:start w:val="14"/>
    </w:lvl>
    <w:lvl w:ilvl="1">
      <w:lvlJc w:val="left"/>
      <w:lvlText w:val="%2"/>
      <w:numFmt w:val="decimal"/>
      <w:start w:val="1"/>
    </w:lvl>
  </w:abstractNum>
  <w:abstractNum w:abstractNumId="115">
    <w:nsid w:val="29934699"/>
    <w:multiLevelType w:val="hybridMultilevel"/>
    <w:lvl w:ilvl="0">
      <w:lvlJc w:val="left"/>
      <w:lvlText w:val="1"/>
      <w:numFmt w:val="bullet"/>
      <w:start w:val="1"/>
    </w:lvl>
  </w:abstractNum>
  <w:abstractNum w:abstractNumId="116">
    <w:nsid w:val="77485850"/>
    <w:multiLevelType w:val="hybridMultilevel"/>
    <w:lvl w:ilvl="0">
      <w:lvlJc w:val="left"/>
      <w:lvlText w:val="2"/>
      <w:numFmt w:val="bullet"/>
      <w:start w:val="1"/>
    </w:lvl>
  </w:abstractNum>
  <w:abstractNum w:abstractNumId="117">
    <w:nsid w:val="744939A3"/>
    <w:multiLevelType w:val="hybridMultilevel"/>
    <w:lvl w:ilvl="0">
      <w:lvlJc w:val="left"/>
      <w:lvlText w:val="1"/>
      <w:numFmt w:val="bullet"/>
      <w:start w:val="1"/>
    </w:lvl>
  </w:abstractNum>
  <w:abstractNum w:abstractNumId="118">
    <w:nsid w:val="4FA0D2E3"/>
    <w:multiLevelType w:val="hybridMultilevel"/>
    <w:lvl w:ilvl="0">
      <w:lvlJc w:val="left"/>
      <w:lvlText w:val="(%1)"/>
      <w:numFmt w:val="decimal"/>
      <w:start w:val="1"/>
    </w:lvl>
  </w:abstractNum>
  <w:abstractNum w:abstractNumId="119">
    <w:nsid w:val="6B1D2C14"/>
    <w:multiLevelType w:val="hybridMultilevel"/>
    <w:lvl w:ilvl="0">
      <w:lvlJc w:val="left"/>
      <w:lvlText w:val="2"/>
      <w:numFmt w:val="bullet"/>
      <w:start w:val="1"/>
    </w:lvl>
  </w:abstractNum>
  <w:abstractNum w:abstractNumId="120">
    <w:nsid w:val="68B867D3"/>
    <w:multiLevelType w:val="hybridMultilevel"/>
    <w:lvl w:ilvl="0">
      <w:lvlJc w:val="left"/>
      <w:lvlText w:val="(%1)"/>
      <w:numFmt w:val="decimal"/>
      <w:start w:val="1"/>
    </w:lvl>
  </w:abstractNum>
  <w:abstractNum w:abstractNumId="121">
    <w:nsid w:val="3F7F5DD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2">
    <w:nsid w:val="2AE05A34"/>
    <w:multiLevelType w:val="hybridMultilevel"/>
    <w:lvl w:ilvl="0">
      <w:lvlJc w:val="left"/>
      <w:lvlText w:val="1"/>
      <w:numFmt w:val="bullet"/>
      <w:start w:val="1"/>
    </w:lvl>
  </w:abstractNum>
  <w:abstractNum w:abstractNumId="123">
    <w:nsid w:val="32794FF7"/>
    <w:multiLevelType w:val="hybridMultilevel"/>
    <w:lvl w:ilvl="0">
      <w:lvlJc w:val="left"/>
      <w:lvlText w:val="2"/>
      <w:numFmt w:val="bullet"/>
      <w:start w:val="1"/>
    </w:lvl>
  </w:abstractNum>
  <w:abstractNum w:abstractNumId="124">
    <w:nsid w:val="5454945E"/>
    <w:multiLevelType w:val="hybridMultilevel"/>
    <w:lvl w:ilvl="0">
      <w:lvlJc w:val="left"/>
      <w:lvlText w:val="2"/>
      <w:numFmt w:val="bullet"/>
      <w:start w:val="1"/>
    </w:lvl>
  </w:abstractNum>
  <w:abstractNum w:abstractNumId="125">
    <w:nsid w:val="4DEFDFA0"/>
    <w:multiLevelType w:val="hybridMultilevel"/>
    <w:lvl w:ilvl="0">
      <w:lvlJc w:val="left"/>
      <w:lvlText w:val="3"/>
      <w:numFmt w:val="bullet"/>
      <w:start w:val="1"/>
    </w:lvl>
  </w:abstractNum>
  <w:abstractNum w:abstractNumId="126">
    <w:nsid w:val="2123D5F2"/>
    <w:multiLevelType w:val="hybridMultilevel"/>
    <w:lvl w:ilvl="0">
      <w:lvlJc w:val="left"/>
      <w:lvlText w:val="4"/>
      <w:numFmt w:val="bullet"/>
      <w:start w:val="1"/>
    </w:lvl>
    <w:lvl w:ilvl="1">
      <w:lvlJc w:val="left"/>
      <w:lvlText w:val="(%2)"/>
      <w:numFmt w:val="decimal"/>
      <w:start w:val="1"/>
    </w:lvl>
  </w:abstractNum>
  <w:abstractNum w:abstractNumId="127">
    <w:nsid w:val="135B8110"/>
    <w:multiLevelType w:val="hybridMultilevel"/>
    <w:lvl w:ilvl="0">
      <w:lvlJc w:val="left"/>
      <w:lvlText w:val="6"/>
      <w:numFmt w:val="bullet"/>
      <w:start w:val="1"/>
    </w:lvl>
  </w:abstractNum>
  <w:abstractNum w:abstractNumId="128">
    <w:nsid w:val="94927A8"/>
    <w:multiLevelType w:val="hybridMultilevel"/>
    <w:lvl w:ilvl="0">
      <w:lvlJc w:val="left"/>
      <w:lvlText w:val="7"/>
      <w:numFmt w:val="bullet"/>
      <w:start w:val="1"/>
    </w:lvl>
  </w:abstractNum>
  <w:abstractNum w:abstractNumId="129">
    <w:nsid w:val="DCDF8F6"/>
    <w:multiLevelType w:val="hybridMultilevel"/>
    <w:lvl w:ilvl="0">
      <w:lvlJc w:val="left"/>
      <w:lvlText w:val="%1."/>
      <w:numFmt w:val="decimal"/>
      <w:start w:val="1"/>
    </w:lvl>
    <w:lvl w:ilvl="1">
      <w:lvlJc w:val="left"/>
      <w:lvlText w:val="%2."/>
      <w:numFmt w:val="decimal"/>
      <w:start w:val="1"/>
    </w:lvl>
  </w:abstractNum>
  <w:abstractNum w:abstractNumId="130">
    <w:nsid w:val="52D7B105"/>
    <w:multiLevelType w:val="hybridMultilevel"/>
    <w:lvl w:ilvl="0">
      <w:lvlJc w:val="left"/>
      <w:lvlText w:val="%1"/>
      <w:numFmt w:val="decimal"/>
      <w:start w:val="1"/>
    </w:lvl>
    <w:lvl w:ilvl="1">
      <w:lvlJc w:val="left"/>
      <w:lvlText w:val="%2."/>
      <w:numFmt w:val="decimal"/>
      <w:start w:val="4"/>
    </w:lvl>
  </w:abstractNum>
  <w:abstractNum w:abstractNumId="131">
    <w:nsid w:val="2E8A6394"/>
    <w:multiLevelType w:val="hybridMultilevel"/>
    <w:lvl w:ilvl="0">
      <w:lvlJc w:val="left"/>
      <w:lvlText w:val="%1."/>
      <w:numFmt w:val="decimal"/>
      <w:start w:val="3"/>
    </w:lvl>
    <w:lvl w:ilvl="1">
      <w:lvlJc w:val="left"/>
      <w:lvlText w:val="%2."/>
      <w:numFmt w:val="decimal"/>
      <w:start w:val="1"/>
    </w:lvl>
  </w:abstractNum>
  <w:abstractNum w:abstractNumId="132">
    <w:nsid w:val="24E60401"/>
    <w:multiLevelType w:val="hybridMultilevel"/>
    <w:lvl w:ilvl="0">
      <w:lvlJc w:val="left"/>
      <w:lvlText w:val="1"/>
      <w:numFmt w:val="bullet"/>
      <w:start w:val="1"/>
    </w:lvl>
  </w:abstractNum>
  <w:abstractNum w:abstractNumId="133">
    <w:nsid w:val="2A6AD9BE"/>
    <w:multiLevelType w:val="hybridMultilevel"/>
    <w:lvl w:ilvl="0">
      <w:lvlJc w:val="left"/>
      <w:lvlText w:val="2"/>
      <w:numFmt w:val="bullet"/>
      <w:start w:val="1"/>
    </w:lvl>
  </w:abstractNum>
  <w:abstractNum w:abstractNumId="134">
    <w:nsid w:val="BAAC1B4"/>
    <w:multiLevelType w:val="hybridMultilevel"/>
    <w:lvl w:ilvl="0">
      <w:lvlJc w:val="left"/>
      <w:lvlText w:val="%1"/>
      <w:numFmt w:val="decimal"/>
      <w:start w:val="1"/>
    </w:lvl>
    <w:lvl w:ilvl="1">
      <w:lvlJc w:val="left"/>
      <w:lvlText w:val="(%2)"/>
      <w:numFmt w:val="decimal"/>
      <w:start w:val="2"/>
    </w:lvl>
  </w:abstractNum>
  <w:abstractNum w:abstractNumId="135">
    <w:nsid w:val="36B2ACBC"/>
    <w:multiLevelType w:val="hybridMultilevel"/>
    <w:lvl w:ilvl="0">
      <w:lvlJc w:val="left"/>
      <w:lvlText w:val="%1."/>
      <w:numFmt w:val="decimal"/>
      <w:start w:val="13"/>
    </w:lvl>
    <w:lvl w:ilvl="1">
      <w:lvlJc w:val="left"/>
      <w:lvlText w:val="%2"/>
      <w:numFmt w:val="decimal"/>
      <w:start w:val="1"/>
    </w:lvl>
  </w:abstractNum>
  <w:abstractNum w:abstractNumId="136">
    <w:nsid w:val="779D8544"/>
    <w:multiLevelType w:val="hybridMultilevel"/>
    <w:lvl w:ilvl="0">
      <w:lvlJc w:val="left"/>
      <w:lvlText w:val="(%1)"/>
      <w:numFmt w:val="decimal"/>
      <w:start w:val="1"/>
    </w:lvl>
  </w:abstractNum>
  <w:abstractNum w:abstractNumId="137">
    <w:nsid w:val="4AB26E78"/>
    <w:multiLevelType w:val="hybridMultilevel"/>
    <w:lvl w:ilvl="0">
      <w:lvlJc w:val="left"/>
      <w:lvlText w:val="(%1)"/>
      <w:numFmt w:val="decimal"/>
      <w:start w:val="1"/>
    </w:lvl>
  </w:abstractNum>
  <w:abstractNum w:abstractNumId="138">
    <w:nsid w:val="21FAA2FA"/>
    <w:multiLevelType w:val="hybridMultilevel"/>
    <w:lvl w:ilvl="0">
      <w:lvlJc w:val="left"/>
      <w:lvlText w:val="(%1)"/>
      <w:numFmt w:val="decimal"/>
      <w:start w:val="5"/>
    </w:lvl>
    <w:lvl w:ilvl="1">
      <w:lvlJc w:val="left"/>
      <w:lvlText w:val="(%2)"/>
      <w:numFmt w:val="decimal"/>
      <w:start w:val="1"/>
    </w:lvl>
  </w:abstractNum>
  <w:abstractNum w:abstractNumId="139">
    <w:nsid w:val="5451CF49"/>
    <w:multiLevelType w:val="hybridMultilevel"/>
    <w:lvl w:ilvl="0">
      <w:lvlJc w:val="left"/>
      <w:lvlText w:val="%1"/>
      <w:numFmt w:val="decimal"/>
      <w:start w:val="1"/>
    </w:lvl>
    <w:lvl w:ilvl="1">
      <w:lvlJc w:val="left"/>
      <w:lvlText w:val="(%2)"/>
      <w:numFmt w:val="decimal"/>
      <w:start w:val="2"/>
    </w:lvl>
  </w:abstractNum>
  <w:abstractNum w:abstractNumId="140">
    <w:nsid w:val="6181EF69"/>
    <w:multiLevelType w:val="hybridMultilevel"/>
    <w:lvl w:ilvl="0">
      <w:lvlJc w:val="left"/>
      <w:lvlText w:val="%1."/>
      <w:numFmt w:val="decimal"/>
      <w:start w:val="14"/>
    </w:lvl>
    <w:lvl w:ilvl="1">
      <w:lvlJc w:val="left"/>
      <w:lvlText w:val="%2"/>
      <w:numFmt w:val="decimal"/>
      <w:start w:val="1"/>
    </w:lvl>
  </w:abstractNum>
  <w:abstractNum w:abstractNumId="141">
    <w:nsid w:val="3E6400E6"/>
    <w:multiLevelType w:val="hybridMultilevel"/>
    <w:lvl w:ilvl="0">
      <w:lvlJc w:val="left"/>
      <w:lvlText w:val="1"/>
      <w:numFmt w:val="bullet"/>
      <w:start w:val="1"/>
    </w:lvl>
  </w:abstractNum>
  <w:abstractNum w:abstractNumId="142">
    <w:nsid w:val="14217E23"/>
    <w:multiLevelType w:val="hybridMultilevel"/>
    <w:lvl w:ilvl="0">
      <w:lvlJc w:val="left"/>
      <w:lvlText w:val="2"/>
      <w:numFmt w:val="bullet"/>
      <w:start w:val="1"/>
    </w:lvl>
  </w:abstractNum>
  <w:abstractNum w:abstractNumId="143">
    <w:nsid w:val="710757D0"/>
    <w:multiLevelType w:val="hybridMultilevel"/>
    <w:lvl w:ilvl="0">
      <w:lvlJc w:val="left"/>
      <w:lvlText w:val="1"/>
      <w:numFmt w:val="bullet"/>
      <w:start w:val="1"/>
    </w:lvl>
  </w:abstractNum>
  <w:abstractNum w:abstractNumId="144">
    <w:nsid w:val="5015CD1A"/>
    <w:multiLevelType w:val="hybridMultilevel"/>
    <w:lvl w:ilvl="0">
      <w:lvlJc w:val="left"/>
      <w:lvlText w:val="(%1)"/>
      <w:numFmt w:val="decimal"/>
      <w:start w:val="1"/>
    </w:lvl>
  </w:abstractNum>
  <w:abstractNum w:abstractNumId="145">
    <w:nsid w:val="424479DA"/>
    <w:multiLevelType w:val="hybridMultilevel"/>
    <w:lvl w:ilvl="0">
      <w:lvlJc w:val="left"/>
      <w:lvlText w:val="2"/>
      <w:numFmt w:val="bullet"/>
      <w:start w:val="1"/>
    </w:lvl>
  </w:abstractNum>
  <w:abstractNum w:abstractNumId="146">
    <w:nsid w:val="1A9A9E69"/>
    <w:multiLevelType w:val="hybridMultilevel"/>
    <w:lvl w:ilvl="0">
      <w:lvlJc w:val="left"/>
      <w:lvlText w:val="(%1)"/>
      <w:numFmt w:val="decimal"/>
      <w:start w:val="1"/>
    </w:lvl>
  </w:abstractNum>
  <w:abstractNum w:abstractNumId="147">
    <w:nsid w:val="475E256A"/>
    <w:multiLevelType w:val="hybridMultilevel"/>
    <w:lvl w:ilvl="0">
      <w:lvlJc w:val="left"/>
      <w:lvlText w:val="%1)"/>
      <w:numFmt w:val="lowerLetter"/>
      <w:start w:val="1"/>
    </w:lvl>
    <w:lvl w:ilvl="1">
      <w:lvlJc w:val="left"/>
      <w:lvlText w:val="(%2)"/>
      <w:numFmt w:val="decimal"/>
      <w:start w:val="1"/>
    </w:lvl>
  </w:abstractNum>
  <w:abstractNum w:abstractNumId="148">
    <w:nsid w:val="368DB37E"/>
    <w:multiLevelType w:val="hybridMultilevel"/>
    <w:lvl w:ilvl="0">
      <w:lvlJc w:val="left"/>
      <w:lvlText w:val="1"/>
      <w:numFmt w:val="bullet"/>
      <w:start w:val="1"/>
    </w:lvl>
  </w:abstractNum>
  <w:abstractNum w:abstractNumId="149">
    <w:nsid w:val="6A3B714C"/>
    <w:multiLevelType w:val="hybridMultilevel"/>
    <w:lvl w:ilvl="0">
      <w:lvlJc w:val="left"/>
      <w:lvlText w:val="2"/>
      <w:numFmt w:val="bullet"/>
      <w:start w:val="1"/>
    </w:lvl>
  </w:abstractNum>
  <w:abstractNum w:abstractNumId="150">
    <w:nsid w:val="327B517E"/>
    <w:multiLevelType w:val="hybridMultilevel"/>
    <w:lvl w:ilvl="0">
      <w:lvlJc w:val="left"/>
      <w:lvlText w:val="2"/>
      <w:numFmt w:val="bullet"/>
      <w:start w:val="1"/>
    </w:lvl>
  </w:abstractNum>
  <w:abstractNum w:abstractNumId="151">
    <w:nsid w:val="1F461B51"/>
    <w:multiLevelType w:val="hybridMultilevel"/>
    <w:lvl w:ilvl="0">
      <w:lvlJc w:val="left"/>
      <w:lvlText w:val="3"/>
      <w:numFmt w:val="bullet"/>
      <w:start w:val="1"/>
    </w:lvl>
  </w:abstractNum>
  <w:abstractNum w:abstractNumId="152">
    <w:nsid w:val="29BACF25"/>
    <w:multiLevelType w:val="hybridMultilevel"/>
    <w:lvl w:ilvl="0">
      <w:lvlJc w:val="left"/>
      <w:lvlText w:val="4"/>
      <w:numFmt w:val="bullet"/>
      <w:start w:val="1"/>
    </w:lvl>
    <w:lvl w:ilvl="1">
      <w:lvlJc w:val="left"/>
      <w:lvlText w:val="(%2)"/>
      <w:numFmt w:val="decimal"/>
      <w:start w:val="1"/>
    </w:lvl>
  </w:abstractNum>
  <w:abstractNum w:abstractNumId="153">
    <w:nsid w:val="5D5BABB3"/>
    <w:multiLevelType w:val="hybridMultilevel"/>
    <w:lvl w:ilvl="0">
      <w:lvlJc w:val="left"/>
      <w:lvlText w:val="5"/>
      <w:numFmt w:val="bullet"/>
      <w:start w:val="1"/>
    </w:lvl>
  </w:abstractNum>
  <w:abstractNum w:abstractNumId="154">
    <w:nsid w:val="51BF6B48"/>
    <w:multiLevelType w:val="hybridMultilevel"/>
    <w:lvl w:ilvl="0">
      <w:lvlJc w:val="left"/>
      <w:lvlText w:val="6"/>
      <w:numFmt w:val="bullet"/>
      <w:start w:val="1"/>
    </w:lvl>
  </w:abstractNum>
  <w:abstractNum w:abstractNumId="155">
    <w:nsid w:val="7E0F6384"/>
    <w:multiLevelType w:val="hybridMultilevel"/>
    <w:lvl w:ilvl="0">
      <w:lvlJc w:val="left"/>
      <w:lvlText w:val="7"/>
      <w:numFmt w:val="bullet"/>
      <w:start w:val="1"/>
    </w:lvl>
  </w:abstractNum>
  <w:abstractNum w:abstractNumId="156">
    <w:nsid w:val="2B4B8B53"/>
    <w:multiLevelType w:val="hybridMultilevel"/>
    <w:lvl w:ilvl="0">
      <w:lvlJc w:val="left"/>
      <w:lvlText w:val="%1."/>
      <w:numFmt w:val="decimal"/>
      <w:start w:val="1"/>
    </w:lvl>
    <w:lvl w:ilvl="1">
      <w:lvlJc w:val="left"/>
      <w:lvlText w:val="%2."/>
      <w:numFmt w:val="decimal"/>
      <w:start w:val="1"/>
    </w:lvl>
  </w:abstractNum>
  <w:abstractNum w:abstractNumId="157">
    <w:nsid w:val="72E3413A"/>
    <w:multiLevelType w:val="hybridMultilevel"/>
    <w:lvl w:ilvl="0">
      <w:lvlJc w:val="left"/>
      <w:lvlText w:val="%1"/>
      <w:numFmt w:val="decimal"/>
      <w:start w:val="1"/>
    </w:lvl>
    <w:lvl w:ilvl="1">
      <w:lvlJc w:val="left"/>
      <w:lvlText w:val="%2."/>
      <w:numFmt w:val="decimal"/>
      <w:start w:val="4"/>
    </w:lvl>
  </w:abstractNum>
  <w:abstractNum w:abstractNumId="158">
    <w:nsid w:val="116AE494"/>
    <w:multiLevelType w:val="hybridMultilevel"/>
    <w:lvl w:ilvl="0">
      <w:lvlJc w:val="left"/>
      <w:lvlText w:val="%1."/>
      <w:numFmt w:val="decimal"/>
      <w:start w:val="3"/>
    </w:lvl>
    <w:lvl w:ilvl="1">
      <w:lvlJc w:val="left"/>
      <w:lvlText w:val="%2."/>
      <w:numFmt w:val="decimal"/>
      <w:start w:val="1"/>
    </w:lvl>
  </w:abstractNum>
  <w:abstractNum w:abstractNumId="159">
    <w:nsid w:val="3494B2FB"/>
    <w:multiLevelType w:val="hybridMultilevel"/>
    <w:lvl w:ilvl="0">
      <w:lvlJc w:val="left"/>
      <w:lvlText w:val="(%1)"/>
      <w:numFmt w:val="decimal"/>
      <w:start w:val="1"/>
    </w:lvl>
  </w:abstractNum>
  <w:abstractNum w:abstractNumId="160">
    <w:nsid w:val="B13A31"/>
    <w:multiLevelType w:val="hybridMultilevel"/>
    <w:lvl w:ilvl="0">
      <w:lvlJc w:val="left"/>
      <w:lvlText w:val="▲▲"/>
      <w:numFmt w:val="bullet"/>
      <w:start w:val="1"/>
    </w:lvl>
  </w:abstractNum>
  <w:abstractNum w:abstractNumId="161">
    <w:nsid w:val="64429599"/>
    <w:multiLevelType w:val="hybridMultilevel"/>
    <w:lvl w:ilvl="0">
      <w:lvlJc w:val="left"/>
      <w:lvlText w:val="(%1)"/>
      <w:numFmt w:val="decimal"/>
      <w:start w:val="1"/>
    </w:lvl>
  </w:abstractNum>
  <w:abstractNum w:abstractNumId="162">
    <w:nsid w:val="631F1690"/>
    <w:multiLevelType w:val="hybridMultilevel"/>
    <w:lvl w:ilvl="0">
      <w:lvlJc w:val="left"/>
      <w:lvlText w:val="(%1)"/>
      <w:numFmt w:val="decimal"/>
      <w:start w:val="1"/>
    </w:lvl>
  </w:abstractNum>
  <w:abstractNum w:abstractNumId="163">
    <w:nsid w:val="25973E32"/>
    <w:multiLevelType w:val="hybridMultilevel"/>
    <w:lvl w:ilvl="0">
      <w:lvlJc w:val="left"/>
      <w:lvlText w:val="(%1)"/>
      <w:numFmt w:val="decimal"/>
      <w:start w:val="1"/>
    </w:lvl>
  </w:abstractNum>
  <w:abstractNum w:abstractNumId="164">
    <w:nsid w:val="EAD6F57"/>
    <w:multiLevelType w:val="hybridMultilevel"/>
    <w:lvl w:ilvl="0">
      <w:lvlJc w:val="left"/>
      <w:lvlText w:val="(%1)"/>
      <w:numFmt w:val="decimal"/>
      <w:start w:val="2"/>
    </w:lvl>
  </w:abstractNum>
  <w:abstractNum w:abstractNumId="165">
    <w:nsid w:val="6EC9D844"/>
    <w:multiLevelType w:val="hybridMultilevel"/>
    <w:lvl w:ilvl="0">
      <w:lvlJc w:val="left"/>
      <w:lvlText w:val="(%1)"/>
      <w:numFmt w:val="decimal"/>
      <w:start w:val="17"/>
    </w:lvl>
    <w:lvl w:ilvl="1">
      <w:lvlJc w:val="left"/>
      <w:lvlText w:val="(%2)"/>
      <w:numFmt w:val="decimal"/>
      <w:start w:val="18"/>
    </w:lvl>
  </w:abstractNum>
  <w:abstractNum w:abstractNumId="166">
    <w:nsid w:val="5C49EAEE"/>
    <w:multiLevelType w:val="hybridMultilevel"/>
    <w:lvl w:ilvl="0">
      <w:lvlJc w:val="left"/>
      <w:lvlText w:val="▲"/>
      <w:numFmt w:val="bullet"/>
      <w:start w:val="1"/>
    </w:lvl>
  </w:abstractNum>
  <w:abstractNum w:abstractNumId="167">
    <w:nsid w:val="64AF49B"/>
    <w:multiLevelType w:val="hybridMultilevel"/>
    <w:lvl w:ilvl="0">
      <w:lvlJc w:val="left"/>
      <w:lvlText w:val="(%1)"/>
      <w:numFmt w:val="decimal"/>
      <w:start w:val="1"/>
    </w:lvl>
  </w:abstractNum>
  <w:abstractNum w:abstractNumId="168">
    <w:nsid w:val="397C46BC"/>
    <w:multiLevelType w:val="hybridMultilevel"/>
    <w:lvl w:ilvl="0">
      <w:lvlJc w:val="left"/>
      <w:lvlText w:val="(%1)"/>
      <w:numFmt w:val="decimal"/>
      <w:start w:val="1"/>
    </w:lvl>
  </w:abstractNum>
  <w:abstractNum w:abstractNumId="169">
    <w:nsid w:val="7E448DE9"/>
    <w:multiLevelType w:val="hybridMultilevel"/>
    <w:lvl w:ilvl="0">
      <w:lvlJc w:val="left"/>
      <w:lvlText w:val="①"/>
      <w:numFmt w:val="bullet"/>
      <w:start w:val="1"/>
    </w:lvl>
  </w:abstractNum>
  <w:abstractNum w:abstractNumId="170">
    <w:nsid w:val="5A9CC3E5"/>
    <w:multiLevelType w:val="hybridMultilevel"/>
    <w:lvl w:ilvl="0">
      <w:lvlJc w:val="left"/>
      <w:lvlText w:val="②"/>
      <w:numFmt w:val="bullet"/>
      <w:start w:val="1"/>
    </w:lvl>
  </w:abstractNum>
  <w:abstractNum w:abstractNumId="171">
    <w:nsid w:val="1AFE3625"/>
    <w:multiLevelType w:val="hybridMultilevel"/>
    <w:lvl w:ilvl="0">
      <w:lvlJc w:val="left"/>
      <w:lvlText w:val="③"/>
      <w:numFmt w:val="bullet"/>
      <w:start w:val="1"/>
    </w:lvl>
  </w:abstractNum>
  <w:abstractNum w:abstractNumId="172">
    <w:nsid w:val="3CA88ECF"/>
    <w:multiLevelType w:val="hybridMultilevel"/>
    <w:lvl w:ilvl="0">
      <w:lvlJc w:val="left"/>
      <w:lvlText w:val="(%1)"/>
      <w:numFmt w:val="decimal"/>
      <w:start w:val="1"/>
    </w:lvl>
  </w:abstractNum>
  <w:abstractNum w:abstractNumId="173">
    <w:nsid w:val="6EBE4208"/>
    <w:multiLevelType w:val="hybridMultilevel"/>
    <w:lvl w:ilvl="0">
      <w:lvlJc w:val="left"/>
      <w:lvlText w:val="(%1)"/>
      <w:numFmt w:val="decimal"/>
      <w:start w:val="4"/>
    </w:lvl>
  </w:abstractNum>
  <w:abstractNum w:abstractNumId="174">
    <w:nsid w:val="C058DF5"/>
    <w:multiLevelType w:val="hybridMultilevel"/>
    <w:lvl w:ilvl="0">
      <w:lvlJc w:val="left"/>
      <w:lvlText w:val="(%1)"/>
      <w:numFmt w:val="decimal"/>
      <w:start w:val="1"/>
    </w:lvl>
  </w:abstractNum>
  <w:abstractNum w:abstractNumId="175">
    <w:nsid w:val="CBE5BE9"/>
    <w:multiLevelType w:val="hybridMultilevel"/>
    <w:lvl w:ilvl="0">
      <w:lvlJc w:val="left"/>
      <w:lvlText w:val="%1."/>
      <w:numFmt w:val="decimal"/>
      <w:start w:val="21"/>
    </w:lvl>
  </w:abstractNum>
  <w:abstractNum w:abstractNumId="176">
    <w:nsid w:val="3102BBE2"/>
    <w:multiLevelType w:val="hybridMultilevel"/>
    <w:lvl w:ilvl="0">
      <w:lvlJc w:val="left"/>
      <w:lvlText w:val="(%1)"/>
      <w:numFmt w:val="decimal"/>
      <w:start w:val="1"/>
    </w:lvl>
  </w:abstractNum>
  <w:abstractNum w:abstractNumId="177">
    <w:nsid w:val="26A02C5E"/>
    <w:multiLevelType w:val="hybridMultilevel"/>
    <w:lvl w:ilvl="0">
      <w:lvlJc w:val="left"/>
      <w:lvlText w:val="(%1)"/>
      <w:numFmt w:val="decimal"/>
      <w:start w:val="4"/>
    </w:lvl>
  </w:abstractNum>
  <w:abstractNum w:abstractNumId="178">
    <w:nsid w:val="541C8153"/>
    <w:multiLevelType w:val="hybridMultilevel"/>
    <w:lvl w:ilvl="0">
      <w:lvlJc w:val="left"/>
      <w:lvlText w:val="(%1)"/>
      <w:numFmt w:val="decimal"/>
      <w:start w:val="1"/>
    </w:lvl>
  </w:abstractNum>
  <w:abstractNum w:abstractNumId="179">
    <w:nsid w:val="67906F60"/>
    <w:multiLevelType w:val="hybridMultilevel"/>
    <w:lvl w:ilvl="0">
      <w:lvlJc w:val="left"/>
      <w:lvlText w:val="▲"/>
      <w:numFmt w:val="bullet"/>
      <w:start w:val="1"/>
    </w:lvl>
  </w:abstractNum>
  <w:abstractNum w:abstractNumId="180">
    <w:nsid w:val="10DB9DAA"/>
    <w:multiLevelType w:val="hybridMultilevel"/>
    <w:lvl w:ilvl="0">
      <w:lvlJc w:val="left"/>
      <w:lvlText w:val="▲▲"/>
      <w:numFmt w:val="bullet"/>
      <w:start w:val="1"/>
    </w:lvl>
  </w:abstractNum>
  <w:abstractNum w:abstractNumId="181">
    <w:nsid w:val="697D2D2"/>
    <w:multiLevelType w:val="hybridMultilevel"/>
    <w:lvl w:ilvl="0">
      <w:lvlJc w:val="left"/>
      <w:lvlText w:val="(%1)"/>
      <w:numFmt w:val="decimal"/>
      <w:start w:val="1"/>
    </w:lvl>
  </w:abstractNum>
  <w:abstractNum w:abstractNumId="182">
    <w:nsid w:val="6D68AB2"/>
    <w:multiLevelType w:val="hybridMultilevel"/>
    <w:lvl w:ilvl="0">
      <w:lvlJc w:val="left"/>
      <w:lvlText w:val="▲"/>
      <w:numFmt w:val="bullet"/>
      <w:start w:val="1"/>
    </w:lvl>
  </w:abstractNum>
  <w:abstractNum w:abstractNumId="183">
    <w:nsid w:val="3A966CD0"/>
    <w:multiLevelType w:val="hybridMultilevel"/>
    <w:lvl w:ilvl="0">
      <w:lvlJc w:val="left"/>
      <w:lvlText w:val="(%1)"/>
      <w:numFmt w:val="decimal"/>
      <w:start w:val="1"/>
    </w:lvl>
  </w:abstractNum>
  <w:abstractNum w:abstractNumId="184">
    <w:nsid w:val="63F37E85"/>
    <w:multiLevelType w:val="hybridMultilevel"/>
    <w:lvl w:ilvl="0">
      <w:lvlJc w:val="left"/>
      <w:lvlText w:val="(%1)"/>
      <w:numFmt w:val="decimal"/>
      <w:start w:val="1"/>
    </w:lvl>
  </w:abstractNum>
  <w:abstractNum w:abstractNumId="185">
    <w:nsid w:val="5895F5FA"/>
    <w:multiLevelType w:val="hybridMultilevel"/>
    <w:lvl w:ilvl="0">
      <w:lvlJc w:val="left"/>
      <w:lvlText w:val="(%1)"/>
      <w:numFmt w:val="decimal"/>
      <w:start w:val="5"/>
    </w:lvl>
  </w:abstractNum>
  <w:abstractNum w:abstractNumId="186">
    <w:nsid w:val="38A5D054"/>
    <w:multiLevelType w:val="hybridMultilevel"/>
    <w:lvl w:ilvl="0">
      <w:lvlJc w:val="left"/>
      <w:lvlText w:val="(%1)"/>
      <w:numFmt w:val="decimal"/>
      <w:start w:val="17"/>
    </w:lvl>
    <w:lvl w:ilvl="1">
      <w:lvlJc w:val="left"/>
      <w:lvlText w:val="(%2)"/>
      <w:numFmt w:val="decimal"/>
      <w:start w:val="18"/>
    </w:lvl>
  </w:abstractNum>
  <w:abstractNum w:abstractNumId="187">
    <w:nsid w:val="F3F09D8"/>
    <w:multiLevelType w:val="hybridMultilevel"/>
    <w:lvl w:ilvl="0">
      <w:lvlJc w:val="left"/>
      <w:lvlText w:val="(%1)"/>
      <w:numFmt w:val="decimal"/>
      <w:start w:val="1"/>
    </w:lvl>
  </w:abstractNum>
  <w:abstractNum w:abstractNumId="188">
    <w:nsid w:val="4B793735"/>
    <w:multiLevelType w:val="hybridMultilevel"/>
    <w:lvl w:ilvl="0">
      <w:lvlJc w:val="left"/>
      <w:lvlText w:val="(%1)"/>
      <w:numFmt w:val="decimal"/>
      <w:start w:val="1"/>
    </w:lvl>
  </w:abstractNum>
  <w:abstractNum w:abstractNumId="189">
    <w:nsid w:val="4A10B4E8"/>
    <w:multiLevelType w:val="hybridMultilevel"/>
    <w:lvl w:ilvl="0">
      <w:lvlJc w:val="left"/>
      <w:lvlText w:val="①"/>
      <w:numFmt w:val="bullet"/>
      <w:start w:val="1"/>
    </w:lvl>
  </w:abstractNum>
  <w:abstractNum w:abstractNumId="190">
    <w:nsid w:val="43D3BCD4"/>
    <w:multiLevelType w:val="hybridMultilevel"/>
    <w:lvl w:ilvl="0">
      <w:lvlJc w:val="left"/>
      <w:lvlText w:val="②"/>
      <w:numFmt w:val="bullet"/>
      <w:start w:val="1"/>
    </w:lvl>
  </w:abstractNum>
  <w:abstractNum w:abstractNumId="191">
    <w:nsid w:val="4C2A7166"/>
    <w:multiLevelType w:val="hybridMultilevel"/>
    <w:lvl w:ilvl="0">
      <w:lvlJc w:val="left"/>
      <w:lvlText w:val="③"/>
      <w:numFmt w:val="bullet"/>
      <w:start w:val="1"/>
    </w:lvl>
  </w:abstractNum>
  <w:abstractNum w:abstractNumId="192">
    <w:nsid w:val="2E534A82"/>
    <w:multiLevelType w:val="hybridMultilevel"/>
    <w:lvl w:ilvl="0">
      <w:lvlJc w:val="left"/>
      <w:lvlText w:val="(%1)"/>
      <w:numFmt w:val="decimal"/>
      <w:start w:val="1"/>
    </w:lvl>
  </w:abstractNum>
  <w:abstractNum w:abstractNumId="193">
    <w:nsid w:val="26F2D364"/>
    <w:multiLevelType w:val="hybridMultilevel"/>
    <w:lvl w:ilvl="0">
      <w:lvlJc w:val="left"/>
      <w:lvlText w:val="(%1)"/>
      <w:numFmt w:val="decimal"/>
      <w:start w:val="1"/>
    </w:lvl>
  </w:abstractNum>
  <w:abstractNum w:abstractNumId="194">
    <w:nsid w:val="71C1AF98"/>
    <w:multiLevelType w:val="hybridMultilevel"/>
    <w:lvl w:ilvl="0">
      <w:lvlJc w:val="left"/>
      <w:lvlText w:val="(%1)"/>
      <w:numFmt w:val="decimal"/>
      <w:start w:val="1"/>
    </w:lvl>
  </w:abstractNum>
  <w:abstractNum w:abstractNumId="195">
    <w:nsid w:val="3D00B9D9"/>
    <w:multiLevelType w:val="hybridMultilevel"/>
    <w:lvl w:ilvl="0">
      <w:lvlJc w:val="left"/>
      <w:lvlText w:val="/"/>
      <w:numFmt w:val="bullet"/>
      <w:start w:val="1"/>
    </w:lvl>
  </w:abstractNum>
  <w:abstractNum w:abstractNumId="196">
    <w:nsid w:val="15BCABA8"/>
    <w:multiLevelType w:val="hybridMultilevel"/>
    <w:lvl w:ilvl="0">
      <w:lvlJc w:val="left"/>
      <w:lvlText w:val="%1."/>
      <w:numFmt w:val="decimal"/>
      <w:start w:val="6"/>
    </w:lvl>
  </w:abstractNum>
  <w:abstractNum w:abstractNumId="197">
    <w:nsid w:val="4E0B9A87"/>
    <w:multiLevelType w:val="hybridMultilevel"/>
    <w:lvl w:ilvl="0">
      <w:lvlJc w:val="left"/>
      <w:lvlText w:val="☐"/>
      <w:numFmt w:val="bullet"/>
      <w:start w:val="1"/>
    </w:lvl>
  </w:abstractNum>
  <w:abstractNum w:abstractNumId="198">
    <w:nsid w:val="434BAE75"/>
    <w:multiLevelType w:val="hybridMultilevel"/>
    <w:lvl w:ilvl="0">
      <w:lvlJc w:val="left"/>
      <w:lvlText w:val="%1."/>
      <w:numFmt w:val="decimal"/>
      <w:start w:val="13"/>
    </w:lvl>
    <w:lvl w:ilvl="1">
      <w:lvlJc w:val="left"/>
      <w:lvlText w:val="☐"/>
      <w:numFmt w:val="bullet"/>
      <w:start w:val="1"/>
    </w:lvl>
  </w:abstractNum>
  <w:abstractNum w:abstractNumId="199">
    <w:nsid w:val="4F38F265"/>
    <w:multiLevelType w:val="hybridMultilevel"/>
    <w:lvl w:ilvl="0">
      <w:lvlJc w:val="left"/>
      <w:lvlText w:val="☐"/>
      <w:numFmt w:val="bullet"/>
      <w:start w:val="1"/>
    </w:lvl>
  </w:abstractNum>
  <w:abstractNum w:abstractNumId="200">
    <w:nsid w:val="4C502870"/>
    <w:multiLevelType w:val="hybridMultilevel"/>
    <w:lvl w:ilvl="0">
      <w:lvlJc w:val="left"/>
      <w:lvlText w:val="☐"/>
      <w:numFmt w:val="bullet"/>
      <w:start w:val="1"/>
    </w:lvl>
  </w:abstractNum>
  <w:abstractNum w:abstractNumId="201">
    <w:nsid w:val="1DE8725A"/>
    <w:multiLevelType w:val="hybridMultilevel"/>
    <w:lvl w:ilvl="0">
      <w:lvlJc w:val="left"/>
      <w:lvlText w:val="%1."/>
      <w:numFmt w:val="decimal"/>
      <w:start w:val="1"/>
    </w:lvl>
  </w:abstractNum>
  <w:abstractNum w:abstractNumId="202">
    <w:nsid w:val="6A37288A"/>
    <w:multiLevelType w:val="hybridMultilevel"/>
    <w:lvl w:ilvl="0">
      <w:lvlJc w:val="left"/>
      <w:lvlText w:val="%1."/>
      <w:numFmt w:val="decimal"/>
      <w:start w:val="2"/>
    </w:lvl>
  </w:abstractNum>
  <w:abstractNum w:abstractNumId="203">
    <w:nsid w:val="8F8B73F"/>
    <w:multiLevelType w:val="hybridMultilevel"/>
    <w:lvl w:ilvl="0">
      <w:lvlJc w:val="left"/>
      <w:lvlText w:val="%1."/>
      <w:numFmt w:val="decimal"/>
      <w:start w:val="4"/>
    </w:lvl>
  </w:abstractNum>
  <w:abstractNum w:abstractNumId="204">
    <w:nsid w:val="CA6B462"/>
    <w:multiLevelType w:val="hybridMultilevel"/>
    <w:lvl w:ilvl="0">
      <w:lvlJc w:val="left"/>
      <w:lvlText w:val="%1."/>
      <w:numFmt w:val="decimal"/>
      <w:start w:val="1"/>
    </w:lvl>
  </w:abstractNum>
  <w:abstractNum w:abstractNumId="205">
    <w:nsid w:val="763CB680"/>
    <w:multiLevelType w:val="hybridMultilevel"/>
    <w:lvl w:ilvl="0">
      <w:lvlJc w:val="left"/>
      <w:lvlText w:val="%1."/>
      <w:numFmt w:val="decimal"/>
      <w:start w:val="1"/>
    </w:lvl>
  </w:abstractNum>
  <w:abstractNum w:abstractNumId="206">
    <w:nsid w:val="15B71329"/>
    <w:multiLevelType w:val="hybridMultilevel"/>
    <w:lvl w:ilvl="0">
      <w:lvlJc w:val="left"/>
      <w:lvlText w:val="%1."/>
      <w:numFmt w:val="decimal"/>
      <w:start w:val="2"/>
    </w:lvl>
  </w:abstractNum>
  <w:abstractNum w:abstractNumId="207">
    <w:nsid w:val="3DA97044"/>
    <w:multiLevelType w:val="hybridMultilevel"/>
    <w:lvl w:ilvl="0">
      <w:lvlJc w:val="left"/>
      <w:lvlText w:val="%1."/>
      <w:numFmt w:val="decimal"/>
      <w:start w:val="4"/>
    </w:lvl>
  </w:abstractNum>
  <w:abstractNum w:abstractNumId="208">
    <w:nsid w:val="1CDCE2DE"/>
    <w:multiLevelType w:val="hybridMultilevel"/>
    <w:lvl w:ilvl="0">
      <w:lvlJc w:val="left"/>
      <w:lvlText w:val="%1."/>
      <w:numFmt w:val="decimal"/>
      <w:start w:val="5"/>
    </w:lvl>
  </w:abstractNum>
  <w:abstractNum w:abstractNumId="209">
    <w:nsid w:val="69D3947C"/>
    <w:multiLevelType w:val="hybridMultilevel"/>
    <w:lvl w:ilvl="0">
      <w:lvlJc w:val="left"/>
      <w:lvlText w:val="%1."/>
      <w:numFmt w:val="decimal"/>
      <w:start w:val="1"/>
    </w:lvl>
  </w:abstractNum>
  <w:abstractNum w:abstractNumId="210">
    <w:nsid w:val="2539DFA5"/>
    <w:multiLevelType w:val="hybridMultilevel"/>
    <w:lvl w:ilvl="0">
      <w:lvlJc w:val="left"/>
      <w:lvlText w:val="%1."/>
      <w:numFmt w:val="decimal"/>
      <w:start w:val="1"/>
    </w:lvl>
  </w:abstractNum>
  <w:abstractNum w:abstractNumId="211">
    <w:nsid w:val="2DB88089"/>
    <w:multiLevelType w:val="hybridMultilevel"/>
    <w:lvl w:ilvl="0">
      <w:lvlJc w:val="left"/>
      <w:lvlText w:val="%1."/>
      <w:numFmt w:val="decimal"/>
      <w:start w:val="1"/>
    </w:lvl>
    <w:lvl w:ilvl="1">
      <w:lvlJc w:val="left"/>
      <w:lvlText w:val="%2."/>
      <w:numFmt w:val="lowerLetter"/>
      <w:start w:val="1"/>
    </w:lvl>
  </w:abstractNum>
  <w:abstractNum w:abstractNumId="212">
    <w:nsid w:val="706B674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4"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jpeg"/><Relationship Id="rId374" Type="http://schemas.openxmlformats.org/officeDocument/2006/relationships/image" Target="media/image348.jpeg"/><Relationship Id="rId375" Type="http://schemas.openxmlformats.org/officeDocument/2006/relationships/image" Target="media/image349.jpe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jpeg"/><Relationship Id="rId382" Type="http://schemas.openxmlformats.org/officeDocument/2006/relationships/image" Target="media/image356.jpeg"/><Relationship Id="rId383" Type="http://schemas.openxmlformats.org/officeDocument/2006/relationships/image" Target="media/image357.jpe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jpeg"/><Relationship Id="rId422" Type="http://schemas.openxmlformats.org/officeDocument/2006/relationships/image" Target="media/image396.jpeg"/><Relationship Id="rId423" Type="http://schemas.openxmlformats.org/officeDocument/2006/relationships/image" Target="media/image397.png"/><Relationship Id="rId424" Type="http://schemas.openxmlformats.org/officeDocument/2006/relationships/image" Target="media/image398.jpeg"/><Relationship Id="rId425" Type="http://schemas.openxmlformats.org/officeDocument/2006/relationships/image" Target="media/image399.jpe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jpeg"/><Relationship Id="rId456" Type="http://schemas.openxmlformats.org/officeDocument/2006/relationships/image" Target="media/image430.jpeg"/><Relationship Id="rId457" Type="http://schemas.openxmlformats.org/officeDocument/2006/relationships/image" Target="media/image431.png"/><Relationship Id="rId458" Type="http://schemas.openxmlformats.org/officeDocument/2006/relationships/image" Target="media/image432.jpeg"/><Relationship Id="rId459" Type="http://schemas.openxmlformats.org/officeDocument/2006/relationships/image" Target="media/image433.jpeg"/><Relationship Id="rId223" Type="http://schemas.openxmlformats.org/officeDocument/2006/relationships/hyperlink" Target="http://www.sec.gov/Archives/edgar/data/1724542/000121390018007070/f6k052918ex1-1_clpsincorp.htm" TargetMode="External"/><Relationship Id="rId225" Type="http://schemas.openxmlformats.org/officeDocument/2006/relationships/hyperlink" Target="http://www.sec.gov/Archives/edgar/data/1724542/000121390018003524/ff12018ex3-1_clpsincorp.htm" TargetMode="External"/><Relationship Id="rId226" Type="http://schemas.openxmlformats.org/officeDocument/2006/relationships/hyperlink" Target="http://www.sec.gov/Archives/edgar/data/1724542/000121390018003524/ff12018ex4-1_clpsincorp.htm" TargetMode="External"/><Relationship Id="rId227" Type="http://schemas.openxmlformats.org/officeDocument/2006/relationships/hyperlink" Target="http://www.sec.gov/Archives/edgar/data/1724542/000121390018003524/ff12018ex10-1_clpsincorp.htm" TargetMode="External"/><Relationship Id="rId228" Type="http://schemas.openxmlformats.org/officeDocument/2006/relationships/hyperlink" Target="http://www.sec.gov/Archives/edgar/data/1724542/000121390019007304/fs82019ex10-1_clpsincorp.htm" TargetMode="External"/><Relationship Id="rId229" Type="http://schemas.openxmlformats.org/officeDocument/2006/relationships/hyperlink" Target="http://www.sec.gov/Archives/edgar/data/1724542/000121390020010075/ea121022ex10-1_clpsincorp.htm" TargetMode="External"/><Relationship Id="rId230" Type="http://schemas.openxmlformats.org/officeDocument/2006/relationships/hyperlink" Target="http://www.sec.gov/Archives/edgar/data/1724542/000121390018003524/ff12018ex10-2_clpsincorp.htm" TargetMode="External"/><Relationship Id="rId231" Type="http://schemas.openxmlformats.org/officeDocument/2006/relationships/hyperlink" Target="http://www.sec.gov/Archives/edgar/data/1724542/000121390018003524/ff12018ex10-3_clpsincorp.htm" TargetMode="External"/><Relationship Id="rId232" Type="http://schemas.openxmlformats.org/officeDocument/2006/relationships/hyperlink" Target="http://www.sec.gov/Archives/edgar/data/1724542/000121390018003524/ff12018ex10-4_clpsincorp.htm" TargetMode="External"/><Relationship Id="rId233" Type="http://schemas.openxmlformats.org/officeDocument/2006/relationships/hyperlink" Target="http://www.sec.gov/Archives/edgar/data/1724542/000121390019021899/f6k110419ex99-1_clpsincorp.htm" TargetMode="External"/><Relationship Id="rId234" Type="http://schemas.openxmlformats.org/officeDocument/2006/relationships/hyperlink" Target="http://www.sec.gov/Archives/edgar/data/1724542/000121390018003524/ff12018ex10-6_clpsincorp.htm" TargetMode="External"/><Relationship Id="rId235" Type="http://schemas.openxmlformats.org/officeDocument/2006/relationships/hyperlink" Target="http://www.sec.gov/Archives/edgar/data/1724542/000121390018003524/ff12018ex10-8_clpsincorp.htm" TargetMode="External"/><Relationship Id="rId236" Type="http://schemas.openxmlformats.org/officeDocument/2006/relationships/hyperlink" Target="https://www.sec.gov/Archives/edgar/data/1724542/000121390018006558/ff12018a2ex10-9_clpsinc.htm" TargetMode="External"/><Relationship Id="rId237" Type="http://schemas.openxmlformats.org/officeDocument/2006/relationships/hyperlink" Target="https://www.sec.gov/Archives/edgar/data/1724542/000121390018006558/ff12018a2ex10-10_clpsinc.htm" TargetMode="External"/><Relationship Id="rId238" Type="http://schemas.openxmlformats.org/officeDocument/2006/relationships/hyperlink" Target="https://www.sec.gov/Archives/edgar/data/1724542/000121390018006558/ff12018a2ex10-11_clpsinc.htm" TargetMode="External"/><Relationship Id="rId239" Type="http://schemas.openxmlformats.org/officeDocument/2006/relationships/hyperlink" Target="http://www.sec.gov/Archives/edgar/data/1724542/000121390018003524/ff12018ex14-1_clpsincorp.htm" TargetMode="External"/><Relationship Id="rId240" Type="http://schemas.openxmlformats.org/officeDocument/2006/relationships/hyperlink" Target="http://www.sec.gov/Archives/edgar/data/1724542/000121390018003524/ff12018ex99-1_clpsincorp.htm" TargetMode="External"/><Relationship Id="rId241" Type="http://schemas.openxmlformats.org/officeDocument/2006/relationships/hyperlink" Target="http://www.sec.gov/Archives/edgar/data/1724542/000121390018003524/ff12018ex99-2_clpsincorp.htm" TargetMode="External"/><Relationship Id="rId242"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2020-10-22T16:13:48Z</dcterms:created>
  <dcterms:modified xsi:type="dcterms:W3CDTF">2020-10-22T16:13:48Z</dcterms:modified>
</cp:coreProperties>
</file>