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PURSUANT </w:t>
      </w:r>
      <w:r>
        <w:rPr>
          <w:rFonts w:ascii="Arial" w:cs="Arial" w:eastAsia="Arial" w:hAnsi="Arial"/>
          <w:sz w:val="18"/>
          <w:szCs w:val="18"/>
          <w:color w:val="auto"/>
        </w:rPr>
        <w:t>TO</w:t>
      </w:r>
      <w:r>
        <w:rPr>
          <w:rFonts w:ascii="Arial" w:cs="Arial" w:eastAsia="Arial" w:hAnsi="Arial"/>
          <w:sz w:val="18"/>
          <w:szCs w:val="18"/>
          <w:b w:val="1"/>
          <w:bCs w:val="1"/>
          <w:color w:val="auto"/>
        </w:rPr>
        <w:t xml:space="preserve">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March 2020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001-38505</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March 6, 2020, CLPS Incorporation (the “Company”) issued a press release announcing its financial results for the six months ended December 31, 2019, or the first half of the Company’s fiscal year 2020. A copy of this press release is filed as Exhibit 99.1 to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42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6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2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3080"/>
              <w:spacing w:after="0"/>
              <w:rPr>
                <w:sz w:val="20"/>
                <w:szCs w:val="20"/>
                <w:color w:val="auto"/>
              </w:rPr>
            </w:pPr>
            <w:r>
              <w:rPr>
                <w:rFonts w:ascii="Arial" w:cs="Arial" w:eastAsia="Arial" w:hAnsi="Arial"/>
                <w:sz w:val="18"/>
                <w:szCs w:val="18"/>
                <w:b w:val="1"/>
                <w:bCs w:val="1"/>
                <w:color w:val="auto"/>
              </w:rPr>
              <w:t>CLPS Incorporation</w:t>
            </w:r>
          </w:p>
        </w:tc>
      </w:tr>
      <w:tr>
        <w:trPr>
          <w:trHeight w:val="439"/>
        </w:trPr>
        <w:tc>
          <w:tcPr>
            <w:tcW w:w="3620" w:type="dxa"/>
            <w:vAlign w:val="bottom"/>
          </w:tcPr>
          <w:p>
            <w:pPr>
              <w:spacing w:after="0"/>
              <w:rPr>
                <w:sz w:val="20"/>
                <w:szCs w:val="20"/>
                <w:color w:val="auto"/>
              </w:rPr>
            </w:pPr>
            <w:r>
              <w:rPr>
                <w:rFonts w:ascii="Arial" w:cs="Arial" w:eastAsia="Arial" w:hAnsi="Arial"/>
                <w:sz w:val="18"/>
                <w:szCs w:val="18"/>
                <w:color w:val="auto"/>
              </w:rPr>
              <w:t>Dated: March 12, 2020</w:t>
            </w:r>
          </w:p>
        </w:tc>
        <w:tc>
          <w:tcPr>
            <w:tcW w:w="3600" w:type="dxa"/>
            <w:vAlign w:val="bottom"/>
          </w:tcPr>
          <w:p>
            <w:pPr>
              <w:ind w:left="30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Lin</w:t>
            </w:r>
          </w:p>
        </w:tc>
      </w:tr>
      <w:tr>
        <w:trPr>
          <w:trHeight w:val="202"/>
        </w:trPr>
        <w:tc>
          <w:tcPr>
            <w:tcW w:w="3620" w:type="dxa"/>
            <w:vAlign w:val="bottom"/>
          </w:tcPr>
          <w:p>
            <w:pPr>
              <w:spacing w:after="0"/>
              <w:rPr>
                <w:sz w:val="17"/>
                <w:szCs w:val="17"/>
                <w:color w:val="auto"/>
              </w:rPr>
            </w:pPr>
          </w:p>
        </w:tc>
        <w:tc>
          <w:tcPr>
            <w:tcW w:w="3600" w:type="dxa"/>
            <w:vAlign w:val="bottom"/>
          </w:tcPr>
          <w:p>
            <w:pPr>
              <w:ind w:left="3080"/>
              <w:spacing w:after="0" w:line="201" w:lineRule="exact"/>
              <w:rPr>
                <w:sz w:val="20"/>
                <w:szCs w:val="20"/>
                <w:color w:val="auto"/>
              </w:rPr>
            </w:pPr>
            <w:r>
              <w:rPr>
                <w:rFonts w:ascii="Arial" w:cs="Arial" w:eastAsia="Arial" w:hAnsi="Arial"/>
                <w:sz w:val="18"/>
                <w:szCs w:val="18"/>
                <w:color w:val="auto"/>
                <w:w w:val="94"/>
              </w:rPr>
              <w:t>Name:</w:t>
            </w:r>
          </w:p>
        </w:tc>
        <w:tc>
          <w:tcPr>
            <w:tcW w:w="4020" w:type="dxa"/>
            <w:vAlign w:val="bottom"/>
          </w:tcPr>
          <w:p>
            <w:pPr>
              <w:spacing w:after="0" w:line="201" w:lineRule="exact"/>
              <w:rPr>
                <w:sz w:val="20"/>
                <w:szCs w:val="20"/>
                <w:color w:val="auto"/>
              </w:rPr>
            </w:pPr>
            <w:r>
              <w:rPr>
                <w:rFonts w:ascii="Arial" w:cs="Arial" w:eastAsia="Arial" w:hAnsi="Arial"/>
                <w:sz w:val="18"/>
                <w:szCs w:val="18"/>
                <w:color w:val="auto"/>
              </w:rPr>
              <w:t>Raymond Ming Hui Lin</w:t>
            </w:r>
          </w:p>
        </w:tc>
      </w:tr>
      <w:tr>
        <w:trPr>
          <w:trHeight w:val="230"/>
        </w:trPr>
        <w:tc>
          <w:tcPr>
            <w:tcW w:w="3620" w:type="dxa"/>
            <w:vAlign w:val="bottom"/>
          </w:tcPr>
          <w:p>
            <w:pPr>
              <w:spacing w:after="0"/>
              <w:rPr>
                <w:sz w:val="20"/>
                <w:szCs w:val="20"/>
                <w:color w:val="auto"/>
              </w:rPr>
            </w:pPr>
          </w:p>
        </w:tc>
        <w:tc>
          <w:tcPr>
            <w:tcW w:w="3600" w:type="dxa"/>
            <w:vAlign w:val="bottom"/>
          </w:tcPr>
          <w:p>
            <w:pPr>
              <w:ind w:left="3080"/>
              <w:spacing w:after="0"/>
              <w:rPr>
                <w:sz w:val="20"/>
                <w:szCs w:val="20"/>
                <w:color w:val="auto"/>
              </w:rPr>
            </w:pPr>
            <w:r>
              <w:rPr>
                <w:rFonts w:ascii="Arial" w:cs="Arial" w:eastAsia="Arial" w:hAnsi="Arial"/>
                <w:sz w:val="18"/>
                <w:szCs w:val="18"/>
                <w:color w:val="auto"/>
              </w:rPr>
              <w:t>Title:</w:t>
            </w:r>
          </w:p>
        </w:tc>
        <w:tc>
          <w:tcPr>
            <w:tcW w:w="40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55"/>
        </w:trPr>
        <w:tc>
          <w:tcPr>
            <w:tcW w:w="36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2</w:t>
            </w: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 Reports Financial Results for the First Half of Fiscal Year 2020</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SHANGHAI, March 6, 2020 /PRNewswire/ -- CLPS Incorporation (the “Company” or “CLPS”) (Nasdaq: CLPS), today announced its unaudited financial results for the six months ended December 31, 2019, or the first half of the Company’s fiscal year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Half of Fiscal 2020 Highlights (all results compared to the six months ended December 31, 2018)</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increased by 38.2% to $42.6 million from $30.8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Gross profit increased by 37.7% to $15.4 million from $11.2 million. Gross margin remained relatively flat at 36% compared to the prior year period.</w:t>
      </w:r>
    </w:p>
    <w:p>
      <w:pPr>
        <w:spacing w:after="0" w:line="248" w:lineRule="exact"/>
        <w:rPr>
          <w:sz w:val="20"/>
          <w:szCs w:val="20"/>
          <w:color w:val="auto"/>
        </w:rPr>
      </w:pPr>
    </w:p>
    <w:p>
      <w:pPr>
        <w:jc w:val="both"/>
        <w:ind w:left="660" w:hanging="323"/>
        <w:spacing w:after="0" w:line="277" w:lineRule="auto"/>
        <w:rPr>
          <w:sz w:val="20"/>
          <w:szCs w:val="20"/>
          <w:color w:val="auto"/>
        </w:rPr>
      </w:pPr>
      <w:r>
        <w:rPr>
          <w:rFonts w:ascii="Arial" w:cs="Arial" w:eastAsia="Arial" w:hAnsi="Arial"/>
          <w:sz w:val="18"/>
          <w:szCs w:val="18"/>
          <w:color w:val="auto"/>
        </w:rPr>
        <w:t>Net income attributable to CLPS Incorporation’s shareholders was $2.4 million, or $0.17 basic and diluted earnings per share, compared to net loss attributable to CLPS Incorporation’s shareholders of $1.4 million, or $0.10 basic and diluted losses per share.</w:t>
      </w:r>
    </w:p>
    <w:p>
      <w:pPr>
        <w:spacing w:after="0" w:line="174" w:lineRule="exact"/>
        <w:rPr>
          <w:sz w:val="20"/>
          <w:szCs w:val="20"/>
          <w:color w:val="auto"/>
        </w:rPr>
      </w:pPr>
    </w:p>
    <w:p>
      <w:pPr>
        <w:jc w:val="both"/>
        <w:ind w:left="660" w:hanging="323"/>
        <w:spacing w:after="0" w:line="224" w:lineRule="auto"/>
        <w:rPr>
          <w:sz w:val="20"/>
          <w:szCs w:val="20"/>
          <w:color w:val="auto"/>
        </w:rPr>
      </w:pPr>
      <w:r>
        <w:rPr>
          <w:rFonts w:ascii="Arial" w:cs="Arial" w:eastAsia="Arial" w:hAnsi="Arial"/>
          <w:sz w:val="18"/>
          <w:szCs w:val="18"/>
          <w:color w:val="auto"/>
        </w:rPr>
        <w:t>Non-GAAP net income attributable to CLPS Incorporation’s shareholders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increased by 33.1% to $3.4 million, or $0.24 basic and diluted earnings per share, compared to $2.6 million, or $0.19 basic earnings per share and $0.18 diluted earnings per share (See </w:t>
      </w:r>
      <w:r>
        <w:rPr>
          <w:rFonts w:ascii="Arial" w:cs="Arial" w:eastAsia="Arial" w:hAnsi="Arial"/>
          <w:sz w:val="18"/>
          <w:szCs w:val="18"/>
          <w:b w:val="1"/>
          <w:bCs w:val="1"/>
          <w:color w:val="auto"/>
        </w:rPr>
        <w:t>Use of Non-GAAP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Measures </w:t>
      </w:r>
      <w:r>
        <w:rPr>
          <w:rFonts w:ascii="Arial" w:cs="Arial" w:eastAsia="Arial" w:hAnsi="Arial"/>
          <w:sz w:val="18"/>
          <w:szCs w:val="18"/>
          <w:color w:val="auto"/>
        </w:rPr>
        <w:t>below for a discussion of such measures as used in this press release).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Raymond Lin, Co-Founder and Chief Executive Officer of CLPS, commented, “With strong demand for global financial IT services and solutions, CLPS was able to continue the implementation of its global expansion strategy and make further improvements in its business. Our highly effective IT services and solutions were able to deliver on demand, and new technologies such as micro services, robotic process automation (RPA) applications, and big data lowered operational costs. We also provided professional training in management and technical subjects in order to improve the overall capabilities of our staff and to attract more talent.”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remainder of the fiscal year, CLPS will continue to expand globally, proactively acquire and service more international clients, especially those in the U.S., and continue to grow our acquired businesses. At the same time, we will launch comprehensive services related to our advantages in the credit card industry. We will also ensure sustainable and high quality growth for CLPS, and create long-term value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auto"/>
        </w:rPr>
        <w:t>Ms. Rui Yang, acting Chief Financial Officer of CLPS, commented, “During the first six months of fiscal 2020, revenues continued to grow strongly, increasing 38.2% year over year. Net income attributable to CLPS Incorporation’s shareholders for this period turned profitable to $2.4 million compared to a loss of $1.4 million in the same period last year. GAAP and non-GAAP basic earnings per share were $0.17 and $0.24, respectively. With the continued implementation of our global expansion strategy, we are confident that we have the ability to continue delivering good financial performance and to continuously improve our capabilities to create value for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Half of Fiscal Year 2020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half of fiscal 2020, revenues increased by $11.8 million, or 38.2%, to $42.6 million from $30.8 million in the prior year period. This increase in revenue was mainly due to an increase in revenue from IT consulting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Service</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from IT consulting services increased by $11.8 million, or 39.8%, to $41.6 million and accounted for 97.7% of total revenue in the first half of fiscal 2020 from $29.8 million, or 96.6% of total revenue, in the same period of the previous year. The increase was primarily due to increased demand from existing and new clients. For the six months ended December 31, 2019 and 2018, 41.3% and 50.3% of IT consulting services revenue were from international banks, respectively.</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from customized IT solution services decreased by $0.2 million, or 25.9%, to $0.7 million in the first half of fiscal 2020 from $0.9 million.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from other services increased to $0.3 million in the first half of fiscal year 2020 from $0.1 million in the same period of the previous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Geography</w:t>
      </w:r>
    </w:p>
    <w:p>
      <w:pPr>
        <w:spacing w:after="0" w:line="225" w:lineRule="exact"/>
        <w:rPr>
          <w:sz w:val="20"/>
          <w:szCs w:val="20"/>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from overseas services increased by 179.5% to $4.3 million in the first half of fiscal year 2020 from $1.5 million in the same period of the previous year. Overseas revenue accounted for 10.1% of total revenue compared to 5.0% in the prior year period. The increase in overseas revenue reflects the Company’s successful and continuous global expansion strategy.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increased by $4.2 million, or 37.7%, to $15.4 million in the first half of fiscal 2020 from $11.2 million in the prior year period. Gross margin in the first half of fiscal 2020 remained relatively flat at 36% compared to the prior 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Selling and marketing expenses increased by $0.4 million, or 44.3%, to $1.4 million in the first half of fiscal 2020 from $1.0 million in the prior year period due to the increase of salary expenses as new staff were hired, enabling the implementation of the Company’s global expansion strategy.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by $2.0 million, or 65.2%, to $5.0 million in the first half of fiscal 2020 from $3.0 million in the prior year period. The increase was primarily due to the establishment of four new research projects and the Company’s continued R&amp;D efforts in big data, blockchain, and artificial intelligence (AI).</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General and administrative expenses decreased by $1.3 million, or 13.8%, to $7.9 million in the first half of fiscal 2020 from $9.2 million in the prior year period. The decrease was primarily due to the deduction of $3.0 million non-cash share-based compensation expenses related to the grants under the 2017</w:t>
      </w:r>
    </w:p>
    <w:p>
      <w:pPr>
        <w:jc w:val="both"/>
        <w:spacing w:after="0" w:line="227" w:lineRule="auto"/>
        <w:rPr>
          <w:sz w:val="20"/>
          <w:szCs w:val="20"/>
          <w:color w:val="auto"/>
        </w:rPr>
      </w:pPr>
      <w:r>
        <w:rPr>
          <w:rFonts w:ascii="Arial" w:cs="Arial" w:eastAsia="Arial" w:hAnsi="Arial"/>
          <w:sz w:val="18"/>
          <w:szCs w:val="18"/>
          <w:color w:val="auto"/>
        </w:rPr>
        <w:t xml:space="preserve">Equity Incentive Plan. After excluding the impact of non-cash share-based compensation expenses, non-GAAP general and administrative expenses </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increased by $1.8 million, or 33.4%, to $6.9 million in the first half of fiscal 2020 from $5.1 million in the same period of the previous year. The increase in non-GAAP administrative expenses was primarily due to routine expenses incurred after going public and due to a year-over-year increase in salary and compensation expenses.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increased by $3.2 million to $1.2 million in the first half of fiscal 2020 from a loss of $2.0 million in the same period of the previous year. Operating margin was 2.9% in the first half of fiscal 2020 compared to (6.5%) in the prior year period.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 for income taxes increased by $0.2 million to $0.4 million in the first half of fiscal 2020 from $0.2 million in the same period of the previous year, mainly due to the increase of deferred income tax expenses due to changes in tax rates of the Company’s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EPS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income increased by $4.0 million to $2.3 million in the first half of fiscal 2020 from a loss of $1.7 million in the prior year period. The increase in net income was due to the decrease in non-cash share-based compensation expenses. After excluding the impact of non-cash share-based compensation</w:t>
      </w:r>
    </w:p>
    <w:p>
      <w:pPr>
        <w:jc w:val="both"/>
        <w:spacing w:after="0" w:line="247" w:lineRule="auto"/>
        <w:rPr>
          <w:sz w:val="20"/>
          <w:szCs w:val="20"/>
          <w:color w:val="auto"/>
        </w:rPr>
      </w:pPr>
      <w:r>
        <w:rPr>
          <w:rFonts w:ascii="Arial" w:cs="Arial" w:eastAsia="Arial" w:hAnsi="Arial"/>
          <w:sz w:val="16"/>
          <w:szCs w:val="16"/>
          <w:color w:val="auto"/>
        </w:rPr>
        <w:t>expenses, non-GAAP net income</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increased by $1.1 million, or 44.3%, to $3.4 million in the first half of fiscal 2020 from $2.3 million in the same period of the previous year. After excluding the impact of non-controlling interests, net income attributable to CLPS Incorporation’s shareholders in the first half of fiscal 2020 was $2.4 million, or $0.17 per basic and diluted share. After excluding the impact of non-cash share-based compensation expenses, non-</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GAAP net income attributable to CLPS Incorporation’s shareholders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in the first half of fiscal 2020 was $3.4 million, or $0.24 per basic and diluted share. This is compared to non-GAAP net income attributable to CLPS Incorporation’s shareholders of $2.6 million, or $0.19 per basic share and $0.18 per diluted share, in the first half of fiscal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Company had cash and cash equivalents of $11.2 million compared to $6.6 million as of June 30, 2019.</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was approximately $5.7 million for the six months ended December 31, 2019, including net income of $2.3 million, adjusted for non-cash items of $1.6 million and positive adjustments for changes in operating assets and liabilities of $1.8 million. Non-cash items include the share-based compensation reserves of $1.1 million.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December 31, 2019, net cash provided by investing activities was approximately $0.4 million, primarily due to the redemption of short-term investments and payments made for business acquisitions.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approximately $1.3 million for the six months ended December 31, 2019. During this period, the Company had bank loans of approximately $0.7 million and repaid loans of approximately $2.2 million.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Financial Outlook</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fiscal year 2020, the Company expects, absent material acquisitions or non-recurring transactions, total sales growth in the range of approximately 30% to 35%, net income to turn profitable, and non-GAAP net income growth in the range of approximately 30% to 35% compared to fiscal year 2019 financial results. The foregoing guidance includes estimated 2020 financial results of the RiDiK Pte. Ltd. acquisition, an entity in which the Company acquired an 80% equity stake in September 2019. In addition, this guidance necessarily assumes no significant adverse price changes during fiscal year 2020.</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forecast reflects the Company’s current and preliminary views, which are subject to change and are subject to risks and uncertainties, including, but not limited to, potential accounting adjustments attributable to RiDiK Pte. Ltd. acquisition as well as various risks and uncertainties facing the Company’s business and operations as identified in its public filings.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balance sheet amounts with the exception of equity as of December 31, 2019, were translated at 6.9618 RMB to 1.00 USD compared to 6.8755 RMB to 1.00 USD as of December 31, 2018. The equity accounts were stated at their historical rate. The average translation rates applied to the income statements accounts for the periods ended December 31, 2019 and 2018 were 7.0297 RMB to 1.00 USD and 6.8585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CLPS Incorporation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Headquartered in Shanghai, China, CLPS Incorporation (the “Company”) (Nasdaq: CLPS) is a global leading information technology (“IT”), consulting and solutions service provider focusing on the banking, insurance and financial sectors. The Company serves as an IT solutions provider to a growing network of clients in the global financial industry, including large financial institutions in the US, Europe, Australia and Hong Kong and their PRC-based IT centers. The Company maintains 18 delivery and/or research &amp; development centers to serve different customers in various geographic locations. Mainland China centers are located in Shanghai, Beijing, Dalian, Tianjin, Baoding, Chengdu, Guangzhou, Shenzhen, Hangzhou, and Suzhou. The remaining eight global centers are located in Hong Kong SAR, USA, UK, Japan, Singapore, Malaysia, Australia, and India. For further information regarding the Company, please visit: http://ir.clpsglobal.com/.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and involve known and unknown risks, uncertainties and other factors, which may be beyond the Company’s control, and which may cause the actual results, performance, capital, ownership or achievements of the Company to be materially different from future results, performance or achievements expressed or implied by such forward-looking statements. All such statements attributable to us are expressly qualified in their entirety by this cautionary notice, including, without limitation, those risks and uncertainties related to the Company’s financial and operational performance in the first half of 2020, its expectations of the Company’s future performance, its preliminary outlook and guidance offered in this presentation, as well as the risks and uncertainties described in the Company’s most recently filed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unaudited condensed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operating income, non-GAAP operating margin, non-GAAP net income attributable to CLPS Incorporation’s shareholders, and basic and diluted non-GAAP net income per share, which are non-GAAP financial measures. Non-GAAP operating income is operating income excluding share-based compensation expenses. Non-GAAP operating margin is non-GAAP operating income as a percentage of revenues. Non-GAAP net income attributable to CLPS Incorporation’s shareholders is net income attributable to CLPS Incorporation’s shareholders excluding share-based compensation expenses. Basic and diluted non-GAAP net income per share is non-GAAP net income attributable to common shareholders divided by weighted average number of shares used in the calculation of basic and diluted net income per share. The Company believes that separate analysis and exclusion of the non-cash impact of share-based compensation expenses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effect of non-cash share-based compensation expenses,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presentation of these non-GAAP financial measures is not intended to be considered in isolation from, or as a substitute for, the financial information prepared and presented in accordance with U.S. GAAP. The Company encourages investors to carefully consider its results under GAAP, as well as its supplemental non-GAAP information and the reconciliation between these presentations, to more fully understand its business. For more information on these non-GAAP financial measures, please see the table captioned “Reconciliations of Non-GAAP to GAAP Results” near the end of this release.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ir@clpsglobal.com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jc w:val="both"/>
        <w:ind w:left="340" w:hanging="332"/>
        <w:spacing w:after="0" w:line="209" w:lineRule="auto"/>
        <w:tabs>
          <w:tab w:leader="none" w:pos="34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Non-GAAP net income attributable to CLPS Incorporation’s shareholders is a non-GAAP financial measure, which is defined as net income attributable to the Company excluding share-based compensation expenses. Please refer to the section titled “Reconciliation of GAAP and Non-GAAP Results” for details.</w:t>
      </w:r>
    </w:p>
    <w:p>
      <w:pPr>
        <w:spacing w:after="0" w:line="203" w:lineRule="exact"/>
        <w:rPr>
          <w:sz w:val="20"/>
          <w:szCs w:val="20"/>
          <w:color w:val="auto"/>
        </w:rPr>
      </w:pPr>
    </w:p>
    <w:p>
      <w:pPr>
        <w:ind w:left="340" w:hanging="332"/>
        <w:spacing w:after="0" w:line="202" w:lineRule="auto"/>
        <w:tabs>
          <w:tab w:leader="none" w:pos="340" w:val="left"/>
        </w:tabs>
        <w:numPr>
          <w:ilvl w:val="0"/>
          <w:numId w:val="4"/>
        </w:numPr>
        <w:rPr>
          <w:rFonts w:ascii="Arial" w:cs="Arial" w:eastAsia="Arial" w:hAnsi="Arial"/>
          <w:sz w:val="29"/>
          <w:szCs w:val="29"/>
          <w:color w:val="auto"/>
          <w:vertAlign w:val="superscript"/>
        </w:rPr>
      </w:pPr>
      <w:r>
        <w:rPr>
          <w:rFonts w:ascii="Arial" w:cs="Arial" w:eastAsia="Arial" w:hAnsi="Arial"/>
          <w:sz w:val="17"/>
          <w:szCs w:val="17"/>
          <w:color w:val="auto"/>
        </w:rPr>
        <w:t>Non-GAAP general and administrative expenses is a non-GAAP financial measure, which is defined as general and administrative expenses excluding share-based compensation expenses. Please refer to the section titled “Reconciliation of GAAP and Non-GAAP Results” for details.</w:t>
      </w:r>
    </w:p>
    <w:p>
      <w:pPr>
        <w:spacing w:after="0" w:line="203" w:lineRule="exact"/>
        <w:rPr>
          <w:sz w:val="20"/>
          <w:szCs w:val="20"/>
          <w:color w:val="auto"/>
        </w:rPr>
      </w:pPr>
    </w:p>
    <w:p>
      <w:pPr>
        <w:ind w:left="340" w:hanging="332"/>
        <w:spacing w:after="0" w:line="194"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Non-GAAP net income is a non-GAAP financial measure, which is defined as net income excluding share-based compensation expenses. Please refer to the section titled “Reconciliation of GAAP and Non-GAAP Results” for details.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w w:val="99"/>
              </w:rPr>
              <w:t>CLPS INCORPORATION</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w w:val="99"/>
              </w:rPr>
              <w:t>UNAUDITED CONDENSED CONSOLIDATED BALANCE SHEETS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430"/>
              <w:spacing w:after="0"/>
              <w:rPr>
                <w:sz w:val="20"/>
                <w:szCs w:val="20"/>
                <w:color w:val="auto"/>
              </w:rPr>
            </w:pPr>
            <w:r>
              <w:rPr>
                <w:rFonts w:ascii="Arial" w:cs="Arial" w:eastAsia="Arial" w:hAnsi="Arial"/>
                <w:sz w:val="18"/>
                <w:szCs w:val="18"/>
                <w:b w:val="1"/>
                <w:bCs w:val="1"/>
                <w:color w:val="auto"/>
                <w:w w:val="90"/>
              </w:rPr>
              <w:t>(Amounts in U.S. dollars (“$”), except for number of shares)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11,234,260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6,601,335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1,791,697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20,857,441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19,263,584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Escrow receivable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1,998,499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income tax</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524,352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630,790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related parties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252,706</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230,540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35,067,258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29,746,100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471,886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566,591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1,240,490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427,769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2,184,001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447,790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220,661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222,507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1,102,691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914,006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251,912</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338,221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40,538,899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32,662,984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Short-term bank loans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802,514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2,184,996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845,032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196,832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Tax payables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1,178,472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915,629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subsidies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1,241,706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10,789,713</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7,735,487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161,864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192,127</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15,211,428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11,266,386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Common share, $0.0001 par value; 100,000,000 shares authorized; 14,249,030 shares issued and outstanding as of</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December 31, 2019 and 13,913,201 shares issued and outstanding as of June 30, 2019</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1,425</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25,648,785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24,276,622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Statuary reserves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2,331,138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1,833,802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(2,776,767)</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(4,509,729)</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(960,744)</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(813,650)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24,243,837</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20,788,436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b w:val="1"/>
                <w:bCs w:val="1"/>
                <w:color w:val="auto"/>
              </w:rPr>
              <w:t>Non-controlling Interests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1,083,634</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608,162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25,327,471</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21,396,598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40,538,899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32,662,984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INCOME AND COMPREHENSIVE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U.S. dollars (“$”), except for number of shares)</w:t>
      </w:r>
    </w:p>
    <w:p>
      <w:pPr>
        <w:spacing w:after="0" w:line="156"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six months ended</w:t>
      </w:r>
    </w:p>
    <w:p>
      <w:pPr>
        <w:spacing w:after="0" w:line="9"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jc w:val="both"/>
        <w:ind w:left="9060"/>
        <w:spacing w:after="0"/>
        <w:tabs>
          <w:tab w:leader="none" w:pos="103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17145</wp:posOffset>
            </wp:positionV>
            <wp:extent cx="15601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904" w:right="339" w:bottom="944"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Cost of revenues (note 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Selling and marketing expenses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Research and development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operating income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Subsidies and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expenses</w:t>
      </w:r>
    </w:p>
    <w:p>
      <w:pPr>
        <w:spacing w:after="0" w:line="170" w:lineRule="exact"/>
        <w:rPr>
          <w:sz w:val="20"/>
          <w:szCs w:val="20"/>
          <w:color w:val="auto"/>
        </w:rPr>
      </w:pPr>
    </w:p>
    <w:p>
      <w:pPr>
        <w:ind w:right="2740"/>
        <w:spacing w:after="0" w:line="266" w:lineRule="auto"/>
        <w:rPr>
          <w:sz w:val="20"/>
          <w:szCs w:val="20"/>
          <w:color w:val="auto"/>
        </w:rPr>
      </w:pPr>
      <w:r>
        <w:rPr>
          <w:rFonts w:ascii="Arial" w:cs="Arial" w:eastAsia="Arial" w:hAnsi="Arial"/>
          <w:sz w:val="18"/>
          <w:szCs w:val="18"/>
          <w:color w:val="auto"/>
        </w:rPr>
        <w:t>Income (loss) before income tax and share of income in equity investees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(loss) before share of income in equity investees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Share of income in equity investees,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Net loss attributable to non-controlling interests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(loss) attributable to CLPS Incorporation’s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320"/>
        <w:spacing w:after="0"/>
        <w:tabs>
          <w:tab w:leader="none" w:pos="1620" w:val="left"/>
        </w:tabs>
        <w:rPr>
          <w:sz w:val="20"/>
          <w:szCs w:val="20"/>
          <w:color w:val="auto"/>
        </w:rPr>
      </w:pPr>
      <w:r>
        <w:rPr>
          <w:rFonts w:ascii="Arial" w:cs="Arial" w:eastAsia="Arial" w:hAnsi="Arial"/>
          <w:sz w:val="17"/>
          <w:szCs w:val="17"/>
          <w:color w:val="auto"/>
        </w:rPr>
        <w:t>42,568,264</w:t>
      </w:r>
      <w:r>
        <w:rPr>
          <w:sz w:val="20"/>
          <w:szCs w:val="20"/>
          <w:color w:val="auto"/>
        </w:rPr>
        <w:tab/>
      </w:r>
      <w:r>
        <w:rPr>
          <w:rFonts w:ascii="Arial" w:cs="Arial" w:eastAsia="Arial" w:hAnsi="Arial"/>
          <w:sz w:val="17"/>
          <w:szCs w:val="17"/>
          <w:color w:val="auto"/>
        </w:rPr>
        <w:t>30,795,748</w:t>
      </w:r>
    </w:p>
    <w:p>
      <w:pPr>
        <w:spacing w:after="0" w:line="35" w:lineRule="exact"/>
        <w:rPr>
          <w:sz w:val="20"/>
          <w:szCs w:val="20"/>
          <w:color w:val="auto"/>
        </w:rPr>
      </w:pPr>
    </w:p>
    <w:p>
      <w:pPr>
        <w:jc w:val="right"/>
        <w:ind w:right="40"/>
        <w:spacing w:after="0"/>
        <w:tabs>
          <w:tab w:leader="none" w:pos="920" w:val="left"/>
        </w:tabs>
        <w:rPr>
          <w:sz w:val="20"/>
          <w:szCs w:val="20"/>
          <w:color w:val="auto"/>
        </w:rPr>
      </w:pPr>
      <w:r>
        <w:rPr>
          <w:rFonts w:ascii="Arial" w:cs="Arial" w:eastAsia="Arial" w:hAnsi="Arial"/>
          <w:sz w:val="18"/>
          <w:szCs w:val="18"/>
          <w:color w:val="auto"/>
        </w:rPr>
        <w:t>(27,191,640)</w:t>
      </w:r>
      <w:r>
        <w:rPr>
          <w:sz w:val="20"/>
          <w:szCs w:val="20"/>
          <w:color w:val="auto"/>
        </w:rPr>
        <w:tab/>
      </w:r>
      <w:r>
        <w:rPr>
          <w:rFonts w:ascii="Arial" w:cs="Arial" w:eastAsia="Arial" w:hAnsi="Arial"/>
          <w:sz w:val="16"/>
          <w:szCs w:val="16"/>
          <w:color w:val="auto"/>
        </w:rPr>
        <w:t>(19,625,663)</w:t>
      </w:r>
    </w:p>
    <w:p>
      <w:pPr>
        <w:spacing w:after="0" w:line="35" w:lineRule="exact"/>
        <w:rPr>
          <w:sz w:val="20"/>
          <w:szCs w:val="20"/>
          <w:color w:val="auto"/>
        </w:rPr>
      </w:pPr>
    </w:p>
    <w:p>
      <w:pPr>
        <w:ind w:left="320"/>
        <w:spacing w:after="0"/>
        <w:tabs>
          <w:tab w:leader="none" w:pos="1620" w:val="left"/>
        </w:tabs>
        <w:rPr>
          <w:sz w:val="20"/>
          <w:szCs w:val="20"/>
          <w:color w:val="auto"/>
        </w:rPr>
      </w:pPr>
      <w:r>
        <w:rPr>
          <w:rFonts w:ascii="Arial" w:cs="Arial" w:eastAsia="Arial" w:hAnsi="Arial"/>
          <w:sz w:val="17"/>
          <w:szCs w:val="17"/>
          <w:color w:val="auto"/>
        </w:rPr>
        <w:t>15,376,624</w:t>
      </w:r>
      <w:r>
        <w:rPr>
          <w:sz w:val="20"/>
          <w:szCs w:val="20"/>
          <w:color w:val="auto"/>
        </w:rPr>
        <w:tab/>
      </w:r>
      <w:r>
        <w:rPr>
          <w:rFonts w:ascii="Arial" w:cs="Arial" w:eastAsia="Arial" w:hAnsi="Arial"/>
          <w:sz w:val="17"/>
          <w:szCs w:val="17"/>
          <w:color w:val="auto"/>
        </w:rPr>
        <w:t>11,170,085</w:t>
      </w:r>
    </w:p>
    <w:p>
      <w:pPr>
        <w:spacing w:after="0" w:line="399" w:lineRule="exact"/>
        <w:rPr>
          <w:sz w:val="20"/>
          <w:szCs w:val="20"/>
          <w:color w:val="auto"/>
        </w:rPr>
      </w:pPr>
    </w:p>
    <w:p>
      <w:pPr>
        <w:ind w:left="400"/>
        <w:spacing w:after="0"/>
        <w:tabs>
          <w:tab w:leader="none" w:pos="1840" w:val="left"/>
        </w:tabs>
        <w:rPr>
          <w:sz w:val="20"/>
          <w:szCs w:val="20"/>
          <w:color w:val="auto"/>
        </w:rPr>
      </w:pPr>
      <w:r>
        <w:rPr>
          <w:rFonts w:ascii="Arial" w:cs="Arial" w:eastAsia="Arial" w:hAnsi="Arial"/>
          <w:sz w:val="18"/>
          <w:szCs w:val="18"/>
          <w:color w:val="auto"/>
        </w:rPr>
        <w:t>1,404,227</w:t>
      </w:r>
      <w:r>
        <w:rPr>
          <w:sz w:val="20"/>
          <w:szCs w:val="20"/>
          <w:color w:val="auto"/>
        </w:rPr>
        <w:tab/>
      </w:r>
      <w:r>
        <w:rPr>
          <w:rFonts w:ascii="Arial" w:cs="Arial" w:eastAsia="Arial" w:hAnsi="Arial"/>
          <w:sz w:val="18"/>
          <w:szCs w:val="18"/>
          <w:color w:val="auto"/>
        </w:rPr>
        <w:t>972,876</w:t>
      </w:r>
    </w:p>
    <w:p>
      <w:pPr>
        <w:spacing w:after="0" w:line="23"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7"/>
          <w:szCs w:val="17"/>
          <w:color w:val="auto"/>
        </w:rPr>
        <w:t>5,020,520</w:t>
      </w:r>
      <w:r>
        <w:rPr>
          <w:sz w:val="20"/>
          <w:szCs w:val="20"/>
          <w:color w:val="auto"/>
        </w:rPr>
        <w:tab/>
      </w:r>
      <w:r>
        <w:rPr>
          <w:rFonts w:ascii="Arial" w:cs="Arial" w:eastAsia="Arial" w:hAnsi="Arial"/>
          <w:sz w:val="17"/>
          <w:szCs w:val="17"/>
          <w:color w:val="auto"/>
        </w:rPr>
        <w:t>3,039,361</w:t>
      </w:r>
    </w:p>
    <w:p>
      <w:pPr>
        <w:spacing w:after="0" w:line="21"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7"/>
          <w:szCs w:val="17"/>
          <w:color w:val="auto"/>
        </w:rPr>
        <w:t>7,897,096</w:t>
      </w:r>
      <w:r>
        <w:rPr>
          <w:sz w:val="20"/>
          <w:szCs w:val="20"/>
          <w:color w:val="auto"/>
        </w:rPr>
        <w:tab/>
      </w:r>
      <w:r>
        <w:rPr>
          <w:rFonts w:ascii="Arial" w:cs="Arial" w:eastAsia="Arial" w:hAnsi="Arial"/>
          <w:sz w:val="17"/>
          <w:szCs w:val="17"/>
          <w:color w:val="auto"/>
        </w:rPr>
        <w:t>9,161,267</w:t>
      </w:r>
    </w:p>
    <w:p>
      <w:pPr>
        <w:spacing w:after="0" w:line="21" w:lineRule="exact"/>
        <w:rPr>
          <w:sz w:val="20"/>
          <w:szCs w:val="20"/>
          <w:color w:val="auto"/>
        </w:rPr>
      </w:pPr>
    </w:p>
    <w:p>
      <w:pPr>
        <w:ind w:left="480"/>
        <w:spacing w:after="0"/>
        <w:tabs>
          <w:tab w:leader="none" w:pos="2380" w:val="left"/>
        </w:tabs>
        <w:rPr>
          <w:sz w:val="20"/>
          <w:szCs w:val="20"/>
          <w:color w:val="auto"/>
        </w:rPr>
      </w:pPr>
      <w:r>
        <w:rPr>
          <w:rFonts w:ascii="Arial" w:cs="Arial" w:eastAsia="Arial" w:hAnsi="Arial"/>
          <w:sz w:val="18"/>
          <w:szCs w:val="18"/>
          <w:color w:val="auto"/>
        </w:rPr>
        <w:t>(187,496)</w:t>
      </w:r>
      <w:r>
        <w:rPr>
          <w:sz w:val="20"/>
          <w:szCs w:val="20"/>
          <w:color w:val="auto"/>
        </w:rPr>
        <w:tab/>
      </w:r>
      <w:r>
        <w:rPr>
          <w:rFonts w:ascii="Arial" w:cs="Arial" w:eastAsia="Arial" w:hAnsi="Arial"/>
          <w:sz w:val="18"/>
          <w:szCs w:val="18"/>
          <w:color w:val="auto"/>
        </w:rPr>
        <w:t>-</w:t>
      </w:r>
    </w:p>
    <w:p>
      <w:pPr>
        <w:spacing w:after="0" w:line="35" w:lineRule="exact"/>
        <w:rPr>
          <w:sz w:val="20"/>
          <w:szCs w:val="20"/>
          <w:color w:val="auto"/>
        </w:rPr>
      </w:pPr>
    </w:p>
    <w:p>
      <w:pPr>
        <w:ind w:left="320"/>
        <w:spacing w:after="0"/>
        <w:tabs>
          <w:tab w:leader="none" w:pos="1620" w:val="left"/>
        </w:tabs>
        <w:rPr>
          <w:sz w:val="20"/>
          <w:szCs w:val="20"/>
          <w:color w:val="auto"/>
        </w:rPr>
      </w:pPr>
      <w:r>
        <w:rPr>
          <w:rFonts w:ascii="Arial" w:cs="Arial" w:eastAsia="Arial" w:hAnsi="Arial"/>
          <w:sz w:val="17"/>
          <w:szCs w:val="17"/>
          <w:color w:val="auto"/>
        </w:rPr>
        <w:t>14,134,347</w:t>
      </w:r>
      <w:r>
        <w:rPr>
          <w:sz w:val="20"/>
          <w:szCs w:val="20"/>
          <w:color w:val="auto"/>
        </w:rPr>
        <w:tab/>
      </w:r>
      <w:r>
        <w:rPr>
          <w:rFonts w:ascii="Arial" w:cs="Arial" w:eastAsia="Arial" w:hAnsi="Arial"/>
          <w:sz w:val="17"/>
          <w:szCs w:val="17"/>
          <w:color w:val="auto"/>
        </w:rPr>
        <w:t>13,173,504</w:t>
      </w:r>
    </w:p>
    <w:p>
      <w:pPr>
        <w:spacing w:after="0" w:line="48" w:lineRule="exact"/>
        <w:rPr>
          <w:sz w:val="20"/>
          <w:szCs w:val="20"/>
          <w:color w:val="auto"/>
        </w:rPr>
      </w:pPr>
    </w:p>
    <w:p>
      <w:pPr>
        <w:jc w:val="both"/>
        <w:ind w:left="400"/>
        <w:spacing w:after="0"/>
        <w:tabs>
          <w:tab w:leader="none" w:pos="1660" w:val="left"/>
        </w:tabs>
        <w:rPr>
          <w:sz w:val="20"/>
          <w:szCs w:val="20"/>
          <w:color w:val="auto"/>
        </w:rPr>
      </w:pPr>
      <w:r>
        <w:rPr>
          <w:rFonts w:ascii="Arial" w:cs="Arial" w:eastAsia="Arial" w:hAnsi="Arial"/>
          <w:sz w:val="18"/>
          <w:szCs w:val="18"/>
          <w:color w:val="auto"/>
        </w:rPr>
        <w:t>1,242,277</w:t>
      </w:r>
      <w:r>
        <w:rPr>
          <w:sz w:val="20"/>
          <w:szCs w:val="20"/>
          <w:color w:val="auto"/>
        </w:rPr>
        <w:tab/>
      </w:r>
      <w:r>
        <w:rPr>
          <w:rFonts w:ascii="Arial" w:cs="Arial" w:eastAsia="Arial" w:hAnsi="Arial"/>
          <w:sz w:val="18"/>
          <w:szCs w:val="18"/>
          <w:color w:val="auto"/>
        </w:rPr>
        <w:t>(2,003,419)</w:t>
      </w:r>
    </w:p>
    <w:p>
      <w:pPr>
        <w:spacing w:after="0" w:line="23" w:lineRule="exact"/>
        <w:rPr>
          <w:sz w:val="20"/>
          <w:szCs w:val="20"/>
          <w:color w:val="auto"/>
        </w:rPr>
      </w:pPr>
    </w:p>
    <w:p>
      <w:pPr>
        <w:ind w:left="400"/>
        <w:spacing w:after="0"/>
        <w:tabs>
          <w:tab w:leader="none" w:pos="1840" w:val="left"/>
        </w:tabs>
        <w:rPr>
          <w:sz w:val="20"/>
          <w:szCs w:val="20"/>
          <w:color w:val="auto"/>
        </w:rPr>
      </w:pPr>
      <w:r>
        <w:rPr>
          <w:rFonts w:ascii="Arial" w:cs="Arial" w:eastAsia="Arial" w:hAnsi="Arial"/>
          <w:sz w:val="18"/>
          <w:szCs w:val="18"/>
          <w:color w:val="auto"/>
        </w:rPr>
        <w:t>1,371,912</w:t>
      </w:r>
      <w:r>
        <w:rPr>
          <w:sz w:val="20"/>
          <w:szCs w:val="20"/>
          <w:color w:val="auto"/>
        </w:rPr>
        <w:tab/>
      </w:r>
      <w:r>
        <w:rPr>
          <w:rFonts w:ascii="Arial" w:cs="Arial" w:eastAsia="Arial" w:hAnsi="Arial"/>
          <w:sz w:val="18"/>
          <w:szCs w:val="18"/>
          <w:color w:val="auto"/>
        </w:rPr>
        <w:t>623,156</w:t>
      </w:r>
    </w:p>
    <w:p>
      <w:pPr>
        <w:spacing w:after="0" w:line="9" w:lineRule="exact"/>
        <w:rPr>
          <w:sz w:val="20"/>
          <w:szCs w:val="20"/>
          <w:color w:val="auto"/>
        </w:rPr>
      </w:pPr>
    </w:p>
    <w:p>
      <w:pPr>
        <w:jc w:val="right"/>
        <w:ind w:right="40"/>
        <w:spacing w:after="0"/>
        <w:tabs>
          <w:tab w:leader="none" w:pos="600" w:val="left"/>
        </w:tabs>
        <w:rPr>
          <w:sz w:val="20"/>
          <w:szCs w:val="20"/>
          <w:color w:val="auto"/>
        </w:rPr>
      </w:pPr>
      <w:r>
        <w:rPr>
          <w:rFonts w:ascii="Arial" w:cs="Arial" w:eastAsia="Arial" w:hAnsi="Arial"/>
          <w:sz w:val="18"/>
          <w:szCs w:val="18"/>
          <w:color w:val="auto"/>
        </w:rPr>
        <w:t>(30,093)</w:t>
      </w:r>
      <w:r>
        <w:rPr>
          <w:sz w:val="20"/>
          <w:szCs w:val="20"/>
          <w:color w:val="auto"/>
        </w:rPr>
        <w:tab/>
      </w:r>
      <w:r>
        <w:rPr>
          <w:rFonts w:ascii="Arial" w:cs="Arial" w:eastAsia="Arial" w:hAnsi="Arial"/>
          <w:sz w:val="16"/>
          <w:szCs w:val="16"/>
          <w:color w:val="auto"/>
        </w:rPr>
        <w:t>(61,717)</w:t>
      </w:r>
    </w:p>
    <w:p>
      <w:pPr>
        <w:spacing w:after="0" w:line="170" w:lineRule="exact"/>
        <w:rPr>
          <w:sz w:val="20"/>
          <w:szCs w:val="20"/>
          <w:color w:val="auto"/>
        </w:rPr>
      </w:pPr>
    </w:p>
    <w:p>
      <w:pPr>
        <w:jc w:val="both"/>
        <w:ind w:left="400"/>
        <w:spacing w:after="0"/>
        <w:tabs>
          <w:tab w:leader="none" w:pos="1660" w:val="left"/>
        </w:tabs>
        <w:rPr>
          <w:sz w:val="20"/>
          <w:szCs w:val="20"/>
          <w:color w:val="auto"/>
        </w:rPr>
      </w:pPr>
      <w:r>
        <w:rPr>
          <w:rFonts w:ascii="Arial" w:cs="Arial" w:eastAsia="Arial" w:hAnsi="Arial"/>
          <w:sz w:val="18"/>
          <w:szCs w:val="18"/>
          <w:color w:val="auto"/>
        </w:rPr>
        <w:t>2,584,096</w:t>
      </w:r>
      <w:r>
        <w:rPr>
          <w:sz w:val="20"/>
          <w:szCs w:val="20"/>
          <w:color w:val="auto"/>
        </w:rPr>
        <w:tab/>
      </w:r>
      <w:r>
        <w:rPr>
          <w:rFonts w:ascii="Arial" w:cs="Arial" w:eastAsia="Arial" w:hAnsi="Arial"/>
          <w:sz w:val="18"/>
          <w:szCs w:val="18"/>
          <w:color w:val="auto"/>
        </w:rPr>
        <w:t>(1,441,980)</w:t>
      </w:r>
    </w:p>
    <w:p>
      <w:pPr>
        <w:spacing w:after="0" w:line="23" w:lineRule="exact"/>
        <w:rPr>
          <w:sz w:val="20"/>
          <w:szCs w:val="20"/>
          <w:color w:val="auto"/>
        </w:rPr>
      </w:pPr>
    </w:p>
    <w:p>
      <w:pPr>
        <w:ind w:left="540"/>
        <w:spacing w:after="0"/>
        <w:tabs>
          <w:tab w:leader="none" w:pos="1840" w:val="left"/>
        </w:tabs>
        <w:rPr>
          <w:sz w:val="20"/>
          <w:szCs w:val="20"/>
          <w:color w:val="auto"/>
        </w:rPr>
      </w:pPr>
      <w:r>
        <w:rPr>
          <w:rFonts w:ascii="Arial" w:cs="Arial" w:eastAsia="Arial" w:hAnsi="Arial"/>
          <w:sz w:val="18"/>
          <w:szCs w:val="18"/>
          <w:color w:val="auto"/>
        </w:rPr>
        <w:t>388,843</w:t>
      </w:r>
      <w:r>
        <w:rPr>
          <w:sz w:val="20"/>
          <w:szCs w:val="20"/>
          <w:color w:val="auto"/>
        </w:rPr>
        <w:tab/>
      </w:r>
      <w:r>
        <w:rPr>
          <w:rFonts w:ascii="Arial" w:cs="Arial" w:eastAsia="Arial" w:hAnsi="Arial"/>
          <w:sz w:val="18"/>
          <w:szCs w:val="18"/>
          <w:color w:val="auto"/>
        </w:rPr>
        <w:t>242,898</w:t>
      </w:r>
    </w:p>
    <w:p>
      <w:pPr>
        <w:spacing w:after="0" w:line="23" w:lineRule="exact"/>
        <w:rPr>
          <w:sz w:val="20"/>
          <w:szCs w:val="20"/>
          <w:color w:val="auto"/>
        </w:rPr>
      </w:pPr>
    </w:p>
    <w:p>
      <w:pPr>
        <w:jc w:val="both"/>
        <w:ind w:left="400"/>
        <w:spacing w:after="0"/>
        <w:tabs>
          <w:tab w:leader="none" w:pos="1660" w:val="left"/>
        </w:tabs>
        <w:rPr>
          <w:sz w:val="20"/>
          <w:szCs w:val="20"/>
          <w:color w:val="auto"/>
        </w:rPr>
      </w:pPr>
      <w:r>
        <w:rPr>
          <w:rFonts w:ascii="Arial" w:cs="Arial" w:eastAsia="Arial" w:hAnsi="Arial"/>
          <w:sz w:val="18"/>
          <w:szCs w:val="18"/>
          <w:color w:val="auto"/>
        </w:rPr>
        <w:t>2,195,253</w:t>
      </w:r>
      <w:r>
        <w:rPr>
          <w:sz w:val="20"/>
          <w:szCs w:val="20"/>
          <w:color w:val="auto"/>
        </w:rPr>
        <w:tab/>
      </w:r>
      <w:r>
        <w:rPr>
          <w:rFonts w:ascii="Arial" w:cs="Arial" w:eastAsia="Arial" w:hAnsi="Arial"/>
          <w:sz w:val="18"/>
          <w:szCs w:val="18"/>
          <w:color w:val="auto"/>
        </w:rPr>
        <w:t>(1,684,878)</w:t>
      </w:r>
    </w:p>
    <w:p>
      <w:pPr>
        <w:spacing w:after="0" w:line="49" w:lineRule="exact"/>
        <w:rPr>
          <w:sz w:val="20"/>
          <w:szCs w:val="20"/>
          <w:color w:val="auto"/>
        </w:rPr>
      </w:pPr>
    </w:p>
    <w:p>
      <w:pPr>
        <w:ind w:left="640"/>
        <w:spacing w:after="0"/>
        <w:tabs>
          <w:tab w:leader="none" w:pos="2380" w:val="left"/>
        </w:tabs>
        <w:rPr>
          <w:sz w:val="20"/>
          <w:szCs w:val="20"/>
          <w:color w:val="auto"/>
        </w:rPr>
      </w:pPr>
      <w:r>
        <w:rPr>
          <w:rFonts w:ascii="Arial" w:cs="Arial" w:eastAsia="Arial" w:hAnsi="Arial"/>
          <w:sz w:val="18"/>
          <w:szCs w:val="18"/>
          <w:color w:val="auto"/>
        </w:rPr>
        <w:t>99,468</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400"/>
        <w:spacing w:after="0"/>
        <w:tabs>
          <w:tab w:leader="none" w:pos="1660" w:val="left"/>
        </w:tabs>
        <w:rPr>
          <w:sz w:val="20"/>
          <w:szCs w:val="20"/>
          <w:color w:val="auto"/>
        </w:rPr>
      </w:pPr>
      <w:r>
        <w:rPr>
          <w:rFonts w:ascii="Arial" w:cs="Arial" w:eastAsia="Arial" w:hAnsi="Arial"/>
          <w:sz w:val="18"/>
          <w:szCs w:val="18"/>
          <w:color w:val="auto"/>
        </w:rPr>
        <w:t>2,294,721</w:t>
      </w:r>
      <w:r>
        <w:rPr>
          <w:sz w:val="20"/>
          <w:szCs w:val="20"/>
          <w:color w:val="auto"/>
        </w:rPr>
        <w:tab/>
      </w:r>
      <w:r>
        <w:rPr>
          <w:rFonts w:ascii="Arial" w:cs="Arial" w:eastAsia="Arial" w:hAnsi="Arial"/>
          <w:sz w:val="18"/>
          <w:szCs w:val="18"/>
          <w:color w:val="auto"/>
        </w:rPr>
        <w:t>(1,684,878)</w:t>
      </w:r>
    </w:p>
    <w:p>
      <w:pPr>
        <w:spacing w:after="0" w:line="9" w:lineRule="exact"/>
        <w:rPr>
          <w:sz w:val="20"/>
          <w:szCs w:val="20"/>
          <w:color w:val="auto"/>
        </w:rPr>
      </w:pPr>
    </w:p>
    <w:p>
      <w:pPr>
        <w:jc w:val="right"/>
        <w:ind w:right="40"/>
        <w:spacing w:after="0"/>
        <w:tabs>
          <w:tab w:leader="none" w:pos="700" w:val="left"/>
        </w:tabs>
        <w:rPr>
          <w:sz w:val="20"/>
          <w:szCs w:val="20"/>
          <w:color w:val="auto"/>
        </w:rPr>
      </w:pPr>
      <w:r>
        <w:rPr>
          <w:rFonts w:ascii="Arial" w:cs="Arial" w:eastAsia="Arial" w:hAnsi="Arial"/>
          <w:sz w:val="18"/>
          <w:szCs w:val="18"/>
          <w:color w:val="auto"/>
        </w:rPr>
        <w:t>(74,220)</w:t>
      </w:r>
      <w:r>
        <w:rPr>
          <w:sz w:val="20"/>
          <w:szCs w:val="20"/>
          <w:color w:val="auto"/>
        </w:rPr>
        <w:tab/>
      </w:r>
      <w:r>
        <w:rPr>
          <w:rFonts w:ascii="Arial" w:cs="Arial" w:eastAsia="Arial" w:hAnsi="Arial"/>
          <w:sz w:val="16"/>
          <w:szCs w:val="16"/>
          <w:color w:val="auto"/>
        </w:rPr>
        <w:t>(252,247)</w:t>
      </w:r>
    </w:p>
    <w:p>
      <w:pPr>
        <w:spacing w:after="0" w:line="23" w:lineRule="exact"/>
        <w:rPr>
          <w:sz w:val="20"/>
          <w:szCs w:val="20"/>
          <w:color w:val="auto"/>
        </w:rPr>
      </w:pPr>
    </w:p>
    <w:p>
      <w:pPr>
        <w:spacing w:after="0"/>
        <w:tabs>
          <w:tab w:leader="none" w:pos="380" w:val="left"/>
          <w:tab w:leader="none" w:pos="1320" w:val="left"/>
          <w:tab w:leader="none" w:pos="1660" w:val="left"/>
        </w:tabs>
        <w:rPr>
          <w:sz w:val="20"/>
          <w:szCs w:val="20"/>
          <w:color w:val="auto"/>
        </w:rPr>
      </w:pP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8"/>
          <w:szCs w:val="18"/>
          <w:b w:val="1"/>
          <w:bCs w:val="1"/>
          <w:u w:val="single" w:color="auto"/>
          <w:color w:val="auto"/>
        </w:rPr>
        <w:t>2,368,941</w:t>
      </w:r>
      <w:r>
        <w:rPr>
          <w:sz w:val="20"/>
          <w:szCs w:val="20"/>
          <w:color w:val="auto"/>
        </w:rPr>
        <w:tab/>
      </w: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6"/>
          <w:szCs w:val="16"/>
          <w:b w:val="1"/>
          <w:bCs w:val="1"/>
          <w:u w:val="single" w:color="auto"/>
          <w:color w:val="auto"/>
        </w:rPr>
        <w:t>(1,432,631</w:t>
      </w:r>
      <w:r>
        <w:rPr>
          <w:rFonts w:ascii="Arial" w:cs="Arial" w:eastAsia="Arial" w:hAnsi="Arial"/>
          <w:sz w:val="30"/>
          <w:szCs w:val="30"/>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15601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78" w:lineRule="exact"/>
        <w:rPr>
          <w:sz w:val="20"/>
          <w:szCs w:val="20"/>
          <w:color w:val="auto"/>
        </w:rPr>
      </w:pPr>
    </w:p>
    <w:p>
      <w:pPr>
        <w:sectPr>
          <w:pgSz w:w="11900" w:h="16838" w:orient="portrait"/>
          <w:cols w:equalWidth="0" w:num="2">
            <w:col w:w="7960" w:space="720"/>
            <w:col w:w="2560"/>
          </w:cols>
          <w:pgMar w:left="320" w:top="904" w:right="339" w:bottom="944"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(139,745)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(370,384)</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Less: foreign currency translation gain (loss) attributable to non-controlling interests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7,349</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(19,427)</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attributable to CLPS Incorporation’s shareholders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(147,094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(350,957</w:t>
            </w:r>
          </w:p>
        </w:tc>
        <w:tc>
          <w:tcPr>
            <w:tcW w:w="100" w:type="dxa"/>
            <w:vAlign w:val="bottom"/>
            <w:tcBorders>
              <w:top w:val="single" w:sz="8" w:color="CCEEFF"/>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CLPS Incorporation shareholders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2,221,847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(1,783,588)</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(66,351)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(271,674)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8680" w:type="dxa"/>
            <w:vAlign w:val="bottom"/>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2,155,496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(2,055,262</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Basic earnings (losses) per common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0.17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(0.10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14,152,616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13,799,224</w:t>
            </w:r>
          </w:p>
        </w:tc>
        <w:tc>
          <w:tcPr>
            <w:tcW w:w="10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Diluted earnings (losses) per common share</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diluted (note 2)</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14,205,188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13,799,224</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Note:</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color w:val="auto"/>
              </w:rPr>
              <w:t>(1) Includes share-based compensation expenses as follows: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30,316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1,031,265</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4,013,714</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1,066,649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4,013,714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dilutive potential ordinary shares had anti-dilutive impact and were excluded in computation of diluted earnings per share in the period when loss was reported.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44"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U.S. dollars (“$”), except for number of shares)</w:t>
      </w:r>
    </w:p>
    <w:p>
      <w:pPr>
        <w:spacing w:after="0" w:line="225"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color w:val="auto"/>
        </w:rPr>
        <w:t>For the six months ended</w:t>
      </w:r>
    </w:p>
    <w:p>
      <w:pPr>
        <w:spacing w:after="0" w:line="27" w:lineRule="exact"/>
        <w:rPr>
          <w:sz w:val="20"/>
          <w:szCs w:val="20"/>
          <w:color w:val="auto"/>
        </w:rPr>
      </w:pPr>
    </w:p>
    <w:p>
      <w:pPr>
        <w:jc w:val="center"/>
        <w:ind w:left="830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54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7"/>
              </w:rPr>
              <w:t>27,191,640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7"/>
              </w:rPr>
              <w:t>19,625,663</w:t>
            </w:r>
          </w:p>
        </w:tc>
        <w:tc>
          <w:tcPr>
            <w:tcW w:w="0" w:type="dxa"/>
            <w:vAlign w:val="bottom"/>
          </w:tcPr>
          <w:p>
            <w:pPr>
              <w:spacing w:after="0"/>
              <w:rPr>
                <w:sz w:val="1"/>
                <w:szCs w:val="1"/>
                <w:color w:val="auto"/>
              </w:rPr>
            </w:pPr>
          </w:p>
        </w:tc>
      </w:tr>
      <w:tr>
        <w:trPr>
          <w:trHeight w:val="237"/>
        </w:trPr>
        <w:tc>
          <w:tcPr>
            <w:tcW w:w="8540" w:type="dxa"/>
            <w:vAlign w:val="bottom"/>
          </w:tcPr>
          <w:p>
            <w:pPr>
              <w:spacing w:after="0"/>
              <w:rPr>
                <w:sz w:val="20"/>
                <w:szCs w:val="20"/>
                <w:color w:val="auto"/>
              </w:rPr>
            </w:pPr>
            <w:r>
              <w:rPr>
                <w:rFonts w:ascii="Arial" w:cs="Arial" w:eastAsia="Arial" w:hAnsi="Arial"/>
                <w:sz w:val="18"/>
                <w:szCs w:val="18"/>
                <w:color w:val="auto"/>
              </w:rPr>
              <w:t>Less: share-based compensation expenses</w:t>
            </w:r>
          </w:p>
        </w:tc>
        <w:tc>
          <w:tcPr>
            <w:tcW w:w="200" w:type="dxa"/>
            <w:vAlign w:val="bottom"/>
          </w:tcPr>
          <w:p>
            <w:pPr>
              <w:spacing w:after="0"/>
              <w:rPr>
                <w:sz w:val="20"/>
                <w:szCs w:val="20"/>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5,068</w:t>
            </w:r>
          </w:p>
        </w:tc>
        <w:tc>
          <w:tcPr>
            <w:tcW w:w="200" w:type="dxa"/>
            <w:vAlign w:val="bottom"/>
          </w:tcPr>
          <w:p>
            <w:pPr>
              <w:spacing w:after="0"/>
              <w:rPr>
                <w:sz w:val="20"/>
                <w:szCs w:val="20"/>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cost of revenues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27,186,572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19,625,663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1,404,227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972,876</w:t>
            </w:r>
          </w:p>
        </w:tc>
        <w:tc>
          <w:tcPr>
            <w:tcW w:w="0" w:type="dxa"/>
            <w:vAlign w:val="bottom"/>
          </w:tcPr>
          <w:p>
            <w:pPr>
              <w:spacing w:after="0"/>
              <w:rPr>
                <w:sz w:val="1"/>
                <w:szCs w:val="1"/>
                <w:color w:val="auto"/>
              </w:rPr>
            </w:pPr>
          </w:p>
        </w:tc>
      </w:tr>
      <w:tr>
        <w:trPr>
          <w:trHeight w:val="236"/>
        </w:trPr>
        <w:tc>
          <w:tcPr>
            <w:tcW w:w="8540" w:type="dxa"/>
            <w:vAlign w:val="bottom"/>
          </w:tcPr>
          <w:p>
            <w:pPr>
              <w:spacing w:after="0"/>
              <w:rPr>
                <w:sz w:val="20"/>
                <w:szCs w:val="20"/>
                <w:color w:val="auto"/>
              </w:rPr>
            </w:pPr>
            <w:r>
              <w:rPr>
                <w:rFonts w:ascii="Arial" w:cs="Arial" w:eastAsia="Arial" w:hAnsi="Arial"/>
                <w:sz w:val="18"/>
                <w:szCs w:val="18"/>
                <w:color w:val="auto"/>
              </w:rPr>
              <w:t>Less: share-based compensation expenses</w:t>
            </w:r>
          </w:p>
        </w:tc>
        <w:tc>
          <w:tcPr>
            <w:tcW w:w="200" w:type="dxa"/>
            <w:vAlign w:val="bottom"/>
          </w:tcPr>
          <w:p>
            <w:pPr>
              <w:spacing w:after="0"/>
              <w:rPr>
                <w:sz w:val="20"/>
                <w:szCs w:val="20"/>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30,316</w:t>
            </w:r>
          </w:p>
        </w:tc>
        <w:tc>
          <w:tcPr>
            <w:tcW w:w="200" w:type="dxa"/>
            <w:vAlign w:val="bottom"/>
          </w:tcPr>
          <w:p>
            <w:pPr>
              <w:spacing w:after="0"/>
              <w:rPr>
                <w:sz w:val="20"/>
                <w:szCs w:val="20"/>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540" w:type="dxa"/>
            <w:vAlign w:val="bottom"/>
          </w:tcPr>
          <w:p>
            <w:pPr>
              <w:spacing w:after="0"/>
              <w:rPr>
                <w:sz w:val="20"/>
                <w:szCs w:val="20"/>
                <w:color w:val="auto"/>
              </w:rPr>
            </w:pPr>
            <w:r>
              <w:rPr>
                <w:rFonts w:ascii="Arial" w:cs="Arial" w:eastAsia="Arial" w:hAnsi="Arial"/>
                <w:sz w:val="18"/>
                <w:szCs w:val="18"/>
                <w:b w:val="1"/>
                <w:bCs w:val="1"/>
                <w:color w:val="auto"/>
              </w:rPr>
              <w:t>Non-GAAP selling and marketing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1,373,911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972,876</w:t>
            </w:r>
          </w:p>
        </w:tc>
        <w:tc>
          <w:tcPr>
            <w:tcW w:w="0" w:type="dxa"/>
            <w:vAlign w:val="bottom"/>
          </w:tcPr>
          <w:p>
            <w:pPr>
              <w:spacing w:after="0"/>
              <w:rPr>
                <w:sz w:val="1"/>
                <w:szCs w:val="1"/>
                <w:color w:val="auto"/>
              </w:rPr>
            </w:pPr>
          </w:p>
        </w:tc>
      </w:tr>
      <w:tr>
        <w:trPr>
          <w:trHeight w:val="216"/>
        </w:trPr>
        <w:tc>
          <w:tcPr>
            <w:tcW w:w="8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7,897,096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9,161,267</w:t>
            </w:r>
          </w:p>
        </w:tc>
        <w:tc>
          <w:tcPr>
            <w:tcW w:w="0" w:type="dxa"/>
            <w:vAlign w:val="bottom"/>
          </w:tcPr>
          <w:p>
            <w:pPr>
              <w:spacing w:after="0"/>
              <w:rPr>
                <w:sz w:val="1"/>
                <w:szCs w:val="1"/>
                <w:color w:val="auto"/>
              </w:rPr>
            </w:pPr>
          </w:p>
        </w:tc>
      </w:tr>
      <w:tr>
        <w:trPr>
          <w:trHeight w:val="24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Less: share-based compensation expenses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1,031,265</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4,013,714</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Non-GAAP general and administrative expenses</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6,865,831</w:t>
            </w:r>
          </w:p>
        </w:tc>
        <w:tc>
          <w:tcPr>
            <w:tcW w:w="2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5,147,553</w:t>
            </w:r>
          </w:p>
        </w:tc>
        <w:tc>
          <w:tcPr>
            <w:tcW w:w="2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1,242,277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(2,003,419)</w:t>
            </w: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1,066,649</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4,013,714</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Non-GAAP operating income</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2,308,926</w:t>
            </w:r>
          </w:p>
        </w:tc>
        <w:tc>
          <w:tcPr>
            <w:tcW w:w="2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2,010,295</w:t>
            </w:r>
          </w:p>
        </w:tc>
        <w:tc>
          <w:tcPr>
            <w:tcW w:w="2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Operating Margin</w:t>
            </w:r>
          </w:p>
        </w:tc>
        <w:tc>
          <w:tcPr>
            <w:tcW w:w="20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Non-GAAP operating margin</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28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2,294,721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(1,684,878)</w:t>
            </w:r>
          </w:p>
        </w:tc>
        <w:tc>
          <w:tcPr>
            <w:tcW w:w="0" w:type="dxa"/>
            <w:vAlign w:val="bottom"/>
          </w:tcPr>
          <w:p>
            <w:pPr>
              <w:spacing w:after="0"/>
              <w:rPr>
                <w:sz w:val="1"/>
                <w:szCs w:val="1"/>
                <w:color w:val="auto"/>
              </w:rPr>
            </w:pPr>
          </w:p>
        </w:tc>
      </w:tr>
      <w:tr>
        <w:trPr>
          <w:trHeight w:val="24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1,066,649</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4,013,714</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Non-GAAP net income</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3,361,370</w:t>
            </w:r>
          </w:p>
        </w:tc>
        <w:tc>
          <w:tcPr>
            <w:tcW w:w="2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2,328,836</w:t>
            </w:r>
          </w:p>
        </w:tc>
        <w:tc>
          <w:tcPr>
            <w:tcW w:w="2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Net income (loss) attributable to CLPS Incorporation’s shareholders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2,368,941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(1,432,631)</w:t>
            </w: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1,066,649</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4,013,714</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Non-GAAP net income attributable to CLPS Incorporation’s shareholders</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3,435,590</w:t>
            </w:r>
          </w:p>
        </w:tc>
        <w:tc>
          <w:tcPr>
            <w:tcW w:w="2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2,581,083</w:t>
            </w:r>
          </w:p>
        </w:tc>
        <w:tc>
          <w:tcPr>
            <w:tcW w:w="2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Weighted average number of share outstanding used in computing GAAP and non-GAAP basic earnings</w:t>
            </w:r>
          </w:p>
        </w:tc>
        <w:tc>
          <w:tcPr>
            <w:tcW w:w="20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w w:val="97"/>
              </w:rPr>
              <w:t>14,152,616</w:t>
            </w:r>
          </w:p>
        </w:tc>
        <w:tc>
          <w:tcPr>
            <w:tcW w:w="20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13,799,224</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GAAP Basic earnings (losses) per common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Add: share-based compensation expenses</w:t>
            </w:r>
          </w:p>
        </w:tc>
        <w:tc>
          <w:tcPr>
            <w:tcW w:w="200" w:type="dxa"/>
            <w:vAlign w:val="bottom"/>
          </w:tcPr>
          <w:p>
            <w:pPr>
              <w:spacing w:after="0"/>
              <w:rPr>
                <w:sz w:val="19"/>
                <w:szCs w:val="19"/>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85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Non-GAAP basic earnings per common share</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
        </w:trPr>
        <w:tc>
          <w:tcPr>
            <w:tcW w:w="8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used in computing GAAP diluted earnings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7"/>
              </w:rPr>
              <w:t>14,205,188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7"/>
              </w:rPr>
              <w:t>13,799,224</w:t>
            </w:r>
          </w:p>
        </w:tc>
        <w:tc>
          <w:tcPr>
            <w:tcW w:w="0" w:type="dxa"/>
            <w:vAlign w:val="bottom"/>
          </w:tcPr>
          <w:p>
            <w:pPr>
              <w:spacing w:after="0"/>
              <w:rPr>
                <w:sz w:val="1"/>
                <w:szCs w:val="1"/>
                <w:color w:val="auto"/>
              </w:rPr>
            </w:pPr>
          </w:p>
        </w:tc>
      </w:tr>
      <w:tr>
        <w:trPr>
          <w:trHeight w:val="237"/>
        </w:trPr>
        <w:tc>
          <w:tcPr>
            <w:tcW w:w="8540" w:type="dxa"/>
            <w:vAlign w:val="bottom"/>
          </w:tcPr>
          <w:p>
            <w:pPr>
              <w:spacing w:after="0"/>
              <w:rPr>
                <w:sz w:val="20"/>
                <w:szCs w:val="20"/>
                <w:color w:val="auto"/>
              </w:rPr>
            </w:pPr>
            <w:r>
              <w:rPr>
                <w:rFonts w:ascii="Arial" w:cs="Arial" w:eastAsia="Arial" w:hAnsi="Arial"/>
                <w:sz w:val="18"/>
                <w:szCs w:val="18"/>
                <w:color w:val="auto"/>
              </w:rPr>
              <w:t>Add: effect of dilutive securities (note 1)</w:t>
            </w:r>
          </w:p>
        </w:tc>
        <w:tc>
          <w:tcPr>
            <w:tcW w:w="200" w:type="dxa"/>
            <w:vAlign w:val="bottom"/>
          </w:tcPr>
          <w:p>
            <w:pPr>
              <w:spacing w:after="0"/>
              <w:rPr>
                <w:sz w:val="20"/>
                <w:szCs w:val="20"/>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158,574</w:t>
            </w:r>
          </w:p>
        </w:tc>
        <w:tc>
          <w:tcPr>
            <w:tcW w:w="0" w:type="dxa"/>
            <w:vAlign w:val="bottom"/>
          </w:tcPr>
          <w:p>
            <w:pPr>
              <w:spacing w:after="0"/>
              <w:rPr>
                <w:sz w:val="1"/>
                <w:szCs w:val="1"/>
                <w:color w:val="auto"/>
              </w:rPr>
            </w:pPr>
          </w:p>
        </w:tc>
      </w:tr>
      <w:tr>
        <w:trPr>
          <w:trHeight w:val="223"/>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used in computing non-GAAP diluted earnings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14,205,188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13,957,798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GAAP diluted earnings (losses) per common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Add: share-based compensation expenses</w:t>
            </w:r>
          </w:p>
        </w:tc>
        <w:tc>
          <w:tcPr>
            <w:tcW w:w="200" w:type="dxa"/>
            <w:vAlign w:val="bottom"/>
          </w:tcPr>
          <w:p>
            <w:pPr>
              <w:spacing w:after="0"/>
              <w:rPr>
                <w:sz w:val="19"/>
                <w:szCs w:val="19"/>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7"/>
        </w:trPr>
        <w:tc>
          <w:tcPr>
            <w:tcW w:w="85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Non-GAAP diluted earnings per common share</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
        </w:trPr>
        <w:tc>
          <w:tcPr>
            <w:tcW w:w="8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340" w:right="20" w:hanging="332"/>
        <w:spacing w:after="0" w:line="26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dilutive potential ordinary shares had anti-dilutive impact and were excluded in computation of GAAP diluted earnings per share in the period when loss was reported.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2020-03-12T07:04:12Z</dcterms:created>
  <dcterms:modified xsi:type="dcterms:W3CDTF">2020-03-12T07:04:12Z</dcterms:modified>
</cp:coreProperties>
</file>