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CLPS Incorporation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Cayman Islands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 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CLPS Incorporation 2017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“2017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Ming Hui Lin,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a 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VCorp Services,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Robert Pitt Drive, Suite 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Monsey, NY 10952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(888) 528-2677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areas code,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25"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Ralph V. De Martino, Esq.</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Alec Orudjev, Esq.</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Schiff Hardin LLP</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901 K Street, Suite 700</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Washington, DC 20001</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tel: (202) 724-6800</w:t>
      </w:r>
    </w:p>
    <w:p>
      <w:pPr>
        <w:spacing w:after="0" w:line="211"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560" w:space="720"/>
            <w:col w:w="1980" w:space="80"/>
            <w:col w:w="308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29" w:right="239" w:bottom="1440" w:gutter="0" w:footer="0" w:header="0"/>
          <w:type w:val="continuous"/>
        </w:sectPr>
      </w:pPr>
    </w:p>
    <w:p>
      <w:pPr>
        <w:spacing w:after="0" w:line="18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4200" w:type="dxa"/>
            <w:vAlign w:val="bottom"/>
            <w:gridSpan w:val="4"/>
          </w:tcPr>
          <w:p>
            <w:pPr>
              <w:ind w:left="720"/>
              <w:spacing w:after="0"/>
              <w:rPr>
                <w:sz w:val="20"/>
                <w:szCs w:val="20"/>
                <w:color w:val="auto"/>
              </w:rPr>
            </w:pPr>
            <w:r>
              <w:rPr>
                <w:rFonts w:ascii="Arial" w:cs="Arial" w:eastAsia="Arial" w:hAnsi="Arial"/>
                <w:sz w:val="18"/>
                <w:szCs w:val="18"/>
                <w:b w:val="1"/>
                <w:bCs w:val="1"/>
                <w:color w:val="auto"/>
              </w:rPr>
              <w:t>CALCULATION OF REGISTRATION FEE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Proposed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maximum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maximum</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aggregate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 to be</w:t>
            </w:r>
          </w:p>
        </w:tc>
        <w:tc>
          <w:tcPr>
            <w:tcW w:w="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offering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offering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registration</w:t>
            </w:r>
          </w:p>
        </w:tc>
      </w:tr>
      <w:tr>
        <w:trPr>
          <w:trHeight w:val="241"/>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securities to be registered</w:t>
            </w:r>
          </w:p>
        </w:tc>
        <w:tc>
          <w:tcPr>
            <w:tcW w:w="27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registered(1)</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per share</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fee</w:t>
            </w:r>
          </w:p>
        </w:tc>
        <w:tc>
          <w:tcPr>
            <w:tcW w:w="100" w:type="dxa"/>
            <w:vAlign w:val="bottom"/>
            <w:tcBorders>
              <w:bottom w:val="single" w:sz="8" w:color="CCEEFF"/>
            </w:tcBorders>
          </w:tcPr>
          <w:p>
            <w:pPr>
              <w:spacing w:after="0"/>
              <w:rPr>
                <w:sz w:val="20"/>
                <w:szCs w:val="20"/>
                <w:color w:val="auto"/>
              </w:rPr>
            </w:pPr>
          </w:p>
        </w:tc>
      </w:tr>
      <w:tr>
        <w:trPr>
          <w:trHeight w:val="264"/>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Shares, par value $0.0001</w:t>
            </w:r>
          </w:p>
        </w:tc>
        <w:tc>
          <w:tcPr>
            <w:tcW w:w="4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2,210,000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   23,845,900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2,968.81</w:t>
            </w:r>
          </w:p>
        </w:tc>
      </w:tr>
      <w:tr>
        <w:trPr>
          <w:trHeight w:val="21"/>
        </w:trPr>
        <w:tc>
          <w:tcPr>
            <w:tcW w:w="32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2,210,000 shares to be issued pursuant to the CLPS Incorporation 2017 Equity Incentive Plan adopted by the Board of Directors of the Company (the “2017 Equity Incentive Plan”).</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(h) under the Securities Act, based on the average of the high and low selling prices of the Company’s common stock as reported on the Nasdaq Stock Market on July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Registration Statement is being filed by the Registrant in accordance with the requirements of Form S-8 under the Securities Act in order to register 2,210,000 shares issuable pursuant to the CLPS Incorporation 2017 Equity Incentive Plan adopted by the Board of Directors of the Company (the “2017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Plan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09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50" w:lineRule="exact"/>
        <w:rPr>
          <w:sz w:val="20"/>
          <w:szCs w:val="20"/>
          <w:color w:val="auto"/>
        </w:rPr>
      </w:pPr>
    </w:p>
    <w:p>
      <w:pPr>
        <w:jc w:val="both"/>
        <w:ind w:firstLine="8"/>
        <w:spacing w:after="0" w:line="270" w:lineRule="auto"/>
        <w:tabs>
          <w:tab w:leader="none" w:pos="78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documents containing the information specified in this Part I of Form S-8 (Plan Information and Registration Information and Employee Plan Annual Information) will be sent or given to recipients of the grants under the CLPS Incorporation 2017 Equity Incentive Plan adopted by the Board of Directors of the Company (the “2017 Equity Incentive Plan”) as specified by the Commission pursuant to Rule 428(b)(1) of the Securities Act of 1933, as amended (the “Securities Act”). Such documents are not required to be and are not filed with the Commission either as part of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CLPS Incorporation (the “Company”) is subject to the informational requirements of the Securities Exchange Act of 1934, as amended (the “1934 Act”) and, accordingly, files periodic reports and other information with the Commission. Reports, proxy statements and other information concerning the Company filed with the Commission may be inspected and copies may be obtained (at prescribed rates) at the Commission’s Public Reference Section, Room 1024, 100 F Street, N.E., Room 1580, Washington, D.C. 20549. The Commission also maintains a Web site that contains reports, proxy and information statements and other information regarding registrants that file electronically with the Commission, including the Company. The address for the Commission’s Web site is “http://www.sec.gov”. The following documents are incorporated by reference in this Registration Statement:</w:t>
      </w:r>
    </w:p>
    <w:p>
      <w:pPr>
        <w:spacing w:after="0" w:line="165"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interim financial information contained in Exhibit 99.1 of the Current Report on Form 6-K furnished to the Commission on June 27,</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2018,</w:t>
      </w:r>
    </w:p>
    <w:p>
      <w:pPr>
        <w:spacing w:after="0" w:line="9" w:lineRule="exact"/>
        <w:rPr>
          <w:rFonts w:ascii="Arial" w:cs="Arial" w:eastAsia="Arial" w:hAnsi="Arial"/>
          <w:sz w:val="16"/>
          <w:szCs w:val="16"/>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Current Reports on Form 6-K furnished to the Commission on May 31, June 11 and June 20, 2018, respectively; and</w:t>
      </w:r>
    </w:p>
    <w:p>
      <w:pPr>
        <w:spacing w:after="0" w:line="9" w:lineRule="exact"/>
        <w:rPr>
          <w:rFonts w:ascii="Arial" w:cs="Arial" w:eastAsia="Arial" w:hAnsi="Arial"/>
          <w:sz w:val="18"/>
          <w:szCs w:val="18"/>
          <w:color w:val="auto"/>
        </w:rPr>
      </w:pPr>
    </w:p>
    <w:p>
      <w:pPr>
        <w:ind w:firstLine="8"/>
        <w:spacing w:after="0" w:line="261" w:lineRule="auto"/>
        <w:tabs>
          <w:tab w:leader="none" w:pos="6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Company’s Shares contained in Item 1 of the registration statement on Form 8-A12B (File No. 001-38505) filed with the Commission on May 22, 2018.</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to the extent such information is deemed furnished and not filed pursuant to securities laws and regulations, all documents filed by the Company pursuant to Sections 13(a), 13(c), 14 or 15(d) of the Securities Exchange Act of 1934, as amended (the “Exchange Act”), and, to the extent specifically designated therein, reports on Form 6-K furnished by the Company to the Commission, in each case, subsequent to the effective date of this Registration Statement and prior to the filing of a post-effective amendment to this Registration Statement indicating that all securities offered under this Registration Statement have been sold, or deregistering all securities then remaining unsold, shall be deemed to be incorporated by reference in this Registration Statement and to be a part hereof from the date of filing or furnishing of such documents.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 list of all exhibits filed or included as part of this Registration Statement, see “Index to Exhibits” at the end of this Registration Statement.</w:t>
      </w:r>
    </w:p>
    <w:p>
      <w:pPr>
        <w:spacing w:after="0" w:line="23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1340" w:hanging="684"/>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700" w:hanging="747"/>
        <w:spacing w:after="0"/>
        <w:tabs>
          <w:tab w:leader="none" w:pos="2700"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 as amended (the “Securities Act”);</w:t>
      </w:r>
    </w:p>
    <w:p>
      <w:pPr>
        <w:spacing w:after="0" w:line="248" w:lineRule="exact"/>
        <w:rPr>
          <w:rFonts w:ascii="Arial" w:cs="Arial" w:eastAsia="Arial" w:hAnsi="Arial"/>
          <w:sz w:val="16"/>
          <w:szCs w:val="16"/>
          <w:color w:val="auto"/>
        </w:rPr>
      </w:pPr>
    </w:p>
    <w:p>
      <w:pPr>
        <w:jc w:val="both"/>
        <w:ind w:left="1300" w:firstLine="653"/>
        <w:spacing w:after="0" w:line="272" w:lineRule="auto"/>
        <w:tabs>
          <w:tab w:leader="none" w:pos="2776"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00" w:firstLine="653"/>
        <w:spacing w:after="0" w:line="277" w:lineRule="auto"/>
        <w:tabs>
          <w:tab w:leader="none" w:pos="2789"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paragraphs (a)(1)(i) and (a)(1)(ii)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Exchange Act that are incorporated by reference in the registration statement.</w:t>
      </w:r>
    </w:p>
    <w:p>
      <w:pPr>
        <w:spacing w:after="0" w:line="181" w:lineRule="exact"/>
        <w:rPr>
          <w:sz w:val="20"/>
          <w:szCs w:val="20"/>
          <w:color w:val="auto"/>
        </w:rPr>
      </w:pPr>
    </w:p>
    <w:p>
      <w:pPr>
        <w:jc w:val="both"/>
        <w:ind w:left="660" w:firstLine="645"/>
        <w:spacing w:after="0" w:line="264" w:lineRule="auto"/>
        <w:tabs>
          <w:tab w:leader="none" w:pos="201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2071"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47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jc w:val="both"/>
        <w:ind w:firstLine="656"/>
        <w:spacing w:after="0" w:line="291" w:lineRule="auto"/>
        <w:tabs>
          <w:tab w:leader="none" w:pos="140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113"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People’s Republic of China, on July 10,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280" w:type="dxa"/>
            <w:vAlign w:val="bottom"/>
            <w:gridSpan w:val="2"/>
          </w:tcPr>
          <w:p>
            <w:pPr>
              <w:ind w:left="2720"/>
              <w:spacing w:after="0"/>
              <w:rPr>
                <w:sz w:val="20"/>
                <w:szCs w:val="20"/>
                <w:color w:val="auto"/>
              </w:rPr>
            </w:pPr>
            <w:r>
              <w:rPr>
                <w:rFonts w:ascii="Arial" w:cs="Arial" w:eastAsia="Arial" w:hAnsi="Arial"/>
                <w:sz w:val="18"/>
                <w:szCs w:val="18"/>
                <w:b w:val="1"/>
                <w:bCs w:val="1"/>
                <w:color w:val="auto"/>
              </w:rPr>
              <w:t>CLPS Incorporation</w:t>
            </w:r>
          </w:p>
        </w:tc>
      </w:tr>
      <w:tr>
        <w:trPr>
          <w:trHeight w:val="439"/>
        </w:trPr>
        <w:tc>
          <w:tcPr>
            <w:tcW w:w="4140" w:type="dxa"/>
            <w:vAlign w:val="bottom"/>
          </w:tcPr>
          <w:p>
            <w:pPr>
              <w:spacing w:after="0"/>
              <w:rPr>
                <w:sz w:val="20"/>
                <w:szCs w:val="20"/>
                <w:color w:val="auto"/>
              </w:rPr>
            </w:pPr>
            <w:r>
              <w:rPr>
                <w:rFonts w:ascii="Arial" w:cs="Arial" w:eastAsia="Arial" w:hAnsi="Arial"/>
                <w:sz w:val="18"/>
                <w:szCs w:val="18"/>
                <w:color w:val="auto"/>
              </w:rPr>
              <w:t>Date: July 10, 2018</w:t>
            </w:r>
          </w:p>
        </w:tc>
        <w:tc>
          <w:tcPr>
            <w:tcW w:w="3180" w:type="dxa"/>
            <w:vAlign w:val="bottom"/>
          </w:tcPr>
          <w:p>
            <w:pPr>
              <w:ind w:left="272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202"/>
        </w:trPr>
        <w:tc>
          <w:tcPr>
            <w:tcW w:w="41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16"/>
        </w:trPr>
        <w:tc>
          <w:tcPr>
            <w:tcW w:w="4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4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4140" w:type="dxa"/>
            <w:vAlign w:val="bottom"/>
          </w:tcPr>
          <w:p>
            <w:pPr>
              <w:spacing w:after="0"/>
              <w:rPr>
                <w:sz w:val="20"/>
                <w:szCs w:val="20"/>
                <w:color w:val="auto"/>
              </w:rPr>
            </w:pPr>
            <w:r>
              <w:rPr>
                <w:rFonts w:ascii="Arial" w:cs="Arial" w:eastAsia="Arial" w:hAnsi="Arial"/>
                <w:sz w:val="18"/>
                <w:szCs w:val="18"/>
                <w:color w:val="auto"/>
              </w:rPr>
              <w:t>Date: July 10, 2018</w:t>
            </w:r>
          </w:p>
        </w:tc>
        <w:tc>
          <w:tcPr>
            <w:tcW w:w="3180" w:type="dxa"/>
            <w:vAlign w:val="bottom"/>
          </w:tcPr>
          <w:p>
            <w:pPr>
              <w:ind w:left="272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Tian van Acken</w:t>
            </w:r>
          </w:p>
        </w:tc>
      </w:tr>
      <w:tr>
        <w:trPr>
          <w:trHeight w:val="202"/>
        </w:trPr>
        <w:tc>
          <w:tcPr>
            <w:tcW w:w="41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Tian van Acken</w:t>
            </w:r>
          </w:p>
        </w:tc>
      </w:tr>
      <w:tr>
        <w:trPr>
          <w:trHeight w:val="216"/>
        </w:trPr>
        <w:tc>
          <w:tcPr>
            <w:tcW w:w="4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Raymond Ming Hui Lin, his true and lawful attorneys-in-fact and agents, with full power of substitution and resubstitution for him and in his name, place and stead, in any and all capacities, to sign any and all amendments (including post-effective amendments) to this Registration Statement, and any subsequent registration statements pursuant to Rule 462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each of said attorney-in-fact or his substitute or substitutes, may lawfully do or cause to be done by virtue hereof.</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2"/>
                <w:szCs w:val="22"/>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3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Xiao Feng Yang</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 President and Director</w:t>
            </w:r>
          </w:p>
        </w:tc>
        <w:tc>
          <w:tcPr>
            <w:tcW w:w="296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Xiao Feng Yang</w:t>
            </w: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96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Raymond Ming Hui Lin</w:t>
            </w:r>
          </w:p>
        </w:tc>
        <w:tc>
          <w:tcPr>
            <w:tcW w:w="220" w:type="dxa"/>
            <w:vAlign w:val="bottom"/>
          </w:tcPr>
          <w:p>
            <w:pPr>
              <w:spacing w:after="0"/>
              <w:rPr>
                <w:sz w:val="20"/>
                <w:szCs w:val="20"/>
                <w:color w:val="auto"/>
              </w:rPr>
            </w:pPr>
          </w:p>
        </w:tc>
        <w:tc>
          <w:tcPr>
            <w:tcW w:w="480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9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Tian van Acken</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96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Tian van Acken</w:t>
            </w:r>
          </w:p>
        </w:tc>
        <w:tc>
          <w:tcPr>
            <w:tcW w:w="220" w:type="dxa"/>
            <w:vAlign w:val="bottom"/>
          </w:tcPr>
          <w:p>
            <w:pPr>
              <w:spacing w:after="0"/>
              <w:rPr>
                <w:sz w:val="20"/>
                <w:szCs w:val="20"/>
                <w:color w:val="auto"/>
              </w:rPr>
            </w:pPr>
          </w:p>
        </w:tc>
        <w:tc>
          <w:tcPr>
            <w:tcW w:w="4800" w:type="dxa"/>
            <w:vAlign w:val="bottom"/>
            <w:gridSpan w:val="2"/>
          </w:tcPr>
          <w:p>
            <w:pPr>
              <w:spacing w:after="0" w:line="203" w:lineRule="exact"/>
              <w:rPr>
                <w:sz w:val="20"/>
                <w:szCs w:val="20"/>
                <w:color w:val="auto"/>
              </w:rPr>
            </w:pPr>
            <w:r>
              <w:rPr>
                <w:rFonts w:ascii="Arial" w:cs="Arial" w:eastAsia="Arial" w:hAnsi="Arial"/>
                <w:sz w:val="18"/>
                <w:szCs w:val="18"/>
                <w:color w:val="auto"/>
              </w:rPr>
              <w:t>(Principal Accounting and Financial Officer)</w:t>
            </w:r>
          </w:p>
        </w:tc>
        <w:tc>
          <w:tcPr>
            <w:tcW w:w="29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 He Shao</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296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Jin He Shao</w:t>
            </w: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Kewei Huang</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296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Kewei Huang</w:t>
            </w: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Amooi</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2960" w:type="dxa"/>
            <w:vAlign w:val="bottom"/>
          </w:tcPr>
          <w:p>
            <w:pPr>
              <w:spacing w:after="0"/>
              <w:rPr>
                <w:sz w:val="20"/>
                <w:szCs w:val="20"/>
                <w:color w:val="auto"/>
              </w:rPr>
            </w:pPr>
            <w:r>
              <w:rPr>
                <w:rFonts w:ascii="Arial" w:cs="Arial" w:eastAsia="Arial" w:hAnsi="Arial"/>
                <w:sz w:val="18"/>
                <w:szCs w:val="18"/>
                <w:color w:val="auto"/>
              </w:rPr>
              <w:t>July 10, 2018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Kathryn Amooi</w:t>
            </w: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668"/>
        </w:trPr>
        <w:tc>
          <w:tcPr>
            <w:tcW w:w="34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0" w:type="dxa"/>
            <w:vAlign w:val="bottom"/>
            <w:gridSpan w:val="2"/>
          </w:tcPr>
          <w:p>
            <w:pPr>
              <w:ind w:left="16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r:id="rId19">
              <w:r>
                <w:rPr>
                  <w:rFonts w:ascii="Arial" w:cs="Arial" w:eastAsia="Arial" w:hAnsi="Arial"/>
                  <w:sz w:val="18"/>
                  <w:szCs w:val="18"/>
                  <w:color w:val="0000EE"/>
                  <w:w w:val="89"/>
                </w:rPr>
                <w:t>Specimen share certificate (1).</w:t>
              </w:r>
            </w:hyperlink>
          </w:p>
        </w:tc>
        <w:tc>
          <w:tcPr>
            <w:tcW w:w="806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5"/>
                <w:szCs w:val="15"/>
                <w:color w:val="auto"/>
              </w:rPr>
            </w:pPr>
          </w:p>
        </w:tc>
        <w:tc>
          <w:tcPr>
            <w:tcW w:w="10260" w:type="dxa"/>
            <w:vAlign w:val="bottom"/>
            <w:gridSpan w:val="6"/>
          </w:tcPr>
          <w:p>
            <w:pPr>
              <w:spacing w:after="0" w:line="176" w:lineRule="exact"/>
              <w:rPr>
                <w:sz w:val="20"/>
                <w:szCs w:val="20"/>
                <w:color w:val="auto"/>
              </w:rPr>
            </w:pPr>
            <w:r>
              <w:rPr>
                <w:rFonts w:ascii="Arial" w:cs="Arial" w:eastAsia="Arial" w:hAnsi="Arial"/>
                <w:sz w:val="18"/>
                <w:szCs w:val="18"/>
                <w:color w:val="0000EE"/>
              </w:rPr>
              <w:t>Opinion of Ogier.</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7"/>
                <w:szCs w:val="17"/>
                <w:color w:val="auto"/>
              </w:rPr>
            </w:pPr>
          </w:p>
        </w:tc>
        <w:tc>
          <w:tcPr>
            <w:tcW w:w="10260" w:type="dxa"/>
            <w:vAlign w:val="bottom"/>
            <w:gridSpan w:val="6"/>
            <w:shd w:val="clear" w:color="auto" w:fill="CCEEFF"/>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2017 Equity Incentive Plan (1).</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23.1</w:t>
            </w:r>
          </w:p>
        </w:tc>
        <w:tc>
          <w:tcPr>
            <w:tcW w:w="240" w:type="dxa"/>
            <w:vAlign w:val="bottom"/>
            <w:tcBorders>
              <w:top w:val="single" w:sz="8" w:color="CCEEFF"/>
            </w:tcBorders>
          </w:tcPr>
          <w:p>
            <w:pPr>
              <w:spacing w:after="0"/>
              <w:rPr>
                <w:sz w:val="15"/>
                <w:szCs w:val="15"/>
                <w:color w:val="auto"/>
              </w:rPr>
            </w:pPr>
          </w:p>
        </w:tc>
        <w:tc>
          <w:tcPr>
            <w:tcW w:w="226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Consent of Friedman LLP.</w:t>
            </w:r>
          </w:p>
        </w:tc>
        <w:tc>
          <w:tcPr>
            <w:tcW w:w="800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240" w:type="dxa"/>
            <w:vAlign w:val="bottom"/>
            <w:shd w:val="clear" w:color="auto" w:fill="CCEEFF"/>
          </w:tcPr>
          <w:p>
            <w:pPr>
              <w:spacing w:after="0"/>
              <w:rPr>
                <w:sz w:val="15"/>
                <w:szCs w:val="15"/>
                <w:color w:val="auto"/>
              </w:rPr>
            </w:pPr>
          </w:p>
        </w:tc>
        <w:tc>
          <w:tcPr>
            <w:tcW w:w="10260" w:type="dxa"/>
            <w:vAlign w:val="bottom"/>
            <w:gridSpan w:val="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Power of Attorney (included on signature page hereof).</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57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filed with CLPS Incorporation’s Registration Statement on Form F-1 or amendments thereto (File No. 333-223956).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187960</wp:posOffset>
            </wp:positionV>
            <wp:extent cx="101219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012190" cy="41148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 - Ogier Global (Cayman)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89 Nexus Way, Camana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KY1-9009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+852 3656 6054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nathan.powell@ogier.com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Reference: NMP/FYC/173339.00002</w:t>
      </w:r>
    </w:p>
    <w:p>
      <w:pPr>
        <w:spacing w:after="0" w:line="655" w:lineRule="exact"/>
        <w:rPr>
          <w:sz w:val="20"/>
          <w:szCs w:val="20"/>
          <w:color w:val="auto"/>
        </w:rPr>
      </w:pPr>
    </w:p>
    <w:p>
      <w:pPr>
        <w:sectPr>
          <w:pgSz w:w="11900" w:h="16838" w:orient="portrait"/>
          <w:cols w:equalWidth="0" w:num="2">
            <w:col w:w="6140" w:space="720"/>
            <w:col w:w="4560"/>
          </w:cols>
          <w:pgMar w:left="240" w:top="111"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 July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CLPS Incorporation (the Company)</w:t>
      </w:r>
    </w:p>
    <w:p>
      <w:pPr>
        <w:sectPr>
          <w:pgSz w:w="11900" w:h="16838" w:orient="portrait"/>
          <w:cols w:equalWidth="0" w:num="1">
            <w:col w:w="11420"/>
          </w:cols>
          <w:pgMar w:left="240" w:top="111" w:right="239" w:bottom="1440" w:gutter="0" w:footer="0" w:header="0"/>
          <w:type w:val="continuous"/>
        </w:sectPr>
      </w:pP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acted as Cayman Islands counsel to the Company in connection with the Company’s registration statement on Form S-8, including all amendments or supplements thereto (the </w:t>
      </w:r>
      <w:r>
        <w:rPr>
          <w:rFonts w:ascii="Arial" w:cs="Arial" w:eastAsia="Arial" w:hAnsi="Arial"/>
          <w:sz w:val="18"/>
          <w:szCs w:val="18"/>
          <w:b w:val="1"/>
          <w:bCs w:val="1"/>
          <w:color w:val="auto"/>
        </w:rPr>
        <w:t>Form S-8</w:t>
      </w:r>
      <w:r>
        <w:rPr>
          <w:rFonts w:ascii="Arial" w:cs="Arial" w:eastAsia="Arial" w:hAnsi="Arial"/>
          <w:sz w:val="18"/>
          <w:szCs w:val="18"/>
          <w:color w:val="auto"/>
        </w:rPr>
        <w:t xml:space="preserve">), as filed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xml:space="preserve">) under the United States Securities Act 1933, as amended (the </w:t>
      </w:r>
      <w:r>
        <w:rPr>
          <w:rFonts w:ascii="Arial" w:cs="Arial" w:eastAsia="Arial" w:hAnsi="Arial"/>
          <w:sz w:val="18"/>
          <w:szCs w:val="18"/>
          <w:b w:val="1"/>
          <w:bCs w:val="1"/>
          <w:color w:val="auto"/>
        </w:rPr>
        <w:t>Act</w:t>
      </w:r>
      <w:r>
        <w:rPr>
          <w:rFonts w:ascii="Arial" w:cs="Arial" w:eastAsia="Arial" w:hAnsi="Arial"/>
          <w:sz w:val="18"/>
          <w:szCs w:val="18"/>
          <w:color w:val="auto"/>
        </w:rPr>
        <w:t xml:space="preserve">) on or about the date hereof. The Form S-8 relates to the Company's 2017 Equity Incentive Plan adopted by the board of directors of the Company (the </w:t>
      </w:r>
      <w:r>
        <w:rPr>
          <w:rFonts w:ascii="Arial" w:cs="Arial" w:eastAsia="Arial" w:hAnsi="Arial"/>
          <w:sz w:val="18"/>
          <w:szCs w:val="18"/>
          <w:b w:val="1"/>
          <w:bCs w:val="1"/>
          <w:color w:val="auto"/>
        </w:rPr>
        <w:t>2017 Equity Incentive Plan</w:t>
      </w:r>
      <w:r>
        <w:rPr>
          <w:rFonts w:ascii="Arial" w:cs="Arial" w:eastAsia="Arial" w:hAnsi="Arial"/>
          <w:sz w:val="18"/>
          <w:szCs w:val="18"/>
          <w:color w:val="auto"/>
        </w:rPr>
        <w:t>).</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20"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examined</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 xml:space="preserve">For the purposes of giving this opinion, we have examined originals, copies, or drafts of the following documents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280" w:hanging="637"/>
        <w:spacing w:after="0" w:line="277" w:lineRule="auto"/>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the certificate of incorporation of the Company dated 11 May 2017 issued by the Registrar of Companies of the Cayman Islands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80" w:hanging="637"/>
        <w:spacing w:after="0" w:line="277" w:lineRule="auto"/>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the amended and restated memorandum and articles of association of the Company adopted by special resolutions of the Company dated 7 December 2017 (respectively, the </w:t>
      </w:r>
      <w:r>
        <w:rPr>
          <w:rFonts w:ascii="Arial" w:cs="Arial" w:eastAsia="Arial" w:hAnsi="Arial"/>
          <w:sz w:val="18"/>
          <w:szCs w:val="18"/>
          <w:b w:val="1"/>
          <w:bCs w:val="1"/>
          <w:color w:val="auto"/>
        </w:rPr>
        <w:t>Memorandum</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280" w:hanging="637"/>
        <w:spacing w:after="0"/>
        <w:tabs>
          <w:tab w:leader="none" w:pos="1280"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a certificate of good standing dated 25 May 2018 (the </w:t>
      </w:r>
      <w:r>
        <w:rPr>
          <w:rFonts w:ascii="Arial" w:cs="Arial" w:eastAsia="Arial" w:hAnsi="Arial"/>
          <w:sz w:val="17"/>
          <w:szCs w:val="17"/>
          <w:b w:val="1"/>
          <w:bCs w:val="1"/>
          <w:color w:val="auto"/>
        </w:rPr>
        <w:t>Good Standing Certificate</w:t>
      </w:r>
      <w:r>
        <w:rPr>
          <w:rFonts w:ascii="Arial" w:cs="Arial" w:eastAsia="Arial" w:hAnsi="Arial"/>
          <w:sz w:val="17"/>
          <w:szCs w:val="17"/>
          <w:color w:val="auto"/>
        </w:rPr>
        <w:t>) issued by the Registrar in respect of the Company;</w:t>
      </w:r>
    </w:p>
    <w:p>
      <w:pPr>
        <w:spacing w:after="0" w:line="236" w:lineRule="exact"/>
        <w:rPr>
          <w:rFonts w:ascii="Arial" w:cs="Arial" w:eastAsia="Arial" w:hAnsi="Arial"/>
          <w:sz w:val="17"/>
          <w:szCs w:val="17"/>
          <w:color w:val="auto"/>
        </w:rPr>
      </w:pPr>
    </w:p>
    <w:p>
      <w:pPr>
        <w:ind w:left="1280" w:hanging="637"/>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a copy of the register of directors of the Company as at 25 May 2018 (the </w:t>
      </w:r>
      <w:r>
        <w:rPr>
          <w:rFonts w:ascii="Arial" w:cs="Arial" w:eastAsia="Arial" w:hAnsi="Arial"/>
          <w:sz w:val="18"/>
          <w:szCs w:val="18"/>
          <w:b w:val="1"/>
          <w:bCs w:val="1"/>
          <w:color w:val="auto"/>
        </w:rPr>
        <w:t>ROD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37"/>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a copy of the register of members of the Company as at 25 May 2018 (the </w:t>
      </w:r>
      <w:r>
        <w:rPr>
          <w:rFonts w:ascii="Arial" w:cs="Arial" w:eastAsia="Arial" w:hAnsi="Arial"/>
          <w:sz w:val="18"/>
          <w:szCs w:val="18"/>
          <w:b w:val="1"/>
          <w:bCs w:val="1"/>
          <w:color w:val="auto"/>
        </w:rPr>
        <w:t>ROM</w:t>
      </w:r>
      <w:r>
        <w:rPr>
          <w:rFonts w:ascii="Arial" w:cs="Arial" w:eastAsia="Arial" w:hAnsi="Arial"/>
          <w:sz w:val="18"/>
          <w:szCs w:val="18"/>
          <w:color w:val="auto"/>
        </w:rPr>
        <w:t xml:space="preserve">, and together with the ROD, the </w:t>
      </w:r>
      <w:r>
        <w:rPr>
          <w:rFonts w:ascii="Arial" w:cs="Arial" w:eastAsia="Arial" w:hAnsi="Arial"/>
          <w:sz w:val="18"/>
          <w:szCs w:val="18"/>
          <w:b w:val="1"/>
          <w:bCs w:val="1"/>
          <w:color w:val="auto"/>
        </w:rPr>
        <w:t>Registers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20" w:type="dxa"/>
            <w:vAlign w:val="bottom"/>
          </w:tcPr>
          <w:p>
            <w:pPr>
              <w:spacing w:after="0"/>
              <w:rPr>
                <w:sz w:val="20"/>
                <w:szCs w:val="20"/>
                <w:color w:val="auto"/>
              </w:rPr>
            </w:pPr>
            <w:r>
              <w:rPr>
                <w:rFonts w:ascii="Arial" w:cs="Arial" w:eastAsia="Arial" w:hAnsi="Arial"/>
                <w:sz w:val="18"/>
                <w:szCs w:val="18"/>
                <w:b w:val="1"/>
                <w:bCs w:val="1"/>
                <w:color w:val="auto"/>
              </w:rPr>
              <w:t>Ogier</w:t>
            </w:r>
          </w:p>
        </w:tc>
        <w:tc>
          <w:tcPr>
            <w:tcW w:w="7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British Virgin Islands, Cayman Islands,</w:t>
            </w:r>
          </w:p>
        </w:tc>
        <w:tc>
          <w:tcPr>
            <w:tcW w:w="7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Guernsey, Jersey and Luxembourg</w:t>
            </w:r>
          </w:p>
        </w:tc>
        <w:tc>
          <w:tcPr>
            <w:tcW w:w="7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practitioners</w:t>
            </w:r>
          </w:p>
        </w:tc>
        <w:tc>
          <w:tcPr>
            <w:tcW w:w="77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Partners</w:t>
            </w:r>
          </w:p>
        </w:tc>
        <w:tc>
          <w:tcPr>
            <w:tcW w:w="0" w:type="dxa"/>
            <w:vAlign w:val="bottom"/>
          </w:tcPr>
          <w:p>
            <w:pPr>
              <w:spacing w:after="0"/>
              <w:rPr>
                <w:sz w:val="1"/>
                <w:szCs w:val="1"/>
                <w:color w:val="auto"/>
              </w:rPr>
            </w:pPr>
          </w:p>
        </w:tc>
      </w:tr>
      <w:tr>
        <w:trPr>
          <w:trHeight w:val="202"/>
        </w:trPr>
        <w:tc>
          <w:tcPr>
            <w:tcW w:w="3720" w:type="dxa"/>
            <w:vAlign w:val="bottom"/>
          </w:tcPr>
          <w:p>
            <w:pPr>
              <w:spacing w:after="0"/>
              <w:rPr>
                <w:sz w:val="17"/>
                <w:szCs w:val="17"/>
                <w:color w:val="auto"/>
              </w:rPr>
            </w:pPr>
          </w:p>
        </w:tc>
        <w:tc>
          <w:tcPr>
            <w:tcW w:w="7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Floor 11 Central Tower</w:t>
            </w:r>
          </w:p>
        </w:tc>
        <w:tc>
          <w:tcPr>
            <w:tcW w:w="7700" w:type="dxa"/>
            <w:vAlign w:val="bottom"/>
          </w:tcPr>
          <w:p>
            <w:pPr>
              <w:ind w:left="860"/>
              <w:spacing w:after="0"/>
              <w:rPr>
                <w:sz w:val="20"/>
                <w:szCs w:val="20"/>
                <w:color w:val="auto"/>
              </w:rPr>
            </w:pPr>
            <w:r>
              <w:rPr>
                <w:rFonts w:ascii="Arial" w:cs="Arial" w:eastAsia="Arial" w:hAnsi="Arial"/>
                <w:sz w:val="18"/>
                <w:szCs w:val="18"/>
                <w:color w:val="auto"/>
              </w:rPr>
              <w:t>Nicholas Plowman</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28 Queen's Road Central</w:t>
            </w:r>
          </w:p>
        </w:tc>
        <w:tc>
          <w:tcPr>
            <w:tcW w:w="7700" w:type="dxa"/>
            <w:vAlign w:val="bottom"/>
          </w:tcPr>
          <w:p>
            <w:pPr>
              <w:ind w:left="860"/>
              <w:spacing w:after="0"/>
              <w:rPr>
                <w:sz w:val="20"/>
                <w:szCs w:val="20"/>
                <w:color w:val="auto"/>
              </w:rPr>
            </w:pPr>
            <w:r>
              <w:rPr>
                <w:rFonts w:ascii="Arial" w:cs="Arial" w:eastAsia="Arial" w:hAnsi="Arial"/>
                <w:sz w:val="18"/>
                <w:szCs w:val="18"/>
                <w:color w:val="auto"/>
              </w:rPr>
              <w:t>Nathan Powell</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Central</w:t>
            </w:r>
          </w:p>
        </w:tc>
        <w:tc>
          <w:tcPr>
            <w:tcW w:w="7700" w:type="dxa"/>
            <w:vAlign w:val="bottom"/>
          </w:tcPr>
          <w:p>
            <w:pPr>
              <w:ind w:left="860"/>
              <w:spacing w:after="0"/>
              <w:rPr>
                <w:sz w:val="20"/>
                <w:szCs w:val="20"/>
                <w:color w:val="auto"/>
              </w:rPr>
            </w:pPr>
            <w:r>
              <w:rPr>
                <w:rFonts w:ascii="Arial" w:cs="Arial" w:eastAsia="Arial" w:hAnsi="Arial"/>
                <w:sz w:val="18"/>
                <w:szCs w:val="18"/>
                <w:color w:val="auto"/>
              </w:rPr>
              <w:t>Ray Ng</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Hong Kong</w:t>
            </w:r>
          </w:p>
        </w:tc>
        <w:tc>
          <w:tcPr>
            <w:tcW w:w="7700" w:type="dxa"/>
            <w:vAlign w:val="bottom"/>
          </w:tcPr>
          <w:p>
            <w:pPr>
              <w:ind w:left="860"/>
              <w:spacing w:after="0"/>
              <w:rPr>
                <w:sz w:val="20"/>
                <w:szCs w:val="20"/>
                <w:color w:val="auto"/>
              </w:rPr>
            </w:pPr>
            <w:r>
              <w:rPr>
                <w:rFonts w:ascii="Arial" w:cs="Arial" w:eastAsia="Arial" w:hAnsi="Arial"/>
                <w:sz w:val="18"/>
                <w:szCs w:val="18"/>
                <w:color w:val="auto"/>
              </w:rPr>
              <w:t>Kate Hodson</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Anthony Oakes</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 +852 3656 6000</w:t>
            </w:r>
          </w:p>
        </w:tc>
        <w:tc>
          <w:tcPr>
            <w:tcW w:w="7700" w:type="dxa"/>
            <w:vAlign w:val="bottom"/>
          </w:tcPr>
          <w:p>
            <w:pPr>
              <w:ind w:left="860"/>
              <w:spacing w:after="0"/>
              <w:rPr>
                <w:sz w:val="20"/>
                <w:szCs w:val="20"/>
                <w:color w:val="auto"/>
              </w:rPr>
            </w:pPr>
            <w:r>
              <w:rPr>
                <w:rFonts w:ascii="Arial" w:cs="Arial" w:eastAsia="Arial" w:hAnsi="Arial"/>
                <w:sz w:val="18"/>
                <w:szCs w:val="18"/>
                <w:color w:val="auto"/>
              </w:rPr>
              <w:t>Oliver Payne</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8"/>
                <w:szCs w:val="18"/>
                <w:color w:val="auto"/>
              </w:rPr>
              <w:t>F +852 3656 6001</w:t>
            </w:r>
          </w:p>
        </w:tc>
        <w:tc>
          <w:tcPr>
            <w:tcW w:w="7700" w:type="dxa"/>
            <w:vAlign w:val="bottom"/>
          </w:tcPr>
          <w:p>
            <w:pPr>
              <w:ind w:left="860"/>
              <w:spacing w:after="0"/>
              <w:rPr>
                <w:sz w:val="20"/>
                <w:szCs w:val="20"/>
                <w:color w:val="auto"/>
              </w:rPr>
            </w:pPr>
            <w:r>
              <w:rPr>
                <w:rFonts w:ascii="Arial" w:cs="Arial" w:eastAsia="Arial" w:hAnsi="Arial"/>
                <w:sz w:val="18"/>
                <w:szCs w:val="18"/>
                <w:color w:val="auto"/>
              </w:rPr>
              <w:t>James Bergstrom</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ogier.com</w:t>
            </w:r>
          </w:p>
        </w:tc>
        <w:tc>
          <w:tcPr>
            <w:tcW w:w="7700" w:type="dxa"/>
            <w:vAlign w:val="bottom"/>
          </w:tcPr>
          <w:p>
            <w:pPr>
              <w:ind w:left="860"/>
              <w:spacing w:after="0"/>
              <w:rPr>
                <w:sz w:val="20"/>
                <w:szCs w:val="20"/>
                <w:color w:val="auto"/>
              </w:rPr>
            </w:pPr>
            <w:r>
              <w:rPr>
                <w:rFonts w:ascii="Arial" w:cs="Arial" w:eastAsia="Arial" w:hAnsi="Arial"/>
                <w:sz w:val="18"/>
                <w:szCs w:val="18"/>
                <w:color w:val="auto"/>
              </w:rPr>
              <w:t>Marcus Leese</w:t>
            </w:r>
          </w:p>
        </w:tc>
        <w:tc>
          <w:tcPr>
            <w:tcW w:w="0" w:type="dxa"/>
            <w:vAlign w:val="bottom"/>
          </w:tcPr>
          <w:p>
            <w:pPr>
              <w:spacing w:after="0"/>
              <w:rPr>
                <w:sz w:val="1"/>
                <w:szCs w:val="1"/>
                <w:color w:val="auto"/>
              </w:rPr>
            </w:pPr>
          </w:p>
        </w:tc>
      </w:tr>
      <w:tr>
        <w:trPr>
          <w:trHeight w:val="682"/>
        </w:trPr>
        <w:tc>
          <w:tcPr>
            <w:tcW w:w="37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00" w:lineRule="exact"/>
        <w:rPr>
          <w:sz w:val="20"/>
          <w:szCs w:val="20"/>
          <w:color w:val="auto"/>
        </w:rPr>
      </w:pPr>
    </w:p>
    <w:p>
      <w:pPr>
        <w:spacing w:after="0" w:line="245" w:lineRule="exact"/>
        <w:rPr>
          <w:sz w:val="20"/>
          <w:szCs w:val="20"/>
          <w:color w:val="auto"/>
        </w:rPr>
      </w:pPr>
    </w:p>
    <w:p>
      <w:pPr>
        <w:ind w:left="1280" w:hanging="637"/>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Form S-8;</w:t>
      </w:r>
    </w:p>
    <w:p>
      <w:pPr>
        <w:spacing w:after="0" w:line="221" w:lineRule="exact"/>
        <w:rPr>
          <w:rFonts w:ascii="Arial" w:cs="Arial" w:eastAsia="Arial" w:hAnsi="Arial"/>
          <w:sz w:val="18"/>
          <w:szCs w:val="18"/>
          <w:color w:val="auto"/>
        </w:rPr>
      </w:pPr>
    </w:p>
    <w:p>
      <w:pPr>
        <w:ind w:left="1280" w:hanging="637"/>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 copy of the written resolutions of the board of directors dated 18 November 2017 and 4 July 2018 (the </w:t>
      </w:r>
      <w:r>
        <w:rPr>
          <w:rFonts w:ascii="Arial" w:cs="Arial" w:eastAsia="Arial" w:hAnsi="Arial"/>
          <w:sz w:val="17"/>
          <w:szCs w:val="17"/>
          <w:b w:val="1"/>
          <w:bCs w:val="1"/>
          <w:color w:val="auto"/>
        </w:rPr>
        <w:t>Board Resolutions</w:t>
      </w:r>
      <w:r>
        <w:rPr>
          <w:rFonts w:ascii="Arial" w:cs="Arial" w:eastAsia="Arial" w:hAnsi="Arial"/>
          <w:sz w:val="17"/>
          <w:szCs w:val="17"/>
          <w:color w:val="auto"/>
        </w:rPr>
        <w:t>); and</w:t>
      </w:r>
    </w:p>
    <w:p>
      <w:pPr>
        <w:spacing w:after="0" w:line="240" w:lineRule="exact"/>
        <w:rPr>
          <w:rFonts w:ascii="Arial" w:cs="Arial" w:eastAsia="Arial" w:hAnsi="Arial"/>
          <w:sz w:val="17"/>
          <w:szCs w:val="17"/>
          <w:color w:val="auto"/>
        </w:rPr>
      </w:pPr>
    </w:p>
    <w:p>
      <w:pPr>
        <w:ind w:left="1280" w:hanging="637"/>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copy of the 2017 Equity Incentive Plan.</w:t>
      </w:r>
    </w:p>
    <w:p>
      <w:pPr>
        <w:spacing w:after="0" w:line="221"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70" w:lineRule="exact"/>
        <w:rPr>
          <w:rFonts w:ascii="Arial" w:cs="Arial" w:eastAsia="Arial" w:hAnsi="Arial"/>
          <w:sz w:val="18"/>
          <w:szCs w:val="18"/>
          <w:b w:val="1"/>
          <w:bCs w:val="1"/>
          <w:color w:val="auto"/>
        </w:rPr>
      </w:pPr>
    </w:p>
    <w:p>
      <w:pPr>
        <w:ind w:left="1280" w:hanging="637"/>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original documents examined by us are authentic and complete;</w:t>
      </w:r>
    </w:p>
    <w:p>
      <w:pPr>
        <w:spacing w:after="0" w:line="225" w:lineRule="exact"/>
        <w:rPr>
          <w:rFonts w:ascii="Arial" w:cs="Arial" w:eastAsia="Arial" w:hAnsi="Arial"/>
          <w:sz w:val="18"/>
          <w:szCs w:val="18"/>
          <w:color w:val="auto"/>
        </w:rPr>
      </w:pPr>
    </w:p>
    <w:p>
      <w:pPr>
        <w:ind w:left="1280" w:hanging="637"/>
        <w:spacing w:after="0" w:line="277" w:lineRule="auto"/>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copy documents examined by us (whether in facsimile, electronic or other form) conform to the originals and those originals are authentic and complete;</w:t>
      </w:r>
    </w:p>
    <w:p>
      <w:pPr>
        <w:spacing w:after="0" w:line="170" w:lineRule="exact"/>
        <w:rPr>
          <w:rFonts w:ascii="Arial" w:cs="Arial" w:eastAsia="Arial" w:hAnsi="Arial"/>
          <w:sz w:val="18"/>
          <w:szCs w:val="18"/>
          <w:color w:val="auto"/>
        </w:rPr>
      </w:pPr>
    </w:p>
    <w:p>
      <w:pPr>
        <w:ind w:left="1280" w:hanging="637"/>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signatures, seals, dates, stamps and markings (whether on original or copy documents) are genuine;</w:t>
      </w:r>
    </w:p>
    <w:p>
      <w:pPr>
        <w:spacing w:after="0" w:line="225" w:lineRule="exact"/>
        <w:rPr>
          <w:rFonts w:ascii="Arial" w:cs="Arial" w:eastAsia="Arial" w:hAnsi="Arial"/>
          <w:sz w:val="18"/>
          <w:szCs w:val="18"/>
          <w:color w:val="auto"/>
        </w:rPr>
      </w:pPr>
    </w:p>
    <w:p>
      <w:pPr>
        <w:ind w:left="1280" w:hanging="637"/>
        <w:spacing w:after="0" w:line="277" w:lineRule="auto"/>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of the Good Standing Certificate, the Registers and the 2017 Equity Incentive Plan is accurate and complete as at the date of this opinion;</w:t>
      </w:r>
    </w:p>
    <w:p>
      <w:pPr>
        <w:spacing w:after="0" w:line="170" w:lineRule="exact"/>
        <w:rPr>
          <w:rFonts w:ascii="Arial" w:cs="Arial" w:eastAsia="Arial" w:hAnsi="Arial"/>
          <w:sz w:val="18"/>
          <w:szCs w:val="18"/>
          <w:color w:val="auto"/>
        </w:rPr>
      </w:pPr>
    </w:p>
    <w:p>
      <w:pPr>
        <w:ind w:left="1280" w:right="20" w:hanging="637"/>
        <w:spacing w:after="0" w:line="277" w:lineRule="auto"/>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Memorandum and Articles provided to you are in full force and effect and have not been amended, varied, supplemented or revoked in any respect;</w:t>
      </w:r>
    </w:p>
    <w:p>
      <w:pPr>
        <w:spacing w:after="0" w:line="170" w:lineRule="exact"/>
        <w:rPr>
          <w:rFonts w:ascii="Arial" w:cs="Arial" w:eastAsia="Arial" w:hAnsi="Arial"/>
          <w:sz w:val="18"/>
          <w:szCs w:val="18"/>
          <w:color w:val="auto"/>
        </w:rPr>
      </w:pPr>
    </w:p>
    <w:p>
      <w:pPr>
        <w:jc w:val="both"/>
        <w:ind w:left="1280" w:hanging="637"/>
        <w:spacing w:after="0" w:line="264" w:lineRule="auto"/>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copies of the Form S-8 are true and correct copies and the Form S-8 conform in every material respect to the latest drafts of the same produced to us and, where the Form S-8 has been provided to us in successive drafts marked-up to indicate changes to such documents, all such changes have been so indicated;</w:t>
      </w:r>
    </w:p>
    <w:p>
      <w:pPr>
        <w:spacing w:after="0" w:line="181" w:lineRule="exact"/>
        <w:rPr>
          <w:rFonts w:ascii="Arial" w:cs="Arial" w:eastAsia="Arial" w:hAnsi="Arial"/>
          <w:sz w:val="18"/>
          <w:szCs w:val="18"/>
          <w:color w:val="auto"/>
        </w:rPr>
      </w:pPr>
    </w:p>
    <w:p>
      <w:pPr>
        <w:jc w:val="both"/>
        <w:ind w:left="1280" w:hanging="637"/>
        <w:spacing w:after="0" w:line="259" w:lineRule="auto"/>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Board Resolutions remains in full force and effect and each of the directors of the Company has acted in good faith with a view to the best interests of the Company and has exercised the standard of care, diligence and skill that is required of him or her in approving the 2017 Equity Incentive Plan and no director has a financial interest in or other relationship to a party of the transactions contemplated by the 2017 Equity Incentive Plan which has not been properly disclosed in the Board Resolutions;</w:t>
      </w:r>
    </w:p>
    <w:p>
      <w:pPr>
        <w:spacing w:after="0" w:line="186" w:lineRule="exact"/>
        <w:rPr>
          <w:rFonts w:ascii="Arial" w:cs="Arial" w:eastAsia="Arial" w:hAnsi="Arial"/>
          <w:sz w:val="18"/>
          <w:szCs w:val="18"/>
          <w:color w:val="auto"/>
        </w:rPr>
      </w:pPr>
    </w:p>
    <w:p>
      <w:pPr>
        <w:ind w:left="1280" w:hanging="637"/>
        <w:spacing w:after="0" w:line="277" w:lineRule="auto"/>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neither the directors and shareholders of the Company have taken any steps to wing up the Company or to appoint a liquidator of the Company and no receiver has been appointed over any of the Company’s property or assets;</w:t>
      </w:r>
    </w:p>
    <w:p>
      <w:pPr>
        <w:spacing w:after="0" w:line="170" w:lineRule="exact"/>
        <w:rPr>
          <w:rFonts w:ascii="Arial" w:cs="Arial" w:eastAsia="Arial" w:hAnsi="Arial"/>
          <w:sz w:val="18"/>
          <w:szCs w:val="18"/>
          <w:color w:val="auto"/>
        </w:rPr>
      </w:pPr>
    </w:p>
    <w:p>
      <w:pPr>
        <w:jc w:val="both"/>
        <w:ind w:left="1280" w:hanging="637"/>
        <w:spacing w:after="0" w:line="264" w:lineRule="auto"/>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maximum number of shares which the Company is required to issue under the 2017 Equity Incentive Plan to fulfil its obligation is 2,210,000 shares of US$0.0001 par value each of the Company (the </w:t>
      </w:r>
      <w:r>
        <w:rPr>
          <w:rFonts w:ascii="Arial" w:cs="Arial" w:eastAsia="Arial" w:hAnsi="Arial"/>
          <w:sz w:val="18"/>
          <w:szCs w:val="18"/>
          <w:b w:val="1"/>
          <w:bCs w:val="1"/>
          <w:color w:val="auto"/>
        </w:rPr>
        <w:t>ESOP Shares</w:t>
      </w:r>
      <w:r>
        <w:rPr>
          <w:rFonts w:ascii="Arial" w:cs="Arial" w:eastAsia="Arial" w:hAnsi="Arial"/>
          <w:sz w:val="18"/>
          <w:szCs w:val="18"/>
          <w:color w:val="auto"/>
        </w:rPr>
        <w:t>) and the consideration payable for each ESOP Shares shall be no less than the par value of US$0.0001 each; and</w:t>
      </w:r>
    </w:p>
    <w:p>
      <w:pPr>
        <w:spacing w:after="0" w:line="181" w:lineRule="exact"/>
        <w:rPr>
          <w:rFonts w:ascii="Arial" w:cs="Arial" w:eastAsia="Arial" w:hAnsi="Arial"/>
          <w:sz w:val="18"/>
          <w:szCs w:val="18"/>
          <w:color w:val="auto"/>
        </w:rPr>
      </w:pPr>
    </w:p>
    <w:p>
      <w:pPr>
        <w:ind w:left="1280" w:hanging="637"/>
        <w:spacing w:after="0" w:line="277" w:lineRule="auto"/>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there is no provision of the law of any jurisdiction, other than the Cayman Islands, which would have any implication in relation to the opinions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00" w:lineRule="exact"/>
        <w:rPr>
          <w:sz w:val="20"/>
          <w:szCs w:val="20"/>
          <w:color w:val="auto"/>
        </w:rPr>
      </w:pPr>
    </w:p>
    <w:p>
      <w:pPr>
        <w:spacing w:after="0" w:line="241"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basis of the examinations and assumptions referred to above and subject to the limitations and qualifications set forth in paragraph 4 below, we are of the opinion that:</w:t>
      </w:r>
    </w:p>
    <w:p>
      <w:pPr>
        <w:spacing w:after="0" w:line="16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Corporate status</w:t>
      </w:r>
    </w:p>
    <w:p>
      <w:pPr>
        <w:spacing w:after="0" w:line="229" w:lineRule="exact"/>
        <w:rPr>
          <w:sz w:val="20"/>
          <w:szCs w:val="20"/>
          <w:color w:val="auto"/>
        </w:rPr>
      </w:pPr>
    </w:p>
    <w:p>
      <w:pPr>
        <w:ind w:left="1280" w:hanging="637"/>
        <w:spacing w:after="0" w:line="277"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has been duly incorporated as an exempted company and is validly existing and in good standing with the Registrar. It is a separate legal entity and is subject to suit in its own name.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Authorised Shares</w:t>
      </w:r>
    </w:p>
    <w:p>
      <w:pPr>
        <w:spacing w:after="0" w:line="229" w:lineRule="exact"/>
        <w:rPr>
          <w:sz w:val="20"/>
          <w:szCs w:val="20"/>
          <w:color w:val="auto"/>
        </w:rPr>
      </w:pPr>
    </w:p>
    <w:p>
      <w:pPr>
        <w:ind w:left="1280" w:hanging="637"/>
        <w:spacing w:after="0" w:line="277"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the Memorandum, the authorised share capital of the Company is US$10,000 divided into 100,000,000 shares of US$0.0001 par value.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Valid Issuance of ESOP Shares</w:t>
      </w:r>
    </w:p>
    <w:p>
      <w:pPr>
        <w:spacing w:after="0" w:line="229" w:lineRule="exact"/>
        <w:rPr>
          <w:sz w:val="20"/>
          <w:szCs w:val="20"/>
          <w:color w:val="auto"/>
        </w:rPr>
      </w:pPr>
    </w:p>
    <w:p>
      <w:pPr>
        <w:jc w:val="both"/>
        <w:ind w:left="1280" w:hanging="637"/>
        <w:spacing w:after="0" w:line="273" w:lineRule="auto"/>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ESOP Shares to be issued under the 2017 Equity Incentive Plan have been duly authorised by all necessary corporate action of the Company under the Memorandum and Articles and, upon the issuance and delivery of the ESOP Shares in accordance with the Memorandum and Articles, Board Resolutions and the terms of the 2017 Equity Incentive Plan and once consideration of not less than the par value is paid per share to the Company, the ESOP Shares will be duly authorized, validly issued, fully paid and non-assessable. Once the register of members has been updated to reflect the issuance, the shareholders recorded in the register of members will be deemed to have legal title to the shares set against their respective name.</w:t>
      </w:r>
    </w:p>
    <w:p>
      <w:pPr>
        <w:spacing w:after="0" w:line="174"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and Qualifications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We offer no opinion:</w:t>
      </w:r>
    </w:p>
    <w:p>
      <w:pPr>
        <w:spacing w:after="0" w:line="225" w:lineRule="exact"/>
        <w:rPr>
          <w:sz w:val="20"/>
          <w:szCs w:val="20"/>
          <w:color w:val="auto"/>
        </w:rPr>
      </w:pPr>
    </w:p>
    <w:p>
      <w:pPr>
        <w:jc w:val="both"/>
        <w:ind w:left="1280" w:hanging="637"/>
        <w:spacing w:after="0" w:line="286"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to any laws other than the laws of the Cayman Islands, and we have not, for the purposes of this opinion, made any investigation of the laws of any other jurisdiction, and we express no opinion as to the meaning, validity, or effect of references in the 2017 Equity Incentive Plan to statutes, rules, regulations, codes or judicial authority of any jurisdiction other than the Cayman Islands; or</w:t>
      </w:r>
    </w:p>
    <w:p>
      <w:pPr>
        <w:spacing w:after="0" w:line="165" w:lineRule="exact"/>
        <w:rPr>
          <w:rFonts w:ascii="Arial" w:cs="Arial" w:eastAsia="Arial" w:hAnsi="Arial"/>
          <w:sz w:val="17"/>
          <w:szCs w:val="17"/>
          <w:color w:val="auto"/>
        </w:rPr>
      </w:pPr>
    </w:p>
    <w:p>
      <w:pPr>
        <w:jc w:val="both"/>
        <w:ind w:left="1280" w:hanging="637"/>
        <w:spacing w:after="0" w:line="259"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to the extent that this opinion expressly provides otherwise, as to the commercial terms of, or the validity, enforceability or effect of the Form S-8, the accuracy of representations, the fulfilment of warranties or conditions, the occurrence of events of default or terminating events or the existence of any conflicts or inconsistencies among the Form S-8 and any other agreements into which the Company may have entered or any other documents.</w:t>
      </w:r>
    </w:p>
    <w:p>
      <w:pPr>
        <w:spacing w:after="0" w:line="183" w:lineRule="exact"/>
        <w:rPr>
          <w:sz w:val="20"/>
          <w:szCs w:val="20"/>
          <w:color w:val="auto"/>
        </w:rPr>
      </w:pPr>
    </w:p>
    <w:p>
      <w:pPr>
        <w:jc w:val="both"/>
        <w:ind w:left="640" w:hanging="634"/>
        <w:spacing w:after="0" w:line="281"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Under the Companies Law (Revised) (</w:t>
      </w:r>
      <w:r>
        <w:rPr>
          <w:rFonts w:ascii="Arial" w:cs="Arial" w:eastAsia="Arial" w:hAnsi="Arial"/>
          <w:sz w:val="17"/>
          <w:szCs w:val="17"/>
          <w:b w:val="1"/>
          <w:bCs w:val="1"/>
          <w:color w:val="auto"/>
        </w:rPr>
        <w:t>Companies Law</w:t>
      </w:r>
      <w:r>
        <w:rPr>
          <w:rFonts w:ascii="Arial" w:cs="Arial" w:eastAsia="Arial" w:hAnsi="Arial"/>
          <w:sz w:val="17"/>
          <w:szCs w:val="17"/>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65" w:lineRule="exact"/>
        <w:rPr>
          <w:sz w:val="20"/>
          <w:szCs w:val="20"/>
          <w:color w:val="auto"/>
        </w:rPr>
      </w:pPr>
    </w:p>
    <w:p>
      <w:pPr>
        <w:jc w:val="both"/>
        <w:ind w:left="640" w:hanging="634"/>
        <w:spacing w:after="0" w:line="289"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In </w:t>
      </w:r>
      <w:r>
        <w:rPr>
          <w:rFonts w:ascii="Arial" w:cs="Arial" w:eastAsia="Arial" w:hAnsi="Arial"/>
          <w:sz w:val="17"/>
          <w:szCs w:val="17"/>
          <w:b w:val="1"/>
          <w:bCs w:val="1"/>
          <w:color w:val="auto"/>
        </w:rPr>
        <w:t>good standing</w:t>
      </w:r>
      <w:r>
        <w:rPr>
          <w:rFonts w:ascii="Arial" w:cs="Arial" w:eastAsia="Arial" w:hAnsi="Arial"/>
          <w:sz w:val="17"/>
          <w:szCs w:val="17"/>
          <w:color w:val="auto"/>
        </w:rPr>
        <w:t xml:space="preserve"> means only that as of the date of this opinion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00" w:lineRule="exact"/>
        <w:rPr>
          <w:sz w:val="20"/>
          <w:szCs w:val="20"/>
          <w:color w:val="auto"/>
        </w:rPr>
      </w:pPr>
    </w:p>
    <w:p>
      <w:pPr>
        <w:spacing w:after="0" w:line="241"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of this opinion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This opinion is:</w:t>
      </w:r>
    </w:p>
    <w:p>
      <w:pPr>
        <w:spacing w:after="0" w:line="225" w:lineRule="exact"/>
        <w:rPr>
          <w:sz w:val="20"/>
          <w:szCs w:val="20"/>
          <w:color w:val="auto"/>
        </w:rPr>
      </w:pPr>
    </w:p>
    <w:p>
      <w:pPr>
        <w:ind w:left="1280" w:hanging="637"/>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governed by, and shall be construed in accordance with, the laws of the Cayman Islands;</w:t>
      </w:r>
    </w:p>
    <w:p>
      <w:pPr>
        <w:spacing w:after="0" w:line="225" w:lineRule="exact"/>
        <w:rPr>
          <w:rFonts w:ascii="Arial" w:cs="Arial" w:eastAsia="Arial" w:hAnsi="Arial"/>
          <w:sz w:val="18"/>
          <w:szCs w:val="18"/>
          <w:color w:val="auto"/>
        </w:rPr>
      </w:pPr>
    </w:p>
    <w:p>
      <w:pPr>
        <w:ind w:left="1280" w:hanging="637"/>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to the matters expressly stated in it; and</w:t>
      </w:r>
    </w:p>
    <w:p>
      <w:pPr>
        <w:spacing w:after="0" w:line="225" w:lineRule="exact"/>
        <w:rPr>
          <w:rFonts w:ascii="Arial" w:cs="Arial" w:eastAsia="Arial" w:hAnsi="Arial"/>
          <w:sz w:val="18"/>
          <w:szCs w:val="18"/>
          <w:color w:val="auto"/>
        </w:rPr>
      </w:pPr>
    </w:p>
    <w:p>
      <w:pPr>
        <w:ind w:left="1280" w:hanging="637"/>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otherwise indicated, a reference to any specific Cayman Islands legislation is a reference to that legislation as amended to, and as in force at, the date of this opinion.</w:t>
      </w:r>
    </w:p>
    <w:p>
      <w:pPr>
        <w:spacing w:after="0" w:line="166"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Reliance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hereby consent to the filing of this opinion as an exhibit to the Form S-8.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opinion may be used only in connection with the Form S-8 while the 2017 Equity Incentive Plan is effective.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975610" cy="454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9756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pertaining to the CLPS Incorporation 2017 Equity Incentive Plan of our report dated December 8, 2017, except for Notes 1, 2, 17 and 18 which are dated march 27, 2018 on the consolidated financial statements of CLPS Incorporation and Subsidiaries as June 30, 2017 and 2016 for the years then 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142875</wp:posOffset>
            </wp:positionV>
            <wp:extent cx="535114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5351145" cy="51435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66EF438D"/>
    <w:multiLevelType w:val="hybridMultilevel"/>
    <w:lvl w:ilvl="0">
      <w:lvlJc w:val="left"/>
      <w:lvlText w:val="%1"/>
      <w:numFmt w:val="lowerLetter"/>
      <w:start w:val="1"/>
    </w:lvl>
    <w:lvl w:ilvl="1">
      <w:lvlJc w:val="left"/>
      <w:lvlText w:val="(%2)"/>
      <w:numFmt w:val="decimal"/>
      <w:start w:val="2"/>
    </w:lvl>
  </w:abstractNum>
  <w:abstractNum w:abstractNumId="5">
    <w:nsid w:val="140E0F76"/>
    <w:multiLevelType w:val="hybridMultilevel"/>
    <w:lvl w:ilvl="0">
      <w:lvlJc w:val="left"/>
      <w:lvlText w:val="(%1)"/>
      <w:numFmt w:val="lowerLetter"/>
      <w:start w:val="2"/>
    </w:lvl>
    <w:lvl w:ilvl="1">
      <w:lvlJc w:val="left"/>
      <w:lvlText w:val="%2"/>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bullet"/>
      <w:start w:val="1"/>
    </w:lvl>
    <w:lvl w:ilvl="1">
      <w:lvlJc w:val="left"/>
      <w:lvlText w:val="(%2)"/>
      <w:numFmt w:val="lowerLetter"/>
      <w:start w:val="1"/>
    </w:lvl>
  </w:abstractNum>
  <w:abstractNum w:abstractNumId="8">
    <w:nsid w:val="DED7263"/>
    <w:multiLevelType w:val="hybridMultilevel"/>
    <w:lvl w:ilvl="0">
      <w:lvlJc w:val="left"/>
      <w:lvlText w:val="(%1)"/>
      <w:numFmt w:val="lowerLetter"/>
      <w:start w:val="6"/>
    </w:lvl>
  </w:abstractNum>
  <w:abstractNum w:abstractNumId="9">
    <w:nsid w:val="7FDCC233"/>
    <w:multiLevelType w:val="hybridMultilevel"/>
    <w:lvl w:ilvl="0">
      <w:lvlJc w:val="left"/>
      <w:lvlText w:val="2"/>
      <w:numFmt w:val="bullet"/>
      <w:start w:val="1"/>
    </w:lvl>
    <w:lvl w:ilvl="1">
      <w:lvlJc w:val="left"/>
      <w:lvlText w:val="(%2)"/>
      <w:numFmt w:val="lowerLetter"/>
      <w:start w:val="1"/>
    </w:lvl>
  </w:abstractNum>
  <w:abstractNum w:abstractNumId="10">
    <w:nsid w:val="1BEFD79F"/>
    <w:multiLevelType w:val="hybridMultilevel"/>
    <w:lvl w:ilvl="0">
      <w:lvlJc w:val="left"/>
      <w:lvlText w:val="3"/>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4"/>
      <w:numFmt w:val="bullet"/>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5"/>
      <w:numFmt w:val="bullet"/>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jpe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jpeg"/><Relationship Id="rId19" Type="http://schemas.openxmlformats.org/officeDocument/2006/relationships/hyperlink" Target="http://www.sec.gov/Archives/edgar/data/1724542/000121390018003524/ff12018ex4-1_clpsincorp.htm" TargetMode="External"/><Relationship Id="rId20" Type="http://schemas.openxmlformats.org/officeDocument/2006/relationships/hyperlink" Target="http://www.sec.gov/Archives/edgar/data/1724542/000121390018003524/ff12018ex10-1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2019-12-08T17:01:39Z</dcterms:created>
  <dcterms:modified xsi:type="dcterms:W3CDTF">2019-12-08T17:01:39Z</dcterms:modified>
</cp:coreProperties>
</file>