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G31642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May 24,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§§240.13d -1(e), 240,13d-1(f) or 240.13d -1(g),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 -7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pacing w:after="0" w:line="177"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b w:val="1"/>
          <w:bCs w:val="1"/>
          <w:color w:val="auto"/>
        </w:rPr>
        <w:t>G31642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751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751070"/>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Qinhui Ltd.</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I.R.S. IDENTIFICATION NOS. OF ABOVE PERSONS (ENTITIES ONLY):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 THE APPROPRIATE BOX IF A MEMBER OF A GROUP (SEE INSTRUCTIONS):</w:t>
      </w:r>
    </w:p>
    <w:p>
      <w:pPr>
        <w:ind w:left="260"/>
        <w:spacing w:after="0" w:line="342" w:lineRule="exact"/>
        <w:tabs>
          <w:tab w:leader="none" w:pos="640" w:val="left"/>
          <w:tab w:leader="none" w:pos="1240" w:val="left"/>
        </w:tabs>
        <w:rPr>
          <w:sz w:val="20"/>
          <w:szCs w:val="20"/>
          <w:color w:val="auto"/>
        </w:rPr>
      </w:pPr>
      <w:r>
        <w:rPr>
          <w:rFonts w:ascii="Arial" w:cs="Arial" w:eastAsia="Arial" w:hAnsi="Arial"/>
          <w:sz w:val="36"/>
          <w:szCs w:val="36"/>
          <w:color w:val="auto"/>
          <w:vertAlign w:val="superscript"/>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1260" w:hanging="608"/>
        <w:spacing w:after="0" w:line="207" w:lineRule="exact"/>
        <w:tabs>
          <w:tab w:leader="none" w:pos="1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660" w:hanging="393"/>
        <w:spacing w:after="0" w:line="185" w:lineRule="auto"/>
        <w:tabs>
          <w:tab w:leader="none" w:pos="660" w:val="left"/>
        </w:tabs>
        <w:numPr>
          <w:ilvl w:val="0"/>
          <w:numId w:val="3"/>
        </w:numPr>
        <w:rPr>
          <w:rFonts w:ascii="Arial" w:cs="Arial" w:eastAsia="Arial" w:hAnsi="Arial"/>
          <w:sz w:val="29"/>
          <w:szCs w:val="29"/>
          <w:color w:val="auto"/>
          <w:vertAlign w:val="subscript"/>
        </w:rPr>
      </w:pPr>
      <w:r>
        <w:rPr>
          <w:rFonts w:ascii="Arial" w:cs="Arial" w:eastAsia="Arial" w:hAnsi="Arial"/>
          <w:sz w:val="16"/>
          <w:szCs w:val="16"/>
          <w:color w:val="auto"/>
        </w:rPr>
        <w:t>SEC USE ONLY:</w:t>
      </w:r>
    </w:p>
    <w:p>
      <w:pPr>
        <w:spacing w:after="0" w:line="45" w:lineRule="exact"/>
        <w:rPr>
          <w:sz w:val="20"/>
          <w:szCs w:val="20"/>
          <w:color w:val="auto"/>
        </w:rPr>
      </w:pPr>
    </w:p>
    <w:p>
      <w:pPr>
        <w:ind w:left="660" w:hanging="393"/>
        <w:spacing w:after="0"/>
        <w:tabs>
          <w:tab w:leader="none" w:pos="66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SOURCE OF FUNDS (SEE INSTRUCTIONS):  OO (See Item 3)</w:t>
      </w:r>
    </w:p>
    <w:p>
      <w:pPr>
        <w:spacing w:after="0" w:line="65" w:lineRule="exact"/>
        <w:rPr>
          <w:sz w:val="20"/>
          <w:szCs w:val="20"/>
          <w:color w:val="auto"/>
        </w:rPr>
      </w:pPr>
    </w:p>
    <w:p>
      <w:pPr>
        <w:ind w:left="660" w:hanging="393"/>
        <w:spacing w:after="0" w:line="414" w:lineRule="exact"/>
        <w:tabs>
          <w:tab w:leader="none" w:pos="66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9" w:lineRule="exact"/>
        <w:rPr>
          <w:sz w:val="20"/>
          <w:szCs w:val="20"/>
          <w:color w:val="auto"/>
        </w:rPr>
      </w:pPr>
    </w:p>
    <w:p>
      <w:pPr>
        <w:ind w:left="660" w:hanging="39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British Virgin Islands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9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 -0-</w:t>
            </w:r>
          </w:p>
        </w:tc>
        <w:tc>
          <w:tcPr>
            <w:tcW w:w="0" w:type="dxa"/>
            <w:vAlign w:val="bottom"/>
          </w:tcPr>
          <w:p>
            <w:pPr>
              <w:spacing w:after="0"/>
              <w:rPr>
                <w:sz w:val="1"/>
                <w:szCs w:val="1"/>
                <w:color w:val="auto"/>
              </w:rPr>
            </w:pPr>
          </w:p>
        </w:tc>
      </w:tr>
      <w:tr>
        <w:trPr>
          <w:trHeight w:val="35"/>
        </w:trPr>
        <w:tc>
          <w:tcPr>
            <w:tcW w:w="460" w:type="dxa"/>
            <w:vAlign w:val="bottom"/>
          </w:tcPr>
          <w:p>
            <w:pPr>
              <w:spacing w:after="0"/>
              <w:rPr>
                <w:sz w:val="3"/>
                <w:szCs w:val="3"/>
                <w:color w:val="auto"/>
              </w:rPr>
            </w:pPr>
          </w:p>
        </w:tc>
        <w:tc>
          <w:tcPr>
            <w:tcW w:w="130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00" w:type="dxa"/>
            <w:vAlign w:val="bottom"/>
            <w:tcBorders>
              <w:right w:val="single" w:sz="8" w:color="auto"/>
            </w:tcBorders>
            <w:gridSpan w:val="2"/>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9100" w:type="dxa"/>
            <w:vAlign w:val="bottom"/>
          </w:tcPr>
          <w:p>
            <w:pPr>
              <w:ind w:left="40"/>
              <w:spacing w:after="0"/>
              <w:rPr>
                <w:sz w:val="20"/>
                <w:szCs w:val="20"/>
                <w:color w:val="auto"/>
              </w:rPr>
            </w:pPr>
            <w:r>
              <w:rPr>
                <w:rFonts w:ascii="Arial" w:cs="Arial" w:eastAsia="Arial" w:hAnsi="Arial"/>
                <w:sz w:val="18"/>
                <w:szCs w:val="18"/>
                <w:color w:val="auto"/>
              </w:rPr>
              <w:t>SHARED VOTING POWER: 4,999,996 common shares (See Item 5)</w:t>
            </w:r>
          </w:p>
        </w:tc>
        <w:tc>
          <w:tcPr>
            <w:tcW w:w="0" w:type="dxa"/>
            <w:vAlign w:val="bottom"/>
          </w:tcPr>
          <w:p>
            <w:pPr>
              <w:spacing w:after="0"/>
              <w:rPr>
                <w:sz w:val="1"/>
                <w:szCs w:val="1"/>
                <w:color w:val="auto"/>
              </w:rPr>
            </w:pPr>
          </w:p>
        </w:tc>
      </w:tr>
      <w:tr>
        <w:trPr>
          <w:trHeight w:val="88"/>
        </w:trPr>
        <w:tc>
          <w:tcPr>
            <w:tcW w:w="1760" w:type="dxa"/>
            <w:vAlign w:val="bottom"/>
            <w:tcBorders>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7"/>
                <w:szCs w:val="7"/>
                <w:color w:val="auto"/>
              </w:rPr>
            </w:pPr>
          </w:p>
        </w:tc>
        <w:tc>
          <w:tcPr>
            <w:tcW w:w="9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760" w:type="dxa"/>
            <w:vAlign w:val="bottom"/>
            <w:tcBorders>
              <w:right w:val="single" w:sz="8" w:color="auto"/>
            </w:tcBorders>
            <w:gridSpan w:val="3"/>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91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 -0-</w:t>
            </w:r>
          </w:p>
        </w:tc>
        <w:tc>
          <w:tcPr>
            <w:tcW w:w="0" w:type="dxa"/>
            <w:vAlign w:val="bottom"/>
          </w:tcPr>
          <w:p>
            <w:pPr>
              <w:spacing w:after="0"/>
              <w:rPr>
                <w:sz w:val="1"/>
                <w:szCs w:val="1"/>
                <w:color w:val="auto"/>
              </w:rPr>
            </w:pPr>
          </w:p>
        </w:tc>
      </w:tr>
      <w:tr>
        <w:trPr>
          <w:trHeight w:val="136"/>
        </w:trPr>
        <w:tc>
          <w:tcPr>
            <w:tcW w:w="1760" w:type="dxa"/>
            <w:vAlign w:val="bottom"/>
            <w:tcBorders>
              <w:right w:val="single" w:sz="8" w:color="auto"/>
            </w:tcBorders>
            <w:gridSpan w:val="3"/>
            <w:vMerge w:val="restart"/>
          </w:tcPr>
          <w:p>
            <w:pPr>
              <w:jc w:val="center"/>
              <w:spacing w:after="0" w:line="170" w:lineRule="exact"/>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continue"/>
          </w:tcPr>
          <w:p>
            <w:pPr>
              <w:spacing w:after="0"/>
              <w:rPr>
                <w:sz w:val="11"/>
                <w:szCs w:val="11"/>
                <w:color w:val="auto"/>
              </w:rPr>
            </w:pPr>
          </w:p>
        </w:tc>
        <w:tc>
          <w:tcPr>
            <w:tcW w:w="9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760" w:type="dxa"/>
            <w:vAlign w:val="bottom"/>
            <w:tcBorders>
              <w:right w:val="single" w:sz="8" w:color="auto"/>
            </w:tcBorders>
            <w:gridSpan w:val="3"/>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0" w:type="dxa"/>
            <w:vAlign w:val="bottom"/>
          </w:tcPr>
          <w:p>
            <w:pPr>
              <w:spacing w:after="0"/>
              <w:rPr>
                <w:sz w:val="21"/>
                <w:szCs w:val="21"/>
                <w:color w:val="auto"/>
              </w:rPr>
            </w:pPr>
          </w:p>
        </w:tc>
        <w:tc>
          <w:tcPr>
            <w:tcW w:w="130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91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 4,999,996 common shares (See Item 5)</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9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20"/>
                <w:szCs w:val="20"/>
                <w:color w:val="auto"/>
              </w:rPr>
            </w:pPr>
          </w:p>
        </w:tc>
        <w:tc>
          <w:tcPr>
            <w:tcW w:w="108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800" w:type="dxa"/>
            <w:vAlign w:val="bottom"/>
            <w:gridSpan w:val="3"/>
            <w:vMerge w:val="restart"/>
          </w:tcPr>
          <w:p>
            <w:pPr>
              <w:ind w:left="40"/>
              <w:spacing w:after="0"/>
              <w:rPr>
                <w:sz w:val="20"/>
                <w:szCs w:val="20"/>
                <w:color w:val="auto"/>
              </w:rPr>
            </w:pPr>
            <w:r>
              <w:rPr>
                <w:rFonts w:ascii="Arial" w:cs="Arial" w:eastAsia="Arial" w:hAnsi="Arial"/>
                <w:sz w:val="18"/>
                <w:szCs w:val="18"/>
                <w:color w:val="auto"/>
              </w:rPr>
              <w:t>4,999,996 common shares (See Item 5)</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20"/>
                <w:szCs w:val="20"/>
                <w:color w:val="auto"/>
              </w:rPr>
            </w:pPr>
          </w:p>
        </w:tc>
        <w:tc>
          <w:tcPr>
            <w:tcW w:w="108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   Not applicable.</w:t>
            </w:r>
          </w:p>
        </w:tc>
        <w:tc>
          <w:tcPr>
            <w:tcW w:w="0" w:type="dxa"/>
            <w:vAlign w:val="bottom"/>
          </w:tcPr>
          <w:p>
            <w:pPr>
              <w:spacing w:after="0"/>
              <w:rPr>
                <w:sz w:val="1"/>
                <w:szCs w:val="1"/>
                <w:color w:val="auto"/>
              </w:rPr>
            </w:pPr>
          </w:p>
        </w:tc>
      </w:tr>
      <w:tr>
        <w:trPr>
          <w:trHeight w:val="94"/>
        </w:trPr>
        <w:tc>
          <w:tcPr>
            <w:tcW w:w="46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080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20"/>
                <w:szCs w:val="20"/>
                <w:color w:val="auto"/>
              </w:rPr>
            </w:pPr>
          </w:p>
        </w:tc>
        <w:tc>
          <w:tcPr>
            <w:tcW w:w="108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800" w:type="dxa"/>
            <w:vAlign w:val="bottom"/>
            <w:gridSpan w:val="3"/>
            <w:vMerge w:val="restart"/>
          </w:tcPr>
          <w:p>
            <w:pPr>
              <w:ind w:left="40"/>
              <w:spacing w:after="0"/>
              <w:rPr>
                <w:sz w:val="20"/>
                <w:szCs w:val="20"/>
                <w:color w:val="auto"/>
              </w:rPr>
            </w:pPr>
            <w:r>
              <w:rPr>
                <w:rFonts w:ascii="Arial" w:cs="Arial" w:eastAsia="Arial" w:hAnsi="Arial"/>
                <w:sz w:val="18"/>
                <w:szCs w:val="18"/>
                <w:color w:val="auto"/>
              </w:rPr>
              <w:t>36.20% of the Company’s outstanding common shares</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right w:val="single" w:sz="8" w:color="auto"/>
            </w:tcBorders>
          </w:tcPr>
          <w:p>
            <w:pPr>
              <w:spacing w:after="0"/>
              <w:rPr>
                <w:sz w:val="19"/>
                <w:szCs w:val="19"/>
                <w:color w:val="auto"/>
              </w:rPr>
            </w:pPr>
          </w:p>
        </w:tc>
        <w:tc>
          <w:tcPr>
            <w:tcW w:w="10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 OO</w:t>
            </w: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334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b w:val="1"/>
          <w:bCs w:val="1"/>
          <w:color w:val="auto"/>
        </w:rPr>
        <w:t>G31642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751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751070"/>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NAMES OF REPORTING PERSONS: </w:t>
      </w:r>
      <w:r>
        <w:rPr>
          <w:rFonts w:ascii="Arial" w:cs="Arial" w:eastAsia="Arial" w:hAnsi="Arial"/>
          <w:sz w:val="18"/>
          <w:szCs w:val="18"/>
          <w:b w:val="1"/>
          <w:bCs w:val="1"/>
          <w:color w:val="auto"/>
        </w:rPr>
        <w:t>Raymond Ming Hui Lin</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I.R.S. IDENTIFICATION NOS. OF ABOVE PERSONS (ENTITIES ONLY):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 THE APPROPRIATE BOX IF A MEMBER OF A GROUP (SEE INSTRUCTIONS):</w:t>
      </w:r>
    </w:p>
    <w:p>
      <w:pPr>
        <w:ind w:left="260"/>
        <w:spacing w:after="0" w:line="342" w:lineRule="exact"/>
        <w:tabs>
          <w:tab w:leader="none" w:pos="640" w:val="left"/>
          <w:tab w:leader="none" w:pos="1240" w:val="left"/>
        </w:tabs>
        <w:rPr>
          <w:sz w:val="20"/>
          <w:szCs w:val="20"/>
          <w:color w:val="auto"/>
        </w:rPr>
      </w:pPr>
      <w:r>
        <w:rPr>
          <w:rFonts w:ascii="Arial" w:cs="Arial" w:eastAsia="Arial" w:hAnsi="Arial"/>
          <w:sz w:val="36"/>
          <w:szCs w:val="36"/>
          <w:color w:val="auto"/>
          <w:vertAlign w:val="superscript"/>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109" w:lineRule="exact"/>
        <w:rPr>
          <w:sz w:val="20"/>
          <w:szCs w:val="20"/>
          <w:color w:val="auto"/>
        </w:rPr>
      </w:pPr>
    </w:p>
    <w:p>
      <w:pPr>
        <w:ind w:left="1260" w:hanging="608"/>
        <w:spacing w:after="0" w:line="207" w:lineRule="exact"/>
        <w:tabs>
          <w:tab w:leader="none" w:pos="126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ind w:left="660" w:hanging="393"/>
        <w:spacing w:after="0" w:line="185" w:lineRule="auto"/>
        <w:tabs>
          <w:tab w:leader="none" w:pos="660" w:val="left"/>
        </w:tabs>
        <w:numPr>
          <w:ilvl w:val="0"/>
          <w:numId w:val="8"/>
        </w:numPr>
        <w:rPr>
          <w:rFonts w:ascii="Arial" w:cs="Arial" w:eastAsia="Arial" w:hAnsi="Arial"/>
          <w:sz w:val="29"/>
          <w:szCs w:val="29"/>
          <w:color w:val="auto"/>
          <w:vertAlign w:val="subscript"/>
        </w:rPr>
      </w:pPr>
      <w:r>
        <w:rPr>
          <w:rFonts w:ascii="Arial" w:cs="Arial" w:eastAsia="Arial" w:hAnsi="Arial"/>
          <w:sz w:val="16"/>
          <w:szCs w:val="16"/>
          <w:color w:val="auto"/>
        </w:rPr>
        <w:t>SEC USE ONLY:</w:t>
      </w:r>
    </w:p>
    <w:p>
      <w:pPr>
        <w:spacing w:after="0" w:line="45" w:lineRule="exact"/>
        <w:rPr>
          <w:sz w:val="20"/>
          <w:szCs w:val="20"/>
          <w:color w:val="auto"/>
        </w:rPr>
      </w:pPr>
    </w:p>
    <w:p>
      <w:pPr>
        <w:ind w:left="660" w:hanging="393"/>
        <w:spacing w:after="0"/>
        <w:tabs>
          <w:tab w:leader="none" w:pos="66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SOURCE OF FUNDS (SEE INSTRUCTIONS):  PF/OO (See Item 3)</w:t>
      </w:r>
    </w:p>
    <w:p>
      <w:pPr>
        <w:spacing w:after="0" w:line="65" w:lineRule="exact"/>
        <w:rPr>
          <w:sz w:val="20"/>
          <w:szCs w:val="20"/>
          <w:color w:val="auto"/>
        </w:rPr>
      </w:pPr>
    </w:p>
    <w:p>
      <w:pPr>
        <w:ind w:left="660" w:hanging="393"/>
        <w:spacing w:after="0" w:line="414" w:lineRule="exact"/>
        <w:tabs>
          <w:tab w:leader="none" w:pos="66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9" w:lineRule="exact"/>
        <w:rPr>
          <w:sz w:val="20"/>
          <w:szCs w:val="20"/>
          <w:color w:val="auto"/>
        </w:rPr>
      </w:pPr>
    </w:p>
    <w:p>
      <w:pPr>
        <w:ind w:left="660" w:hanging="39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Hong Kong Special Administrative Region of the People’s Republic of China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9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 5,073,604 common shares</w:t>
            </w:r>
          </w:p>
        </w:tc>
        <w:tc>
          <w:tcPr>
            <w:tcW w:w="0" w:type="dxa"/>
            <w:vAlign w:val="bottom"/>
          </w:tcPr>
          <w:p>
            <w:pPr>
              <w:spacing w:after="0"/>
              <w:rPr>
                <w:sz w:val="1"/>
                <w:szCs w:val="1"/>
                <w:color w:val="auto"/>
              </w:rPr>
            </w:pPr>
          </w:p>
        </w:tc>
      </w:tr>
      <w:tr>
        <w:trPr>
          <w:trHeight w:val="35"/>
        </w:trPr>
        <w:tc>
          <w:tcPr>
            <w:tcW w:w="460" w:type="dxa"/>
            <w:vAlign w:val="bottom"/>
          </w:tcPr>
          <w:p>
            <w:pPr>
              <w:spacing w:after="0"/>
              <w:rPr>
                <w:sz w:val="3"/>
                <w:szCs w:val="3"/>
                <w:color w:val="auto"/>
              </w:rPr>
            </w:pPr>
          </w:p>
        </w:tc>
        <w:tc>
          <w:tcPr>
            <w:tcW w:w="130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3"/>
                <w:szCs w:val="3"/>
                <w:color w:val="auto"/>
              </w:rPr>
            </w:pPr>
          </w:p>
        </w:tc>
        <w:tc>
          <w:tcPr>
            <w:tcW w:w="9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00" w:type="dxa"/>
            <w:vAlign w:val="bottom"/>
            <w:tcBorders>
              <w:right w:val="single" w:sz="8" w:color="auto"/>
            </w:tcBorders>
            <w:gridSpan w:val="2"/>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9100" w:type="dxa"/>
            <w:vAlign w:val="bottom"/>
          </w:tcPr>
          <w:p>
            <w:pPr>
              <w:ind w:left="40"/>
              <w:spacing w:after="0"/>
              <w:rPr>
                <w:sz w:val="20"/>
                <w:szCs w:val="20"/>
                <w:color w:val="auto"/>
              </w:rPr>
            </w:pPr>
            <w:r>
              <w:rPr>
                <w:rFonts w:ascii="Arial" w:cs="Arial" w:eastAsia="Arial" w:hAnsi="Arial"/>
                <w:sz w:val="18"/>
                <w:szCs w:val="18"/>
                <w:color w:val="auto"/>
              </w:rPr>
              <w:t>SHARED VOTING POWER: -0-</w:t>
            </w:r>
          </w:p>
        </w:tc>
        <w:tc>
          <w:tcPr>
            <w:tcW w:w="0" w:type="dxa"/>
            <w:vAlign w:val="bottom"/>
          </w:tcPr>
          <w:p>
            <w:pPr>
              <w:spacing w:after="0"/>
              <w:rPr>
                <w:sz w:val="1"/>
                <w:szCs w:val="1"/>
                <w:color w:val="auto"/>
              </w:rPr>
            </w:pPr>
          </w:p>
        </w:tc>
      </w:tr>
      <w:tr>
        <w:trPr>
          <w:trHeight w:val="88"/>
        </w:trPr>
        <w:tc>
          <w:tcPr>
            <w:tcW w:w="1760" w:type="dxa"/>
            <w:vAlign w:val="bottom"/>
            <w:tcBorders>
              <w:right w:val="single" w:sz="8" w:color="auto"/>
            </w:tcBorders>
            <w:gridSpan w:val="3"/>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7"/>
                <w:szCs w:val="7"/>
                <w:color w:val="auto"/>
              </w:rPr>
            </w:pPr>
          </w:p>
        </w:tc>
        <w:tc>
          <w:tcPr>
            <w:tcW w:w="9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760" w:type="dxa"/>
            <w:vAlign w:val="bottom"/>
            <w:tcBorders>
              <w:right w:val="single" w:sz="8" w:color="auto"/>
            </w:tcBorders>
            <w:gridSpan w:val="3"/>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91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POWERS: 5,073,604 common shares</w:t>
            </w:r>
          </w:p>
        </w:tc>
        <w:tc>
          <w:tcPr>
            <w:tcW w:w="0" w:type="dxa"/>
            <w:vAlign w:val="bottom"/>
          </w:tcPr>
          <w:p>
            <w:pPr>
              <w:spacing w:after="0"/>
              <w:rPr>
                <w:sz w:val="1"/>
                <w:szCs w:val="1"/>
                <w:color w:val="auto"/>
              </w:rPr>
            </w:pPr>
          </w:p>
        </w:tc>
      </w:tr>
      <w:tr>
        <w:trPr>
          <w:trHeight w:val="136"/>
        </w:trPr>
        <w:tc>
          <w:tcPr>
            <w:tcW w:w="1760" w:type="dxa"/>
            <w:vAlign w:val="bottom"/>
            <w:tcBorders>
              <w:right w:val="single" w:sz="8" w:color="auto"/>
            </w:tcBorders>
            <w:gridSpan w:val="3"/>
            <w:vMerge w:val="restart"/>
          </w:tcPr>
          <w:p>
            <w:pPr>
              <w:jc w:val="center"/>
              <w:spacing w:after="0" w:line="170" w:lineRule="exact"/>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continue"/>
          </w:tcPr>
          <w:p>
            <w:pPr>
              <w:spacing w:after="0"/>
              <w:rPr>
                <w:sz w:val="11"/>
                <w:szCs w:val="11"/>
                <w:color w:val="auto"/>
              </w:rPr>
            </w:pPr>
          </w:p>
        </w:tc>
        <w:tc>
          <w:tcPr>
            <w:tcW w:w="9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760" w:type="dxa"/>
            <w:vAlign w:val="bottom"/>
            <w:tcBorders>
              <w:right w:val="single" w:sz="8" w:color="auto"/>
            </w:tcBorders>
            <w:gridSpan w:val="3"/>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0" w:type="dxa"/>
            <w:vAlign w:val="bottom"/>
          </w:tcPr>
          <w:p>
            <w:pPr>
              <w:spacing w:after="0"/>
              <w:rPr>
                <w:sz w:val="21"/>
                <w:szCs w:val="21"/>
                <w:color w:val="auto"/>
              </w:rPr>
            </w:pPr>
          </w:p>
        </w:tc>
        <w:tc>
          <w:tcPr>
            <w:tcW w:w="130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9100" w:type="dxa"/>
            <w:vAlign w:val="bottom"/>
            <w:vMerge w:val="restart"/>
          </w:tcPr>
          <w:p>
            <w:pPr>
              <w:ind w:left="40"/>
              <w:spacing w:after="0"/>
              <w:rPr>
                <w:sz w:val="20"/>
                <w:szCs w:val="20"/>
                <w:color w:val="auto"/>
              </w:rPr>
            </w:pPr>
            <w:r>
              <w:rPr>
                <w:rFonts w:ascii="Arial" w:cs="Arial" w:eastAsia="Arial" w:hAnsi="Arial"/>
                <w:sz w:val="18"/>
                <w:szCs w:val="18"/>
                <w:color w:val="auto"/>
              </w:rPr>
              <w:t>SHARES DISPOSITIVE POWER: -0-</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9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20"/>
                <w:szCs w:val="20"/>
                <w:color w:val="auto"/>
              </w:rPr>
            </w:pPr>
          </w:p>
        </w:tc>
        <w:tc>
          <w:tcPr>
            <w:tcW w:w="108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800" w:type="dxa"/>
            <w:vAlign w:val="bottom"/>
            <w:gridSpan w:val="3"/>
            <w:vMerge w:val="restart"/>
          </w:tcPr>
          <w:p>
            <w:pPr>
              <w:ind w:left="40"/>
              <w:spacing w:after="0"/>
              <w:rPr>
                <w:sz w:val="20"/>
                <w:szCs w:val="20"/>
                <w:color w:val="auto"/>
              </w:rPr>
            </w:pPr>
            <w:r>
              <w:rPr>
                <w:rFonts w:ascii="Arial" w:cs="Arial" w:eastAsia="Arial" w:hAnsi="Arial"/>
                <w:sz w:val="18"/>
                <w:szCs w:val="18"/>
                <w:color w:val="auto"/>
              </w:rPr>
              <w:t>5,073,604 common shares (See Item 5)</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20"/>
                <w:szCs w:val="20"/>
                <w:color w:val="auto"/>
              </w:rPr>
            </w:pPr>
          </w:p>
        </w:tc>
        <w:tc>
          <w:tcPr>
            <w:tcW w:w="108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   Not applicable.</w:t>
            </w:r>
          </w:p>
        </w:tc>
        <w:tc>
          <w:tcPr>
            <w:tcW w:w="0" w:type="dxa"/>
            <w:vAlign w:val="bottom"/>
          </w:tcPr>
          <w:p>
            <w:pPr>
              <w:spacing w:after="0"/>
              <w:rPr>
                <w:sz w:val="1"/>
                <w:szCs w:val="1"/>
                <w:color w:val="auto"/>
              </w:rPr>
            </w:pPr>
          </w:p>
        </w:tc>
      </w:tr>
      <w:tr>
        <w:trPr>
          <w:trHeight w:val="94"/>
        </w:trPr>
        <w:tc>
          <w:tcPr>
            <w:tcW w:w="46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080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20"/>
                <w:szCs w:val="20"/>
                <w:color w:val="auto"/>
              </w:rPr>
            </w:pPr>
          </w:p>
        </w:tc>
        <w:tc>
          <w:tcPr>
            <w:tcW w:w="108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800" w:type="dxa"/>
            <w:vAlign w:val="bottom"/>
            <w:gridSpan w:val="3"/>
            <w:vMerge w:val="restart"/>
          </w:tcPr>
          <w:p>
            <w:pPr>
              <w:ind w:left="40"/>
              <w:spacing w:after="0"/>
              <w:rPr>
                <w:sz w:val="20"/>
                <w:szCs w:val="20"/>
                <w:color w:val="auto"/>
              </w:rPr>
            </w:pPr>
            <w:r>
              <w:rPr>
                <w:rFonts w:ascii="Arial" w:cs="Arial" w:eastAsia="Arial" w:hAnsi="Arial"/>
                <w:sz w:val="18"/>
                <w:szCs w:val="18"/>
                <w:color w:val="auto"/>
              </w:rPr>
              <w:t>36.73% of the Company’s outstanding common shares</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08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right w:val="single" w:sz="8" w:color="auto"/>
            </w:tcBorders>
          </w:tcPr>
          <w:p>
            <w:pPr>
              <w:spacing w:after="0"/>
              <w:rPr>
                <w:sz w:val="19"/>
                <w:szCs w:val="19"/>
                <w:color w:val="auto"/>
              </w:rPr>
            </w:pPr>
          </w:p>
        </w:tc>
        <w:tc>
          <w:tcPr>
            <w:tcW w:w="10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 IN</w:t>
            </w: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3340"/>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ind w:left="2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title and class of equity securities to which this Schedule 13D relates is the common shares, par value $0.0001 per share (“Common Shares”), of CLPS Incorporation, a Cayman Islands corporation (the “Company”). The Company’s principal executive office is located at c/o 2nd Floor, Building 18, Shanghai Pudong Software Park, 498 Guoshoujing Road, Pudong, Shanghai 201203, People’s Republic of China.</w:t>
      </w:r>
    </w:p>
    <w:p>
      <w:pPr>
        <w:spacing w:after="0" w:line="16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 This report is being filed by Qinhui Ltd. and Raymond Ming Hui Lin (together, the “Reporting Persons”). Raymond Ming Hui Lin is the Chief Executive Officer and a director of the Company. This business address is c/o 2nd Floor, Building 18, Shanghai Pudong Software Park, 498 Guoshoujing Road, Pudong, Shanghai 201203, People’s Republic of China.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Vistra Corporate Services Centre, Wickham’s Cay II, Road Town, Tortola, VG 1110, British Virgin Islands. Raymond Ming Hui Lin is the sole owner of Qinhui Ltd.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Qinhui Ltd., is a company formed under the laws of the British Virgin Islands. Its principal business is managing Raymond Ming Hui Lin’s personal assets and investments. Qinhui Ltd. is also one of the original shareholders in the Company. The Board of Directors of the Company approved the sale and issuance of 5,000,000 shares to Qinhui Ltd., among other investors, on December 7, 2017. Also included in the beneficial ownership calculation of the Reporting Persons is the vested portion of the restricted stock granted by the Company to Mr. Lin under the terms and provisions of the Company’s equity incentive plan and dated as of July 12, 2018. The total grant of 220,823 common shares vests in three equal installments, with the first installment vesting upon grant, and the second and third – on the first and second anniversary of the grant. For more detail see Item 5.</w:t>
      </w:r>
    </w:p>
    <w:p>
      <w:pPr>
        <w:spacing w:after="0" w:line="17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set forth in Items 3 and 5 is incorporated herein by reference.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Reporting Persons beneficially hold the common shares described herein for investment purposes as described in Item 3 above. Raymond Ming Hui Lin may make additional purchases for investment purposes from time to time, through Qinhui Ltd. or directly. In addition, he is the Chief Executive Officer and a director of the Company and therefore will continue to participate in incentive programs available to persons. As the Company’s chief executive, Raymond Ming Hui Lin has a continuing role in the governance of the Company, and in this role he may in the future make proposals or offer input on proposals with respect to the matters set forth in (a) through (j) of Item 4 of Schedule 13D. Except as set forth above, neither Raymond Ming Hui Lin nor Qinhui Ltd. has any current plans or proposals with respect to any of the matters set forth in paragraphs (a) through (j) of Item 4 of Schedule 13D.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2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(a)-(d) The calculations in this Item are based upon 13,813,821 common shares issued and outstanding as of January 14, 2019. The foregoing calculation is made pursuant to Rule l3d-3 promulgated under the Securities Act of 1933, as amended to date.</w:t>
      </w:r>
    </w:p>
    <w:tbl>
      <w:tblPr>
        <w:tblLayout w:type="fixed"/>
        <w:tblInd w:w="0" w:type="dxa"/>
        <w:tblCellMar>
          <w:top w:w="0" w:type="dxa"/>
          <w:left w:w="0" w:type="dxa"/>
          <w:bottom w:w="0" w:type="dxa"/>
          <w:right w:w="0" w:type="dxa"/>
        </w:tblCellMar>
      </w:tblPr>
      <w:tr>
        <w:trPr>
          <w:trHeight w:val="199"/>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20"/>
              <w:spacing w:after="0" w:line="200" w:lineRule="exact"/>
              <w:rPr>
                <w:sz w:val="20"/>
                <w:szCs w:val="20"/>
                <w:color w:val="auto"/>
              </w:rPr>
            </w:pPr>
            <w:r>
              <w:rPr>
                <w:rFonts w:ascii="Arial" w:cs="Arial" w:eastAsia="Arial" w:hAnsi="Arial"/>
                <w:sz w:val="18"/>
                <w:szCs w:val="18"/>
                <w:b w:val="1"/>
                <w:bCs w:val="1"/>
                <w:color w:val="auto"/>
                <w:w w:val="89"/>
              </w:rPr>
              <w:t>Sole Power to</w:t>
            </w:r>
          </w:p>
        </w:tc>
        <w:tc>
          <w:tcPr>
            <w:tcW w:w="146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b w:val="1"/>
                <w:bCs w:val="1"/>
                <w:color w:val="auto"/>
              </w:rPr>
              <w:t>Sole Power to</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Shared Power to</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Dispose or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Dispose or to</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Vote or Direct</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Vote or Direct</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Direct the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Direct the</w:t>
            </w: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 Owned</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Percentage of Class</w:t>
            </w:r>
          </w:p>
        </w:tc>
        <w:tc>
          <w:tcPr>
            <w:tcW w:w="1560" w:type="dxa"/>
            <w:vAlign w:val="bottom"/>
            <w:gridSpan w:val="2"/>
          </w:tcPr>
          <w:p>
            <w:pPr>
              <w:ind w:left="360"/>
              <w:spacing w:after="0"/>
              <w:rPr>
                <w:sz w:val="20"/>
                <w:szCs w:val="20"/>
                <w:color w:val="auto"/>
              </w:rPr>
            </w:pPr>
            <w:r>
              <w:rPr>
                <w:rFonts w:ascii="Arial" w:cs="Arial" w:eastAsia="Arial" w:hAnsi="Arial"/>
                <w:sz w:val="18"/>
                <w:szCs w:val="18"/>
                <w:b w:val="1"/>
                <w:bCs w:val="1"/>
                <w:color w:val="auto"/>
              </w:rPr>
              <w:t>the Vote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the Vote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Disposition</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Disposition</w:t>
            </w:r>
          </w:p>
        </w:tc>
      </w:tr>
      <w:tr>
        <w:trPr>
          <w:trHeight w:val="202"/>
        </w:trPr>
        <w:tc>
          <w:tcPr>
            <w:tcW w:w="1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Raymond Ming Hui</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5,073,604 common</w:t>
            </w: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5,073,604</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5,073,604</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7"/>
        </w:trPr>
        <w:tc>
          <w:tcPr>
            <w:tcW w:w="1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shares*</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Qinhui Ltd.</w:t>
            </w:r>
          </w:p>
        </w:tc>
        <w:tc>
          <w:tcPr>
            <w:tcW w:w="17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4,999,996 common</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4,999,996</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4,999,996</w:t>
            </w:r>
          </w:p>
        </w:tc>
        <w:tc>
          <w:tcPr>
            <w:tcW w:w="100" w:type="dxa"/>
            <w:vAlign w:val="bottom"/>
          </w:tcPr>
          <w:p>
            <w:pPr>
              <w:spacing w:after="0"/>
              <w:rPr>
                <w:sz w:val="17"/>
                <w:szCs w:val="17"/>
                <w:color w:val="auto"/>
              </w:rPr>
            </w:pPr>
          </w:p>
        </w:tc>
      </w:tr>
      <w:tr>
        <w:trPr>
          <w:trHeight w:val="257"/>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36.20%</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common shares</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w w:val="99"/>
              </w:rPr>
              <w:t>common shares</w:t>
            </w:r>
          </w:p>
        </w:tc>
      </w:tr>
    </w:tbl>
    <w:p>
      <w:pPr>
        <w:spacing w:after="0" w:line="202" w:lineRule="exact"/>
        <w:rPr>
          <w:sz w:val="20"/>
          <w:szCs w:val="20"/>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Raymond Ming Hui 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188"/>
        </w:trPr>
        <w:tc>
          <w:tcPr>
            <w:tcW w:w="580" w:type="dxa"/>
            <w:vAlign w:val="bottom"/>
          </w:tcPr>
          <w:p>
            <w:pPr>
              <w:spacing w:after="0" w:line="189" w:lineRule="exact"/>
              <w:rPr>
                <w:sz w:val="20"/>
                <w:szCs w:val="20"/>
                <w:color w:val="auto"/>
              </w:rPr>
            </w:pPr>
            <w:r>
              <w:rPr>
                <w:rFonts w:ascii="Arial" w:cs="Arial" w:eastAsia="Arial" w:hAnsi="Arial"/>
                <w:sz w:val="18"/>
                <w:szCs w:val="18"/>
                <w:color w:val="auto"/>
                <w:w w:val="72"/>
              </w:rPr>
              <w:t>Raymond</w:t>
            </w:r>
          </w:p>
        </w:tc>
        <w:tc>
          <w:tcPr>
            <w:tcW w:w="3980" w:type="dxa"/>
            <w:vAlign w:val="bottom"/>
          </w:tcPr>
          <w:p>
            <w:pPr>
              <w:ind w:left="180"/>
              <w:spacing w:after="0" w:line="189" w:lineRule="exact"/>
              <w:rPr>
                <w:sz w:val="20"/>
                <w:szCs w:val="20"/>
                <w:color w:val="auto"/>
              </w:rPr>
            </w:pPr>
            <w:r>
              <w:rPr>
                <w:rFonts w:ascii="Arial" w:cs="Arial" w:eastAsia="Arial" w:hAnsi="Arial"/>
                <w:sz w:val="18"/>
                <w:szCs w:val="18"/>
                <w:color w:val="auto"/>
              </w:rPr>
              <w:t>Ming Hui 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Sole Director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Qinhui Ltd., a British Virgin Islands corporation and Raymond Ming Hui Lin (the “Filing Persons”), hereby agree to file jointly a Schedule 13D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13D and any amendments thereto with respect to such Filing Person will be true, complete and correct as of the date of such Schedule 13D or such amendment, to the best of such Filing Person’s knowledge and belief, after reasonable inquiry. Each of the Filing Persons makes no representation as to the accuracy or adequacy of the information set forth in the Schedule 13D or any amendments thereto shall become inaccurate in any material respect or if said person learns of information that would require an amendment to the Schedule 13D.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this 25th day of February,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Raymond Ming Hui 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Sole 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6"/>
      <w:numFmt w:val="bullet"/>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4"/>
      <w:numFmt w:val="bullet"/>
      <w:start w:val="1"/>
    </w:lvl>
  </w:abstractNum>
  <w:abstractNum w:abstractNumId="9">
    <w:nsid w:val="1190CDE7"/>
    <w:multiLevelType w:val="hybridMultilevel"/>
    <w:lvl w:ilvl="0">
      <w:lvlJc w:val="left"/>
      <w:lvlText w:val="5"/>
      <w:numFmt w:val="bullet"/>
      <w:start w:val="1"/>
    </w:lvl>
  </w:abstractNum>
  <w:abstractNum w:abstractNumId="10">
    <w:nsid w:val="66EF438D"/>
    <w:multiLevelType w:val="hybridMultilevel"/>
    <w:lvl w:ilvl="0">
      <w:lvlJc w:val="left"/>
      <w:lvlText w:val="6"/>
      <w:numFmt w:val="bullet"/>
      <w:start w:val="1"/>
    </w:lvl>
  </w:abstractNum>
  <w:abstractNum w:abstractNumId="11">
    <w:nsid w:val="140E0F76"/>
    <w:multiLevelType w:val="hybridMultilevel"/>
    <w:lvl w:ilvl="0">
      <w:lvlJc w:val="left"/>
      <w:lvlText w:val="(%1)"/>
      <w:numFmt w:val="lowerLetter"/>
      <w:start w:val="6"/>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2019-12-21T01:59:14Z</dcterms:created>
  <dcterms:modified xsi:type="dcterms:W3CDTF">2019-12-21T01:59:14Z</dcterms:modified>
</cp:coreProperties>
</file>