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This amended Draft Registration Statement has not been filed publicly with the Securities and Exchange Commission and all information contained</w:t>
      </w:r>
    </w:p>
    <w:p>
      <w:pPr>
        <w:spacing w:after="0" w:line="50" w:lineRule="exact"/>
        <w:rPr>
          <w:sz w:val="24"/>
          <w:szCs w:val="24"/>
          <w:color w:val="auto"/>
        </w:rPr>
      </w:pPr>
    </w:p>
    <w:p>
      <w:pPr>
        <w:ind w:left="9420" w:right="360" w:hanging="8360"/>
        <w:spacing w:after="0" w:line="447" w:lineRule="auto"/>
        <w:rPr>
          <w:sz w:val="20"/>
          <w:szCs w:val="20"/>
          <w:color w:val="auto"/>
        </w:rPr>
      </w:pPr>
      <w:r>
        <w:rPr>
          <w:rFonts w:ascii="Arial" w:cs="Arial" w:eastAsia="Arial" w:hAnsi="Arial"/>
          <w:sz w:val="16"/>
          <w:szCs w:val="16"/>
          <w:b w:val="1"/>
          <w:bCs w:val="1"/>
          <w:color w:val="auto"/>
        </w:rPr>
        <w:t>herein remains confidential. As confidentially submitted to the Securities and Exchange Commission on January 19,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0001724542</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principal executive offices)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VCorp Services,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Robert Pitt Drive,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Monsey, NY 10952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(888) 528-2677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areas code, of agent for service)</w:t>
      </w:r>
    </w:p>
    <w:p>
      <w:pPr>
        <w:spacing w:after="0" w:line="89"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54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Copies to:</w:t>
            </w:r>
          </w:p>
        </w:tc>
      </w:tr>
      <w:tr>
        <w:trPr>
          <w:trHeight w:val="292"/>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Ralph V. De Martino, Esq.</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0"/>
              </w:rPr>
              <w:t>Louis Taubman, Esq.</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F. Alec Orudjev, Esq.</w:t>
            </w:r>
          </w:p>
        </w:tc>
        <w:tc>
          <w:tcPr>
            <w:tcW w:w="5420" w:type="dxa"/>
            <w:vAlign w:val="bottom"/>
          </w:tcPr>
          <w:p>
            <w:pPr>
              <w:jc w:val="center"/>
              <w:ind w:left="2552"/>
              <w:spacing w:after="0"/>
              <w:rPr>
                <w:sz w:val="20"/>
                <w:szCs w:val="20"/>
                <w:color w:val="auto"/>
              </w:rPr>
            </w:pPr>
            <w:r>
              <w:rPr>
                <w:rFonts w:ascii="Arial" w:cs="Arial" w:eastAsia="Arial" w:hAnsi="Arial"/>
                <w:sz w:val="18"/>
                <w:szCs w:val="18"/>
                <w:b w:val="1"/>
                <w:bCs w:val="1"/>
                <w:color w:val="auto"/>
                <w:w w:val="95"/>
              </w:rPr>
              <w:t>Hunter Taubman Fischer &amp; Li LLC</w:t>
            </w:r>
          </w:p>
        </w:tc>
      </w:tr>
      <w:tr>
        <w:trPr>
          <w:trHeight w:val="221"/>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6"/>
              </w:rPr>
              <w:t>Schiff Hardin LLP</w:t>
            </w:r>
          </w:p>
        </w:tc>
        <w:tc>
          <w:tcPr>
            <w:tcW w:w="5420" w:type="dxa"/>
            <w:vAlign w:val="bottom"/>
          </w:tcPr>
          <w:p>
            <w:pPr>
              <w:jc w:val="center"/>
              <w:ind w:left="2532"/>
              <w:spacing w:after="0" w:line="221" w:lineRule="exact"/>
              <w:rPr>
                <w:sz w:val="20"/>
                <w:szCs w:val="20"/>
                <w:color w:val="auto"/>
              </w:rPr>
            </w:pPr>
            <w:r>
              <w:rPr>
                <w:rFonts w:ascii="Arial" w:cs="Arial" w:eastAsia="Arial" w:hAnsi="Arial"/>
                <w:sz w:val="16"/>
                <w:szCs w:val="16"/>
                <w:b w:val="1"/>
                <w:bCs w:val="1"/>
                <w:color w:val="auto"/>
              </w:rPr>
              <w:t>1450 Broadway, 26</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Floor</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901 K Street, NW, Suite 700</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2"/>
              </w:rPr>
              <w:t>New York, NY 10018</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Washington, DC 20001</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1"/>
              </w:rPr>
              <w:t>Tel: 917-512-0827</w:t>
            </w:r>
          </w:p>
        </w:tc>
      </w:tr>
      <w:tr>
        <w:trPr>
          <w:trHeight w:val="234"/>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Tel: 202-724-6848</w:t>
            </w:r>
          </w:p>
        </w:tc>
        <w:tc>
          <w:tcPr>
            <w:tcW w:w="5420" w:type="dxa"/>
            <w:vAlign w:val="bottom"/>
          </w:tcPr>
          <w:p>
            <w:pPr>
              <w:spacing w:after="0"/>
              <w:rPr>
                <w:sz w:val="20"/>
                <w:szCs w:val="20"/>
                <w:color w:val="auto"/>
              </w:rPr>
            </w:pP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becomes effective.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0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7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400"/>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18"/>
                <w:szCs w:val="18"/>
                <w:color w:val="auto"/>
              </w:rPr>
            </w:pPr>
          </w:p>
        </w:tc>
        <w:tc>
          <w:tcPr>
            <w:tcW w:w="310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00"/>
              <w:spacing w:after="0"/>
              <w:rPr>
                <w:sz w:val="20"/>
                <w:szCs w:val="20"/>
                <w:color w:val="auto"/>
              </w:rPr>
            </w:pPr>
            <w:r>
              <w:rPr>
                <w:rFonts w:ascii="Arial" w:cs="Arial" w:eastAsia="Arial" w:hAnsi="Arial"/>
                <w:sz w:val="18"/>
                <w:szCs w:val="18"/>
                <w:color w:val="auto"/>
              </w:rPr>
              <w:t>(Do not check if a smaller reporting company)</w:t>
            </w:r>
          </w:p>
        </w:tc>
        <w:tc>
          <w:tcPr>
            <w:tcW w:w="310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0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58"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60" w:type="dxa"/>
            <w:vAlign w:val="bottom"/>
            <w:gridSpan w:val="6"/>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98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2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6"/>
              </w:rPr>
              <w:t>Proposed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Aggregate</w:t>
            </w:r>
          </w:p>
        </w:tc>
        <w:tc>
          <w:tcPr>
            <w:tcW w:w="160" w:type="dxa"/>
            <w:vAlign w:val="bottom"/>
          </w:tcPr>
          <w:p>
            <w:pPr>
              <w:spacing w:after="0"/>
              <w:rPr>
                <w:sz w:val="18"/>
                <w:szCs w:val="18"/>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Aggregate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 to be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Price Per</w:t>
            </w:r>
          </w:p>
        </w:tc>
        <w:tc>
          <w:tcPr>
            <w:tcW w:w="160" w:type="dxa"/>
            <w:vAlign w:val="bottom"/>
          </w:tcPr>
          <w:p>
            <w:pPr>
              <w:spacing w:after="0"/>
              <w:rPr>
                <w:sz w:val="18"/>
                <w:szCs w:val="18"/>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4"/>
              </w:rPr>
              <w:t>Offering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41"/>
        </w:trPr>
        <w:tc>
          <w:tcPr>
            <w:tcW w:w="6200" w:type="dxa"/>
            <w:vAlign w:val="bottom"/>
            <w:gridSpan w:val="3"/>
          </w:tcPr>
          <w:p>
            <w:pPr>
              <w:ind w:left="112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Registered(2)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Price(1)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16"/>
        </w:trPr>
        <w:tc>
          <w:tcPr>
            <w:tcW w:w="5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Shares, $0.0001 par value per share to be sold by Registrant</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6200" w:type="dxa"/>
            <w:vAlign w:val="bottom"/>
            <w:gridSpan w:val="3"/>
          </w:tcPr>
          <w:p>
            <w:pPr>
              <w:spacing w:after="0"/>
              <w:rPr>
                <w:sz w:val="20"/>
                <w:szCs w:val="20"/>
                <w:color w:val="auto"/>
              </w:rPr>
            </w:pPr>
            <w:r>
              <w:rPr>
                <w:rFonts w:ascii="Arial" w:cs="Arial" w:eastAsia="Arial" w:hAnsi="Arial"/>
                <w:sz w:val="18"/>
                <w:szCs w:val="18"/>
                <w:color w:val="auto"/>
              </w:rPr>
              <w:t>Underwriter’s share purchase warrants (3)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underlying underwriter’s warrants (3)(4)</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[_]</w:t>
            </w: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[_]</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[_]</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w w:val="78"/>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line="20" w:lineRule="exact"/>
              <w:rPr>
                <w:sz w:val="1"/>
                <w:szCs w:val="1"/>
                <w:color w:val="auto"/>
              </w:rPr>
            </w:pPr>
          </w:p>
        </w:tc>
      </w:tr>
      <w:tr>
        <w:trPr>
          <w:trHeight w:val="237"/>
        </w:trPr>
        <w:tc>
          <w:tcPr>
            <w:tcW w:w="6200" w:type="dxa"/>
            <w:vAlign w:val="bottom"/>
            <w:gridSpan w:val="3"/>
            <w:vMerge w:val="continue"/>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[_</w:t>
            </w:r>
          </w:p>
        </w:tc>
        <w:tc>
          <w:tcPr>
            <w:tcW w:w="1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[_</w:t>
            </w:r>
          </w:p>
        </w:tc>
        <w:tc>
          <w:tcPr>
            <w:tcW w:w="2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[_</w:t>
            </w:r>
          </w:p>
        </w:tc>
        <w:tc>
          <w:tcPr>
            <w:tcW w:w="220" w:type="dxa"/>
            <w:vAlign w:val="bottom"/>
            <w:vMerge w:val="continue"/>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[_</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460" w:right="24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in accordance with Rule 457(a) under the Securities Act of 1933, as amended.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[_] common shares which may be issued on exercise of a 45-day option granted to the underwriters to cover over-allotments, if any.</w:t>
      </w:r>
    </w:p>
    <w:p>
      <w:pPr>
        <w:spacing w:after="0" w:line="20" w:lineRule="exact"/>
        <w:rPr>
          <w:rFonts w:ascii="Arial" w:cs="Arial" w:eastAsia="Arial" w:hAnsi="Arial"/>
          <w:sz w:val="17"/>
          <w:szCs w:val="17"/>
          <w:color w:val="auto"/>
        </w:rPr>
      </w:pPr>
    </w:p>
    <w:p>
      <w:pPr>
        <w:jc w:val="both"/>
        <w:ind w:left="460" w:right="1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issue to the underwriter, upon closing of this offering, warrants exercisable for a period of five years from the effective date of this registration statement representing [_]% of the aggregate number of common shares issued in this offering. In accordance with Rule 457(g) under the Securities Act, because the Company’s shares underlying the warrants are registered hereby, no separate registration fee is required with respect to the warrants registered hereby.</w:t>
      </w:r>
    </w:p>
    <w:p>
      <w:pPr>
        <w:spacing w:after="0" w:line="1"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calculating the registration fee pursuant to Rule 457(g) under the Securities Act. We have calculated the proposed maximum aggregate offering price of the common shares underlying the underwriter’s warrants by assuming that such warrants are exercisable at a price per share equal to 120% of the price per share sold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p>
      <w:pPr>
        <w:jc w:val="both"/>
        <w:ind w:right="80"/>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is filed with the Securities and Exchange Commission is effective. This prospectus is not an offer to sell these securities and is not soliciting an offer to buy these securities in any state or other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154940</wp:posOffset>
            </wp:positionV>
            <wp:extent cx="2358390" cy="1174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83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common shares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is the initial public offering of CLPS Incorporation. We are offering [●] common shares. We expect that the initial public offering price will be between $[_] and $[_] per common share.</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No public market currently exists for our common shares. We have applied for approval for quotation on the NASDAQ Capital Market under the symbol “CLPS” for the common shares we are offering. We believe that upon the completion of the offering contemplated by this prospectus, we will meet the standards for listing on the NASDAQ Capital Market.</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Act of 2012, as amended, and, as such, will be subject to reduced public company reporting requirements.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anticipate that following the completion of this initial public offering of our securities our Chairman, Xiao Feng Yang, and our Chief Executive Officer, Raymond Ming Hui Lin, each will beneficially own approximately 33.89% of the Company’s then outstanding securities. While under NASDAQ Marketplace Rules 5615(c), it may be deemed a “controlled company,” the Company does not intend to avail itself of the corporate governance exemptions afforded to a “controlled company” under the NASDAQ Marketplace Rules.</w:t>
      </w:r>
    </w:p>
    <w:p>
      <w:pPr>
        <w:spacing w:after="0" w:line="18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An investment in our securities is highly speculative, involves a high degree of risk and should be considered only by persons who can afford the loss of their entire investment. See “Risk Factors” beginning on page 12 of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Underwriting discounts and commissions (1)</w:t>
            </w:r>
          </w:p>
        </w:tc>
        <w:tc>
          <w:tcPr>
            <w:tcW w:w="368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68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60" w:right="40" w:hanging="452"/>
        <w:spacing w:after="0" w:line="25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agreed to issue upon the closing of this offering, compensation warrants to The Benchmark Company, LLC and Cuttone &amp; Co., LLC, as representatives of the underwriters, entitling them to purchase up to 5% of the number of shares sold in this offering. We have also agreed to pay a non-accountable expense allowance to the underwriters of 0.5% of the gross proceeds received in this offering and to reimburse the underwriters for other out-of-pocket expenses related to the offering. For a description of other terms of the compensation warrants and a description of the other compensation to be received by the underwriters, see “Underwriting.”</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granted the representatives an option, exercisable for 45 days from the date of this prospectus, to purchase up to an additional [●] common shares on the same terms as the other shares being purchased by the underwriters from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expect to deliver the common shares against payment in U.S. dollars on or about [_], 2018.</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6600" w:type="dxa"/>
            <w:vAlign w:val="bottom"/>
          </w:tcPr>
          <w:p>
            <w:pPr>
              <w:ind w:left="2240"/>
              <w:spacing w:after="0"/>
              <w:rPr>
                <w:sz w:val="20"/>
                <w:szCs w:val="20"/>
                <w:color w:val="auto"/>
              </w:rPr>
            </w:pPr>
            <w:r>
              <w:rPr>
                <w:rFonts w:ascii="Arial" w:cs="Arial" w:eastAsia="Arial" w:hAnsi="Arial"/>
                <w:sz w:val="25"/>
                <w:szCs w:val="25"/>
                <w:b w:val="1"/>
                <w:bCs w:val="1"/>
                <w:color w:val="auto"/>
              </w:rPr>
              <w:t>Benchmark</w:t>
            </w:r>
          </w:p>
        </w:tc>
        <w:tc>
          <w:tcPr>
            <w:tcW w:w="4820" w:type="dxa"/>
            <w:vAlign w:val="bottom"/>
          </w:tcPr>
          <w:p>
            <w:pPr>
              <w:jc w:val="right"/>
              <w:ind w:right="1632"/>
              <w:spacing w:after="0"/>
              <w:rPr>
                <w:sz w:val="20"/>
                <w:szCs w:val="20"/>
                <w:color w:val="auto"/>
              </w:rPr>
            </w:pPr>
            <w:r>
              <w:rPr>
                <w:rFonts w:ascii="Arial" w:cs="Arial" w:eastAsia="Arial" w:hAnsi="Arial"/>
                <w:sz w:val="25"/>
                <w:szCs w:val="25"/>
                <w:b w:val="1"/>
                <w:bCs w:val="1"/>
                <w:color w:val="auto"/>
              </w:rPr>
              <w:t>Cuttone &amp; Co., LLC</w:t>
            </w:r>
          </w:p>
        </w:tc>
      </w:tr>
      <w:tr>
        <w:trPr>
          <w:trHeight w:val="424"/>
        </w:trPr>
        <w:tc>
          <w:tcPr>
            <w:tcW w:w="6600" w:type="dxa"/>
            <w:vAlign w:val="bottom"/>
          </w:tcPr>
          <w:p>
            <w:pPr>
              <w:ind w:left="4080"/>
              <w:spacing w:after="0"/>
              <w:rPr>
                <w:sz w:val="20"/>
                <w:szCs w:val="20"/>
                <w:color w:val="auto"/>
              </w:rPr>
            </w:pPr>
            <w:r>
              <w:rPr>
                <w:rFonts w:ascii="Arial" w:cs="Arial" w:eastAsia="Arial" w:hAnsi="Arial"/>
                <w:sz w:val="18"/>
                <w:szCs w:val="18"/>
                <w:b w:val="1"/>
                <w:bCs w:val="1"/>
                <w:color w:val="auto"/>
                <w:w w:val="97"/>
              </w:rPr>
              <w:t>The date of this prospectus is</w:t>
            </w:r>
          </w:p>
        </w:tc>
        <w:tc>
          <w:tcPr>
            <w:tcW w:w="4820" w:type="dxa"/>
            <w:vAlign w:val="bottom"/>
          </w:tcPr>
          <w:p>
            <w:pPr>
              <w:jc w:val="right"/>
              <w:ind w:right="3972"/>
              <w:spacing w:after="0"/>
              <w:rPr>
                <w:sz w:val="20"/>
                <w:szCs w:val="20"/>
                <w:color w:val="auto"/>
              </w:rPr>
            </w:pPr>
            <w:r>
              <w:rPr>
                <w:rFonts w:ascii="Arial" w:cs="Arial" w:eastAsia="Arial" w:hAnsi="Arial"/>
                <w:sz w:val="18"/>
                <w:szCs w:val="18"/>
                <w:b w:val="1"/>
                <w:bCs w:val="1"/>
                <w:color w:val="auto"/>
              </w:rPr>
              <w:t>, 2018</w:t>
            </w:r>
          </w:p>
        </w:tc>
      </w:tr>
      <w:tr>
        <w:trPr>
          <w:trHeight w:val="466"/>
        </w:trPr>
        <w:tc>
          <w:tcPr>
            <w:tcW w:w="66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40" w:type="dxa"/>
            <w:vAlign w:val="bottom"/>
            <w:gridSpan w:val="2"/>
          </w:tcPr>
          <w:p>
            <w:pPr>
              <w:ind w:left="84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7220" w:type="dxa"/>
            <w:vAlign w:val="bottom"/>
            <w:tcBorders>
              <w:bottom w:val="single" w:sz="8" w:color="CCEEFF"/>
            </w:tcBorders>
            <w:gridSpan w:val="1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Forward-Looking Statements</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6640" w:type="dxa"/>
            <w:vAlign w:val="bottom"/>
            <w:tcBorders>
              <w:top w:val="single" w:sz="8" w:color="CCEEFF"/>
            </w:tcBorders>
            <w:gridSpan w:val="8"/>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Dividend Policy</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Exchange Rate Information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Capitalization</w:t>
              </w:r>
            </w:hyperlink>
          </w:p>
        </w:tc>
        <w:tc>
          <w:tcPr>
            <w:tcW w:w="7740" w:type="dxa"/>
            <w:vAlign w:val="bottom"/>
            <w:tcBorders>
              <w:bottom w:val="single" w:sz="8" w:color="CCEEFF"/>
            </w:tcBorders>
            <w:gridSpan w:val="16"/>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Dilution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Selected Historical Financial and Operating Data</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Post-Offering Ownership</w:t>
              </w:r>
            </w:hyperlink>
          </w:p>
        </w:tc>
        <w:tc>
          <w:tcPr>
            <w:tcW w:w="5220" w:type="dxa"/>
            <w:vAlign w:val="bottom"/>
            <w:tcBorders>
              <w:top w:val="single" w:sz="8" w:color="CCEEFF"/>
            </w:tcBorders>
            <w:gridSpan w:val="3"/>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Our Business</w:t>
              </w:r>
            </w:hyperlink>
          </w:p>
        </w:tc>
        <w:tc>
          <w:tcPr>
            <w:tcW w:w="230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Directors and Executive Officers</w:t>
              </w:r>
            </w:hyperlink>
          </w:p>
        </w:tc>
        <w:tc>
          <w:tcPr>
            <w:tcW w:w="6380" w:type="dxa"/>
            <w:vAlign w:val="bottom"/>
            <w:tcBorders>
              <w:bottom w:val="single" w:sz="8" w:color="CCEEFF"/>
            </w:tcBorders>
            <w:gridSpan w:val="6"/>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Related Party Transactions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2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Share Capital</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Shares Eligible for Future Sale</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Tax Matters Applicable to U.S. Holders of Our Shares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Enforceability of Civil Liabilities</w:t>
              </w:r>
            </w:hyperlink>
          </w:p>
        </w:tc>
        <w:tc>
          <w:tcPr>
            <w:tcW w:w="6340" w:type="dxa"/>
            <w:vAlign w:val="bottom"/>
            <w:tcBorders>
              <w:bottom w:val="single" w:sz="8" w:color="CCEEFF"/>
            </w:tcBorders>
            <w:gridSpan w:val="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gridSpan w:val="21"/>
          </w:tcPr>
          <w:p>
            <w:pPr>
              <w:spacing w:after="0"/>
              <w:rPr>
                <w:sz w:val="20"/>
                <w:szCs w:val="20"/>
                <w:color w:val="auto"/>
              </w:rPr>
            </w:pPr>
            <w:r>
              <w:rPr>
                <w:rFonts w:ascii="Arial" w:cs="Arial" w:eastAsia="Arial" w:hAnsi="Arial"/>
                <w:sz w:val="18"/>
                <w:szCs w:val="18"/>
                <w:color w:val="auto"/>
              </w:rPr>
              <w:t>Determination of Offering Price</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Underwriting</w:t>
              </w:r>
            </w:hyperlink>
          </w:p>
        </w:tc>
        <w:tc>
          <w:tcPr>
            <w:tcW w:w="7780" w:type="dxa"/>
            <w:vAlign w:val="bottom"/>
            <w:tcBorders>
              <w:bottom w:val="single" w:sz="8" w:color="CCEEFF"/>
            </w:tcBorders>
            <w:gridSpan w:val="1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Legal Matters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104">
              <w:r>
                <w:rPr>
                  <w:rFonts w:ascii="Arial" w:cs="Arial" w:eastAsia="Arial" w:hAnsi="Arial"/>
                  <w:sz w:val="18"/>
                  <w:szCs w:val="18"/>
                  <w:color w:val="0000EE"/>
                  <w:w w:val="85"/>
                </w:rPr>
                <w:t>Experts</w:t>
              </w:r>
            </w:hyperlink>
          </w:p>
        </w:tc>
        <w:tc>
          <w:tcPr>
            <w:tcW w:w="8200" w:type="dxa"/>
            <w:vAlign w:val="bottom"/>
            <w:tcBorders>
              <w:bottom w:val="single" w:sz="8" w:color="CCEEFF"/>
            </w:tcBorders>
            <w:gridSpan w:val="2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1"/>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Where You Can Find More Information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1"/>
            <w:shd w:val="clear" w:color="auto" w:fill="CCEEFF"/>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Financial Statements</w:t>
              </w:r>
            </w:hyperlink>
          </w:p>
        </w:tc>
        <w:tc>
          <w:tcPr>
            <w:tcW w:w="2660" w:type="dxa"/>
            <w:vAlign w:val="bottom"/>
            <w:shd w:val="clear" w:color="auto" w:fill="CCEEFF"/>
          </w:tcPr>
          <w:p>
            <w:pPr>
              <w:ind w:left="208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in the Company.</w:t>
      </w:r>
    </w:p>
    <w:p>
      <w:pPr>
        <w:spacing w:after="0" w:line="18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Neither we, nor the underwriters have done anything that would permit this offering or possession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shares and the distribution of this prospectus outside the United States.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283845</wp:posOffset>
            </wp:positionV>
            <wp:extent cx="7216140" cy="5741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140" cy="574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00" w:right="60" w:firstLine="648"/>
        <w:spacing w:after="0" w:line="271" w:lineRule="auto"/>
        <w:rPr>
          <w:sz w:val="20"/>
          <w:szCs w:val="20"/>
          <w:color w:val="auto"/>
        </w:rPr>
      </w:pPr>
      <w:r>
        <w:rPr>
          <w:rFonts w:ascii="Arial" w:cs="Arial" w:eastAsia="Arial" w:hAnsi="Arial"/>
          <w:sz w:val="17"/>
          <w:szCs w:val="17"/>
          <w:i w:val="1"/>
          <w:iCs w:val="1"/>
          <w:color w:val="auto"/>
        </w:rPr>
        <w:t>This summary highlights information that we present more fully in the rest of this prospectus. This summary does not contain all of the information you should consider before buying common shares in this offering. This summary contains forward-looking statements that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 You should read the entire prospectus carefully, including the “Risk Factors” section and the financial statements and the notes to those statements.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100" w:firstLine="648"/>
        <w:spacing w:after="0" w:line="286"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On a very limited basis, the Company implements its own software systems, such as CLPS Virtual Banking Platform. We maintain eleven delivery and or research &amp;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left="1080" w:hanging="329"/>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Banking or their China-based IT centers – </w:t>
      </w:r>
      <w:r>
        <w:rPr>
          <w:rFonts w:ascii="Arial" w:cs="Arial" w:eastAsia="Arial" w:hAnsi="Arial"/>
          <w:sz w:val="18"/>
          <w:szCs w:val="18"/>
          <w:color w:val="auto"/>
        </w:rPr>
        <w:t>ANZ Bank, Commonwealth Bank of Australia, Bank of Communications.</w:t>
      </w:r>
    </w:p>
    <w:p>
      <w:pPr>
        <w:spacing w:after="0" w:line="225" w:lineRule="exact"/>
        <w:rPr>
          <w:rFonts w:ascii="Arial" w:cs="Arial" w:eastAsia="Arial" w:hAnsi="Arial"/>
          <w:sz w:val="18"/>
          <w:szCs w:val="18"/>
          <w:i w:val="1"/>
          <w:iCs w:val="1"/>
          <w:color w:val="auto"/>
        </w:rPr>
      </w:pPr>
    </w:p>
    <w:p>
      <w:pPr>
        <w:ind w:left="1080" w:right="540" w:hanging="329"/>
        <w:spacing w:after="0" w:line="277" w:lineRule="auto"/>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Industry – </w:t>
      </w:r>
      <w:r>
        <w:rPr>
          <w:rFonts w:ascii="Arial" w:cs="Arial" w:eastAsia="Arial" w:hAnsi="Arial"/>
          <w:sz w:val="18"/>
          <w:szCs w:val="18"/>
          <w:color w:val="auto"/>
        </w:rPr>
        <w:t>AIA, AnBang Insurance Group, China Life Insurance, FirstData, Haitong Securities, Orient Securities and China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Asset Management Company.</w:t>
      </w:r>
    </w:p>
    <w:p>
      <w:pPr>
        <w:spacing w:after="0" w:line="170" w:lineRule="exact"/>
        <w:rPr>
          <w:rFonts w:ascii="Arial" w:cs="Arial" w:eastAsia="Arial" w:hAnsi="Arial"/>
          <w:sz w:val="18"/>
          <w:szCs w:val="18"/>
          <w:i w:val="1"/>
          <w:iCs w:val="1"/>
          <w:color w:val="auto"/>
        </w:rPr>
      </w:pPr>
    </w:p>
    <w:p>
      <w:pPr>
        <w:ind w:left="1080" w:hanging="329"/>
        <w:spacing w:after="0"/>
        <w:tabs>
          <w:tab w:leader="none" w:pos="10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 </w:t>
      </w:r>
      <w:r>
        <w:rPr>
          <w:rFonts w:ascii="Arial" w:cs="Arial" w:eastAsia="Arial" w:hAnsi="Arial"/>
          <w:sz w:val="18"/>
          <w:szCs w:val="18"/>
          <w:color w:val="auto"/>
        </w:rPr>
        <w:t>CRIF Information Technology, Experian, AGFA Healthcare and Neusoft.</w:t>
      </w:r>
    </w:p>
    <w:p>
      <w:pPr>
        <w:spacing w:after="0" w:line="225" w:lineRule="exact"/>
        <w:rPr>
          <w:sz w:val="20"/>
          <w:szCs w:val="20"/>
          <w:color w:val="auto"/>
        </w:rPr>
      </w:pPr>
    </w:p>
    <w:p>
      <w:pPr>
        <w:ind w:left="100" w:right="120"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technological know-how to attract new business and remain cost competitive.</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779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779970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ind w:left="100" w:right="160" w:firstLine="648"/>
        <w:spacing w:after="0" w:line="259" w:lineRule="auto"/>
        <w:rPr>
          <w:sz w:val="20"/>
          <w:szCs w:val="20"/>
          <w:color w:val="auto"/>
        </w:rPr>
      </w:pPr>
      <w:r>
        <w:rPr>
          <w:rFonts w:ascii="Arial" w:cs="Arial" w:eastAsia="Arial" w:hAnsi="Arial"/>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87" w:lineRule="exact"/>
        <w:rPr>
          <w:sz w:val="20"/>
          <w:szCs w:val="20"/>
          <w:color w:val="auto"/>
        </w:rPr>
      </w:pPr>
    </w:p>
    <w:p>
      <w:pPr>
        <w:ind w:left="100" w:right="200" w:firstLine="648"/>
        <w:spacing w:after="0" w:line="302" w:lineRule="auto"/>
        <w:rPr>
          <w:sz w:val="20"/>
          <w:szCs w:val="20"/>
          <w:color w:val="auto"/>
        </w:rPr>
      </w:pPr>
      <w:r>
        <w:rPr>
          <w:rFonts w:ascii="Arial" w:cs="Arial" w:eastAsia="Arial" w:hAnsi="Arial"/>
          <w:sz w:val="16"/>
          <w:szCs w:val="16"/>
          <w:color w:val="auto"/>
        </w:rPr>
        <w:t>We offer more than ten years of experience in IT consulting services across key credit card business areas, including credit card applications, account setup, authorization and activation, settlement, collecting, promotion, point system, anti-fraud, statement, reporting and risk management. In the past years, we have successfully helped our China and global clients manage their credit card IT systems such as VisionPLUS, a credit card processing solution. We offer expertise in customizing these credit card tools and platforms to suit a variety of business models.</w:t>
      </w:r>
    </w:p>
    <w:p>
      <w:pPr>
        <w:spacing w:after="0" w:line="154"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Our highly experienced team possesses the requisite expertise in providing these comprehensive credit card services. The IT consulting professional teams provide credit card services from Shanghai, Dalian and Hong Kong. We offer this experience and expertise in various currencies, across different geographical regions, including, but not limited to China, Singapore, UK, Philippine, Indonesia, and Latin America. In addition, we have developed a series of credit card solutions in order to better meet the needs of our clients.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ind w:left="100" w:right="40"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developing,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were recently engaged by a US-based clients to transform its centralized core banking system to a service-oriented architecture and integrate it into a global unified version, which successfully satisfied its business needs in various markets. In addition, we engage the cloud-native solution of core banking system with micro services architecture, which can service both Chinese and global banks meet the ever-changing demands of the market with high flexibility, high scalability, high reliability and multichannel connectivity.</w:t>
      </w:r>
    </w:p>
    <w:p>
      <w:pPr>
        <w:spacing w:after="0" w:line="167" w:lineRule="exact"/>
        <w:rPr>
          <w:sz w:val="20"/>
          <w:szCs w:val="20"/>
          <w:color w:val="auto"/>
        </w:rPr>
      </w:pPr>
    </w:p>
    <w:p>
      <w:pPr>
        <w:ind w:left="100" w:right="60" w:firstLine="648"/>
        <w:spacing w:after="0" w:line="342" w:lineRule="auto"/>
        <w:rPr>
          <w:sz w:val="20"/>
          <w:szCs w:val="20"/>
          <w:color w:val="auto"/>
        </w:rPr>
      </w:pPr>
      <w:r>
        <w:rPr>
          <w:rFonts w:ascii="Arial" w:cs="Arial" w:eastAsia="Arial" w:hAnsi="Arial"/>
          <w:sz w:val="16"/>
          <w:szCs w:val="16"/>
          <w:color w:val="auto"/>
        </w:rPr>
        <w:t>For the years ended June 30, 2017 and 2016, revenues from our IT consulting service were approximately USD$29.1 million and USD$28.0 million, respectively. Revenues from our IT consulting service accounted for 92.9% and 96.5% of our total revenues in fiscal 2017 and 2016, respectively.</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ind w:left="100" w:right="100" w:firstLine="648"/>
        <w:spacing w:after="0" w:line="302" w:lineRule="auto"/>
        <w:rPr>
          <w:sz w:val="20"/>
          <w:szCs w:val="20"/>
          <w:color w:val="auto"/>
        </w:rPr>
      </w:pPr>
      <w:r>
        <w:rPr>
          <w:rFonts w:ascii="Arial" w:cs="Arial" w:eastAsia="Arial" w:hAnsi="Arial"/>
          <w:sz w:val="16"/>
          <w:szCs w:val="16"/>
          <w:color w:val="auto"/>
        </w:rPr>
        <w:t>We are also an IT solution services provider for China and global financial institutions.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 chain.</w:t>
      </w:r>
    </w:p>
    <w:p>
      <w:pPr>
        <w:spacing w:after="0" w:line="154" w:lineRule="exact"/>
        <w:rPr>
          <w:sz w:val="20"/>
          <w:szCs w:val="20"/>
          <w:color w:val="auto"/>
        </w:rPr>
      </w:pPr>
    </w:p>
    <w:p>
      <w:pPr>
        <w:ind w:left="100" w:right="20" w:firstLine="648"/>
        <w:spacing w:after="0" w:line="257" w:lineRule="auto"/>
        <w:rPr>
          <w:sz w:val="20"/>
          <w:szCs w:val="20"/>
          <w:color w:val="auto"/>
        </w:rPr>
      </w:pPr>
      <w:r>
        <w:rPr>
          <w:rFonts w:ascii="Arial" w:cs="Arial" w:eastAsia="Arial" w:hAnsi="Arial"/>
          <w:sz w:val="18"/>
          <w:szCs w:val="18"/>
          <w:color w:val="auto"/>
        </w:rPr>
        <w:t>We offer software project development and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quality and efficiency testing, and (iii) providing onshore and offshore IT solution services to ensure turn-key delivery.</w:t>
      </w:r>
    </w:p>
    <w:p>
      <w:pPr>
        <w:spacing w:after="0" w:line="188" w:lineRule="exact"/>
        <w:rPr>
          <w:sz w:val="20"/>
          <w:szCs w:val="20"/>
          <w:color w:val="auto"/>
        </w:rPr>
      </w:pPr>
    </w:p>
    <w:p>
      <w:pPr>
        <w:ind w:left="100" w:right="60" w:firstLine="648"/>
        <w:spacing w:after="0" w:line="257" w:lineRule="auto"/>
        <w:rPr>
          <w:sz w:val="20"/>
          <w:szCs w:val="20"/>
          <w:color w:val="auto"/>
        </w:rPr>
      </w:pPr>
      <w:r>
        <w:rPr>
          <w:rFonts w:ascii="Arial" w:cs="Arial" w:eastAsia="Arial" w:hAnsi="Arial"/>
          <w:sz w:val="18"/>
          <w:szCs w:val="18"/>
          <w:color w:val="auto"/>
        </w:rPr>
        <w:t>We have been working with multiple Chinese domestic banks to assist them to leverage block chain technology. We have developed a loyalty reward solution built on block chain technology, which allows domestic banks to track and trace transactions in real-time. Through the use of this technology, the banks offer their consumers the ability to combine loyalty points from various promotions and redeem them in spending. We will continue to develop new IT solutions to meet the evolving needs of our Chinese and global financial institutional clientele, drawing upon the forward-looking research of our R&amp;D center.</w:t>
      </w: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9257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140" cy="92576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00" w:right="100" w:firstLine="648"/>
        <w:spacing w:after="0" w:line="264" w:lineRule="auto"/>
        <w:rPr>
          <w:sz w:val="20"/>
          <w:szCs w:val="20"/>
          <w:color w:val="auto"/>
        </w:rPr>
      </w:pPr>
      <w:r>
        <w:rPr>
          <w:rFonts w:ascii="Arial" w:cs="Arial" w:eastAsia="Arial" w:hAnsi="Arial"/>
          <w:sz w:val="18"/>
          <w:szCs w:val="18"/>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left="100" w:right="40" w:firstLine="648"/>
        <w:spacing w:after="0" w:line="297" w:lineRule="auto"/>
        <w:rPr>
          <w:sz w:val="20"/>
          <w:szCs w:val="20"/>
          <w:color w:val="auto"/>
        </w:rPr>
      </w:pPr>
      <w:r>
        <w:rPr>
          <w:rFonts w:ascii="Arial" w:cs="Arial" w:eastAsia="Arial" w:hAnsi="Arial"/>
          <w:sz w:val="16"/>
          <w:szCs w:val="16"/>
          <w:i w:val="1"/>
          <w:iCs w:val="1"/>
          <w:color w:val="auto"/>
        </w:rPr>
        <w:t xml:space="preserve">CLPS Virtual Banking Platform (CLB) – </w:t>
      </w:r>
      <w:r>
        <w:rPr>
          <w:rFonts w:ascii="Arial" w:cs="Arial" w:eastAsia="Arial" w:hAnsi="Arial"/>
          <w:sz w:val="16"/>
          <w:szCs w:val="16"/>
          <w:color w:val="auto"/>
        </w:rPr>
        <w:t>CLB is a unique and successful talent training IT platform owned by CLPS. For the past ten years,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focusing on recruiting, training, developing and retaining human capital and talent.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and incorporating the cutting-edge technologies, such as JAVA, Android &amp; iOS, HTML, block chain, cloud computing and big data.</w:t>
      </w:r>
    </w:p>
    <w:p>
      <w:pPr>
        <w:spacing w:after="0" w:line="158" w:lineRule="exact"/>
        <w:rPr>
          <w:sz w:val="20"/>
          <w:szCs w:val="20"/>
          <w:color w:val="auto"/>
        </w:rPr>
      </w:pPr>
    </w:p>
    <w:p>
      <w:pPr>
        <w:ind w:left="100" w:right="200" w:firstLine="648"/>
        <w:spacing w:after="0" w:line="308" w:lineRule="auto"/>
        <w:rPr>
          <w:sz w:val="20"/>
          <w:szCs w:val="20"/>
          <w:color w:val="auto"/>
        </w:rPr>
      </w:pPr>
      <w:r>
        <w:rPr>
          <w:rFonts w:ascii="Arial" w:cs="Arial" w:eastAsia="Arial" w:hAnsi="Arial"/>
          <w:sz w:val="17"/>
          <w:szCs w:val="17"/>
          <w:color w:val="auto"/>
        </w:rPr>
        <w:t>In fiscal years 2017 and 2016, revenue from other services was approximately USD$0.4 million and USD$0.08 million, respectively. Revenues from other services accounted for 1.2% and 0.3% of our total revenues in fiscal years 2017 and 2016, respectively.</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00" w:right="460" w:firstLine="648"/>
        <w:spacing w:after="0" w:line="277" w:lineRule="auto"/>
        <w:rPr>
          <w:sz w:val="20"/>
          <w:szCs w:val="20"/>
          <w:color w:val="auto"/>
        </w:rPr>
      </w:pPr>
      <w:r>
        <w:rPr>
          <w:rFonts w:ascii="Arial" w:cs="Arial" w:eastAsia="Arial" w:hAnsi="Arial"/>
          <w:sz w:val="18"/>
          <w:szCs w:val="18"/>
          <w:color w:val="auto"/>
        </w:rPr>
        <w:t>R&amp;D is an integral part of our continued growth. In order to better service our Chinese and global clients’ needs, we focus on exploring and researching new and advanced technologies and how to best integrate them into our existing and new solutions.</w:t>
      </w:r>
    </w:p>
    <w:p>
      <w:pPr>
        <w:spacing w:after="0" w:line="170"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offerings by improving existing solutions and inventing new solutions, which drive new revenue opportunities and improve our core competency.</w:t>
      </w:r>
    </w:p>
    <w:p>
      <w:pPr>
        <w:spacing w:after="0" w:line="182" w:lineRule="exact"/>
        <w:rPr>
          <w:sz w:val="20"/>
          <w:szCs w:val="20"/>
          <w:color w:val="auto"/>
        </w:rPr>
      </w:pPr>
    </w:p>
    <w:p>
      <w:pPr>
        <w:ind w:left="100" w:right="380" w:firstLine="648"/>
        <w:spacing w:after="0" w:line="277" w:lineRule="auto"/>
        <w:rPr>
          <w:sz w:val="20"/>
          <w:szCs w:val="20"/>
          <w:color w:val="auto"/>
        </w:rPr>
      </w:pPr>
      <w:r>
        <w:rPr>
          <w:rFonts w:ascii="Arial" w:cs="Arial" w:eastAsia="Arial" w:hAnsi="Arial"/>
          <w:sz w:val="18"/>
          <w:szCs w:val="18"/>
          <w:color w:val="auto"/>
        </w:rPr>
        <w:t>During years fiscal 2017 and 2016, our R&amp;D expense were approximately USD$4.2 million and USD$5.6 million, respectively, representing 13.5% and 19.2% of our total revenues for fiscal years 2017 and 2016, respectively.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ind w:left="100" w:firstLine="648"/>
        <w:spacing w:after="0" w:line="277" w:lineRule="auto"/>
        <w:rPr>
          <w:sz w:val="20"/>
          <w:szCs w:val="20"/>
          <w:color w:val="auto"/>
        </w:rPr>
      </w:pPr>
      <w:r>
        <w:rPr>
          <w:rFonts w:ascii="Arial" w:cs="Arial" w:eastAsia="Arial" w:hAnsi="Arial"/>
          <w:sz w:val="18"/>
          <w:szCs w:val="18"/>
          <w:color w:val="auto"/>
        </w:rPr>
        <w:t>Businesses, both domestically in China and globally, are outsourcing a growing portion of their IT services and business processes to China-based IT providers.</w:t>
      </w:r>
    </w:p>
    <w:p>
      <w:pPr>
        <w:spacing w:after="0" w:line="170" w:lineRule="exact"/>
        <w:rPr>
          <w:sz w:val="20"/>
          <w:szCs w:val="20"/>
          <w:color w:val="auto"/>
        </w:rPr>
      </w:pPr>
    </w:p>
    <w:p>
      <w:pPr>
        <w:jc w:val="both"/>
        <w:ind w:left="100" w:right="420" w:firstLine="648"/>
        <w:spacing w:after="0" w:line="264" w:lineRule="auto"/>
        <w:rPr>
          <w:sz w:val="20"/>
          <w:szCs w:val="20"/>
          <w:color w:val="auto"/>
        </w:rPr>
      </w:pPr>
      <w:r>
        <w:rPr>
          <w:rFonts w:ascii="Arial" w:cs="Arial" w:eastAsia="Arial" w:hAnsi="Arial"/>
          <w:sz w:val="18"/>
          <w:szCs w:val="18"/>
          <w:color w:val="auto"/>
        </w:rPr>
        <w:t>According to PRC’s Ministry of Industry and Information Technology (MIIT) data, the software industry revenues reached RMB 4.9 trillion (USD$723 billion) in 2016. IT service market has developed and grown rapidly in recent years with the revenue reached RMB 2.5 trillion (USD$369 billion) in 2016, accounting for 51.8% of the whole software industry.</w:t>
      </w:r>
    </w:p>
    <w:p>
      <w:pPr>
        <w:sectPr>
          <w:pgSz w:w="11900" w:h="16838" w:orient="portrait"/>
          <w:cols w:equalWidth="0" w:num="1">
            <w:col w:w="11280"/>
          </w:cols>
          <w:pgMar w:left="240" w:top="226" w:right="379" w:bottom="5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591"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958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140" cy="69589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Financial institutions/banking IT services market is composed of software and services, which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Data source: Wind Terminal</w:t>
      </w:r>
    </w:p>
    <w:p>
      <w:pPr>
        <w:spacing w:after="0" w:line="225"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comprised the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178" w:lineRule="exact"/>
        <w:rPr>
          <w:sz w:val="20"/>
          <w:szCs w:val="20"/>
          <w:color w:val="auto"/>
        </w:rPr>
      </w:pPr>
    </w:p>
    <w:p>
      <w:pPr>
        <w:ind w:left="100" w:right="20" w:firstLine="648"/>
        <w:spacing w:after="0" w:line="273" w:lineRule="auto"/>
        <w:rPr>
          <w:sz w:val="20"/>
          <w:szCs w:val="20"/>
          <w:color w:val="auto"/>
        </w:rPr>
      </w:pPr>
      <w:r>
        <w:rPr>
          <w:rFonts w:ascii="Arial" w:cs="Arial" w:eastAsia="Arial" w:hAnsi="Arial"/>
          <w:sz w:val="17"/>
          <w:szCs w:val="17"/>
          <w:color w:val="auto"/>
        </w:rPr>
        <w:t>There are several factors driving the overall growth of China’s IT services industry, including the rapid growth of China’s economy and domestic demand for IT services, the strategic importance of China as a target market for global clients, strong offshore outsourcing demand, availability of low-cost qualified IT professionals with global and regional language skills, well-developed infrastructure in China and strong government support and spending. We believe that the market development trends include a growing emphasis on big data services, innovation in channel solutions, risk management and prevention, more customer-oriented services, and globalization of the financial services industry. We believe we are well positioned to capture the significant market opportunities in the IT services industry both in China and globally.</w:t>
      </w: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226" w:right="4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153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61531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ind w:left="100" w:firstLine="651"/>
        <w:spacing w:after="0" w:line="273" w:lineRule="auto"/>
        <w:tabs>
          <w:tab w:leader="none" w:pos="108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Grow revenue with existing and new clients </w:t>
      </w:r>
      <w:r>
        <w:rPr>
          <w:rFonts w:ascii="Arial" w:cs="Arial" w:eastAsia="Arial" w:hAnsi="Arial"/>
          <w:sz w:val="17"/>
          <w:szCs w:val="17"/>
          <w:color w:val="auto"/>
        </w:rPr>
        <w:t>- We intend to pursue additional revenue opportunities from existing Chinese and global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Chinese and global markets to benefit both groups of clients.</w:t>
      </w:r>
    </w:p>
    <w:p>
      <w:pPr>
        <w:spacing w:after="0" w:line="178" w:lineRule="exact"/>
        <w:rPr>
          <w:rFonts w:ascii="Arial" w:cs="Arial" w:eastAsia="Arial" w:hAnsi="Arial"/>
          <w:sz w:val="17"/>
          <w:szCs w:val="17"/>
          <w:color w:val="auto"/>
        </w:rPr>
      </w:pPr>
    </w:p>
    <w:p>
      <w:pPr>
        <w:ind w:left="100" w:right="60" w:firstLine="651"/>
        <w:spacing w:after="0" w:line="276" w:lineRule="auto"/>
        <w:tabs>
          <w:tab w:leader="none" w:pos="108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72" w:lineRule="exact"/>
        <w:rPr>
          <w:rFonts w:ascii="Arial" w:cs="Arial" w:eastAsia="Arial" w:hAnsi="Arial"/>
          <w:sz w:val="17"/>
          <w:szCs w:val="17"/>
          <w:color w:val="auto"/>
        </w:rPr>
      </w:pPr>
    </w:p>
    <w:p>
      <w:pPr>
        <w:ind w:left="100" w:firstLine="651"/>
        <w:spacing w:after="0" w:line="269" w:lineRule="auto"/>
        <w:tabs>
          <w:tab w:leader="none" w:pos="108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results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82" w:lineRule="exact"/>
        <w:rPr>
          <w:rFonts w:ascii="Arial" w:cs="Arial" w:eastAsia="Arial" w:hAnsi="Arial"/>
          <w:sz w:val="17"/>
          <w:szCs w:val="17"/>
          <w:color w:val="auto"/>
        </w:rPr>
      </w:pPr>
    </w:p>
    <w:p>
      <w:pPr>
        <w:ind w:left="100" w:right="60" w:firstLine="651"/>
        <w:spacing w:after="0" w:line="255" w:lineRule="auto"/>
        <w:tabs>
          <w:tab w:leader="none" w:pos="108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Drive efficiencies through ongoing improvements in operational excellence </w:t>
      </w:r>
      <w:r>
        <w:rPr>
          <w:rFonts w:ascii="Arial" w:cs="Arial" w:eastAsia="Arial" w:hAnsi="Arial"/>
          <w:sz w:val="18"/>
          <w:szCs w:val="18"/>
          <w:color w:val="auto"/>
        </w:rPr>
        <w:t>- We strive to gain significant operating efficiencies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89" w:lineRule="exact"/>
        <w:rPr>
          <w:rFonts w:ascii="Arial" w:cs="Arial" w:eastAsia="Arial" w:hAnsi="Arial"/>
          <w:sz w:val="18"/>
          <w:szCs w:val="18"/>
          <w:color w:val="auto"/>
        </w:rPr>
      </w:pPr>
    </w:p>
    <w:p>
      <w:pPr>
        <w:ind w:left="100" w:right="20" w:firstLine="651"/>
        <w:spacing w:after="0" w:line="257" w:lineRule="auto"/>
        <w:tabs>
          <w:tab w:leader="none" w:pos="108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8811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140" cy="88112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100" w:right="480" w:firstLine="648"/>
        <w:spacing w:after="0" w:line="277"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believe that there are several key strengths that differentiate us from our competitors and will continue to contribute to our growth and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success.</w:t>
      </w:r>
    </w:p>
    <w:p>
      <w:pPr>
        <w:spacing w:after="0" w:line="211" w:lineRule="exact"/>
        <w:rPr>
          <w:sz w:val="20"/>
          <w:szCs w:val="20"/>
          <w:color w:val="auto"/>
        </w:rPr>
      </w:pPr>
    </w:p>
    <w:p>
      <w:pPr>
        <w:ind w:left="100" w:firstLine="648"/>
        <w:spacing w:after="0" w:line="286" w:lineRule="auto"/>
        <w:rPr>
          <w:sz w:val="20"/>
          <w:szCs w:val="20"/>
          <w:color w:val="auto"/>
        </w:rPr>
      </w:pPr>
      <w:r>
        <w:rPr>
          <w:rFonts w:ascii="Arial" w:cs="Arial" w:eastAsia="Arial" w:hAnsi="Arial"/>
          <w:sz w:val="16"/>
          <w:szCs w:val="16"/>
          <w:color w:val="auto"/>
        </w:rPr>
        <w:t>We have established employee loyalty through the core engine of TCP and TDP programs, integral parts of our supply chain which supports our service lines. Since 2008, our talent training services have offered training courses in five areas, including domain knowledge, technology skills, data security and management compliance training, soft skills for personnel; and all levels of English language skills including verbal and writing, especially for those who need to communicate with global customers directly on daily basis. We believe the depth and comprehensive nature of our talent training services is one of the key features that distinguishes us from our competition. For the past more than ten years, the Company has been recruiting, training, developing and retaining human capital and talent.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wealth management and incorporating the cutting-edge technologies, such as JAVA, Android &amp; iOS, HTML and big data. Under the program, each year we select more than 200 students to participate in our training program. During their Junior or Senior year of university, the students in this program learn to implement the concepts covered by our TCP platform along with their other computer science theory and coursework. Later, the students join us as interns and continue improving their software development skills eventually becoming members of our development teams. As a result, the program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the banking industry.</w:t>
      </w:r>
    </w:p>
    <w:p>
      <w:pPr>
        <w:spacing w:after="0" w:line="172" w:lineRule="exact"/>
        <w:rPr>
          <w:sz w:val="20"/>
          <w:szCs w:val="20"/>
          <w:color w:val="auto"/>
        </w:rPr>
      </w:pPr>
    </w:p>
    <w:p>
      <w:pPr>
        <w:ind w:left="100" w:right="60" w:firstLine="648"/>
        <w:spacing w:after="0" w:line="279" w:lineRule="auto"/>
        <w:rPr>
          <w:sz w:val="20"/>
          <w:szCs w:val="20"/>
          <w:color w:val="auto"/>
        </w:rPr>
      </w:pPr>
      <w:r>
        <w:rPr>
          <w:rFonts w:ascii="Arial" w:cs="Arial" w:eastAsia="Arial" w:hAnsi="Arial"/>
          <w:sz w:val="17"/>
          <w:szCs w:val="17"/>
          <w:color w:val="auto"/>
        </w:rPr>
        <w:t>Our TDP program is a continuous internal training course for skilled-professionals in our company in order to better service our clients. The TDP program increases our professionals’ skillsets and business knowledge in their respective domain and technical fields. We have joined our efforts with Fudan University to support senior staff in completing their master’s degrees in their respective fields. Since 2005, through our TCP and TDP programs, we have trained and retained a large pool of specialized personnel skilled in serving financial-related industry clients.</w:t>
      </w:r>
    </w:p>
    <w:p>
      <w:pPr>
        <w:spacing w:after="0" w:line="171" w:lineRule="exact"/>
        <w:rPr>
          <w:sz w:val="20"/>
          <w:szCs w:val="20"/>
          <w:color w:val="auto"/>
        </w:rPr>
      </w:pPr>
    </w:p>
    <w:p>
      <w:pPr>
        <w:ind w:left="100" w:right="480" w:firstLine="648"/>
        <w:spacing w:after="0" w:line="312" w:lineRule="auto"/>
        <w:rPr>
          <w:sz w:val="20"/>
          <w:szCs w:val="20"/>
          <w:color w:val="auto"/>
        </w:rPr>
      </w:pPr>
      <w:r>
        <w:rPr>
          <w:rFonts w:ascii="Arial" w:cs="Arial" w:eastAsia="Arial" w:hAnsi="Arial"/>
          <w:sz w:val="16"/>
          <w:szCs w:val="16"/>
          <w:color w:val="auto"/>
        </w:rPr>
        <w:t>Benefiting from our employee loyally programs, we have established an eco-system of loyal client relationships. Employee satisfaction and enhanced career development has resulted in better service to our clients. Client satisfaction in turn motivates our employees to continue to provide superior service to our clients. In addition to employee and client satisfaction, our Company’s strengths include the following:</w:t>
      </w:r>
    </w:p>
    <w:p>
      <w:pPr>
        <w:spacing w:after="0" w:line="147" w:lineRule="exact"/>
        <w:rPr>
          <w:sz w:val="20"/>
          <w:szCs w:val="20"/>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 sector specialization, particularly, in the banking and insurance industry;</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which have been with us since our inception;</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5" w:lineRule="exact"/>
        <w:rPr>
          <w:sz w:val="20"/>
          <w:szCs w:val="20"/>
          <w:color w:val="auto"/>
        </w:rPr>
      </w:pPr>
    </w:p>
    <w:p>
      <w:pPr>
        <w:ind w:left="100" w:right="20" w:firstLine="648"/>
        <w:spacing w:after="0" w:line="342" w:lineRule="auto"/>
        <w:rPr>
          <w:sz w:val="20"/>
          <w:szCs w:val="20"/>
          <w:color w:val="auto"/>
        </w:rPr>
      </w:pPr>
      <w:r>
        <w:rPr>
          <w:rFonts w:ascii="Arial" w:cs="Arial" w:eastAsia="Arial" w:hAnsi="Arial"/>
          <w:sz w:val="16"/>
          <w:szCs w:val="16"/>
          <w:color w:val="auto"/>
        </w:rPr>
        <w:t>Our prospects should be considered in light of the risks, uncertainties, expenses and difficulties frequently encountered by similar companies. Our ability to realize our business objectives and execute our strategies is subject to risks and uncertainties, including, among others, the following:</w:t>
      </w:r>
    </w:p>
    <w:p>
      <w:pPr>
        <w:spacing w:after="0" w:line="124" w:lineRule="exact"/>
        <w:rPr>
          <w:sz w:val="20"/>
          <w:szCs w:val="20"/>
          <w:color w:val="auto"/>
        </w:rPr>
      </w:pPr>
    </w:p>
    <w:p>
      <w:pPr>
        <w:ind w:left="760" w:hanging="333"/>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inability to effectively manage our rapid growth, which could place significant strain on our management personnel, systems and resources</w:t>
      </w:r>
    </w:p>
    <w:p>
      <w:pPr>
        <w:spacing w:after="0" w:line="126" w:lineRule="exact"/>
        <w:rPr>
          <w:rFonts w:ascii="Arial" w:cs="Arial" w:eastAsia="Arial" w:hAnsi="Arial"/>
          <w:sz w:val="16"/>
          <w:szCs w:val="16"/>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changes in the economic environment either in China or globally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intense competition from onshore and offshore IT services companies</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intense competition for highly skilled personnel</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a relatively small number of major clients</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anticipate and develop new services and enhance existing services to keep pace with rapid changes in technology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integrate or manage acquired companies efficiently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new clients for our services and/or growing revenues from existing clients</w:t>
      </w:r>
    </w:p>
    <w:p>
      <w:pPr>
        <w:spacing w:after="0" w:line="103" w:lineRule="exact"/>
        <w:rPr>
          <w:rFonts w:ascii="Arial" w:cs="Arial" w:eastAsia="Arial" w:hAnsi="Arial"/>
          <w:sz w:val="18"/>
          <w:szCs w:val="18"/>
          <w:color w:val="auto"/>
        </w:rPr>
      </w:pPr>
    </w:p>
    <w:p>
      <w:pPr>
        <w:ind w:left="760" w:right="240" w:hanging="333"/>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having a long selling and implementation cycle for our services that require us to make significant resource commitments prior to realizing revenues for those services</w:t>
      </w:r>
    </w:p>
    <w:p>
      <w:pPr>
        <w:spacing w:after="0" w:line="48"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wages for professionals in China</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international nature of our business</w:t>
      </w:r>
    </w:p>
    <w:p>
      <w:pPr>
        <w:sectPr>
          <w:pgSz w:w="11900" w:h="16838" w:orient="portrait"/>
          <w:cols w:equalWidth="0" w:num="1">
            <w:col w:w="11280"/>
          </w:cols>
          <w:pgMar w:left="240" w:top="226" w:right="37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845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140" cy="8451215"/>
                    </a:xfrm>
                    <a:prstGeom prst="rect">
                      <a:avLst/>
                    </a:prstGeom>
                    <a:noFill/>
                  </pic:spPr>
                </pic:pic>
              </a:graphicData>
            </a:graphic>
          </wp:anchor>
        </w:drawing>
      </w:r>
    </w:p>
    <w:p>
      <w:pPr>
        <w:spacing w:after="0" w:line="288" w:lineRule="exact"/>
        <w:rPr>
          <w:sz w:val="20"/>
          <w:szCs w:val="20"/>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unauthorized disclosure of sensitive and confidential information</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intellectual property infringement claims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resulting from business interruptions resulting from occurrence of natural disasters, health epidemics and other outbreaks or events</w:t>
      </w:r>
    </w:p>
    <w:p>
      <w:pPr>
        <w:spacing w:after="0" w:line="236" w:lineRule="exact"/>
        <w:rPr>
          <w:rFonts w:ascii="Arial" w:cs="Arial" w:eastAsia="Arial" w:hAnsi="Arial"/>
          <w:sz w:val="17"/>
          <w:szCs w:val="17"/>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the value of the Renminbi and other currencies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telecommunications or significant failure in our IT systems that could harm our service model</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vulnerabilities to security risks that could disrupt our services and adversely affect our results of operations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addition, we face other risks and uncertainties that may materially affect our business prospect, financial condition, and results of operations.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You should consider the risks discussed in “Risk Factors” and elsewhere in this prospectus before investing in our common shares.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 xml:space="preserve">Our principal executive office is located on the 2nd Floor, Building 18, Shanghai Pudong Software Park, 498 Guoshoujing Road, Pudong, Shanghai 201203, PRC. Our telephone number is (+86)21-31268010. Our websites is as follows www.clpsglobal.com. </w:t>
      </w:r>
      <w:r>
        <w:rPr>
          <w:rFonts w:ascii="Arial" w:cs="Arial" w:eastAsia="Arial" w:hAnsi="Arial"/>
          <w:sz w:val="18"/>
          <w:szCs w:val="18"/>
          <w:b w:val="1"/>
          <w:bCs w:val="1"/>
          <w:color w:val="auto"/>
        </w:rPr>
        <w:t>The information on our websites</w:t>
      </w:r>
      <w:r>
        <w:rPr>
          <w:rFonts w:ascii="Arial" w:cs="Arial" w:eastAsia="Arial" w:hAnsi="Arial"/>
          <w:sz w:val="18"/>
          <w:szCs w:val="18"/>
          <w:color w:val="auto"/>
        </w:rPr>
        <w:t xml:space="preserve"> </w:t>
      </w:r>
      <w:r>
        <w:rPr>
          <w:rFonts w:ascii="Arial" w:cs="Arial" w:eastAsia="Arial" w:hAnsi="Arial"/>
          <w:sz w:val="18"/>
          <w:szCs w:val="18"/>
          <w:b w:val="1"/>
          <w:bCs w:val="1"/>
          <w:color w:val="auto"/>
        </w:rPr>
        <w:t>is not part of this prospectus.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ind w:left="100" w:right="80" w:firstLine="648"/>
        <w:spacing w:after="0" w:line="277" w:lineRule="auto"/>
        <w:rPr>
          <w:sz w:val="20"/>
          <w:szCs w:val="20"/>
          <w:color w:val="auto"/>
        </w:rPr>
      </w:pPr>
      <w:r>
        <w:rPr>
          <w:rFonts w:ascii="Arial" w:cs="Arial" w:eastAsia="Arial" w:hAnsi="Arial"/>
          <w:sz w:val="18"/>
          <w:szCs w:val="18"/>
          <w:color w:val="auto"/>
        </w:rPr>
        <w:t>The following diagram illustrates our corporate structure as of the date of this prospectus. For more detail on our corporate history please refer to “Corporate History and Background” appearing on p. 53 of this prospectus.</w:t>
      </w:r>
    </w:p>
    <w:p>
      <w:pPr>
        <w:sectPr>
          <w:pgSz w:w="11900" w:h="16838" w:orient="portrait"/>
          <w:cols w:equalWidth="0" w:num="1">
            <w:col w:w="11280"/>
          </w:cols>
          <w:pgMar w:left="240" w:top="2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70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140" cy="67017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00" w:right="140" w:firstLine="648"/>
        <w:spacing w:after="0" w:line="264"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181" w:lineRule="exact"/>
        <w:rPr>
          <w:sz w:val="20"/>
          <w:szCs w:val="20"/>
          <w:color w:val="auto"/>
        </w:rPr>
      </w:pPr>
    </w:p>
    <w:p>
      <w:pPr>
        <w:ind w:left="760" w:hanging="333"/>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our SEC filings;</w:t>
      </w:r>
    </w:p>
    <w:p>
      <w:pPr>
        <w:spacing w:after="0" w:line="170" w:lineRule="exact"/>
        <w:rPr>
          <w:rFonts w:ascii="Arial" w:cs="Arial" w:eastAsia="Arial" w:hAnsi="Arial"/>
          <w:sz w:val="18"/>
          <w:szCs w:val="18"/>
          <w:color w:val="auto"/>
        </w:rPr>
      </w:pPr>
    </w:p>
    <w:p>
      <w:pPr>
        <w:ind w:left="760" w:hanging="33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periodic reports, proxy statements and registration statements; and</w:t>
      </w:r>
    </w:p>
    <w:p>
      <w:pPr>
        <w:spacing w:after="0" w:line="236" w:lineRule="exact"/>
        <w:rPr>
          <w:rFonts w:ascii="Arial" w:cs="Arial" w:eastAsia="Arial" w:hAnsi="Arial"/>
          <w:sz w:val="17"/>
          <w:szCs w:val="17"/>
          <w:color w:val="auto"/>
        </w:rPr>
      </w:pPr>
    </w:p>
    <w:p>
      <w:pPr>
        <w:ind w:left="760" w:right="320" w:hanging="333"/>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100" w:right="220" w:firstLine="648"/>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However, if certain events occur before the end of such five-year period, including if we become a “large accelerated filer,” our annual gross revenues exceed $1.07 billion or we issue more than $1.00 billion of non-convertible debt in any three-year period, we will cease to be an emerging growth company before the end of such five-year period.</w:t>
      </w:r>
    </w:p>
    <w:p>
      <w:pPr>
        <w:spacing w:after="0" w:line="188" w:lineRule="exact"/>
        <w:rPr>
          <w:sz w:val="20"/>
          <w:szCs w:val="20"/>
          <w:color w:val="auto"/>
        </w:rPr>
      </w:pPr>
    </w:p>
    <w:p>
      <w:pPr>
        <w:ind w:left="100" w:right="100" w:firstLine="648"/>
        <w:spacing w:after="0" w:line="259"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Foreign Private Issuer Status</w:t>
      </w:r>
    </w:p>
    <w:p>
      <w:pPr>
        <w:spacing w:after="0" w:line="229" w:lineRule="exact"/>
        <w:rPr>
          <w:sz w:val="20"/>
          <w:szCs w:val="20"/>
          <w:color w:val="auto"/>
        </w:rPr>
      </w:pPr>
    </w:p>
    <w:p>
      <w:pPr>
        <w:ind w:left="100" w:right="60" w:firstLine="648"/>
        <w:spacing w:after="0" w:line="272" w:lineRule="auto"/>
        <w:rPr>
          <w:sz w:val="20"/>
          <w:szCs w:val="20"/>
          <w:color w:val="auto"/>
        </w:rPr>
      </w:pPr>
      <w:r>
        <w:rPr>
          <w:rFonts w:ascii="Arial" w:cs="Arial" w:eastAsia="Arial" w:hAnsi="Arial"/>
          <w:sz w:val="17"/>
          <w:szCs w:val="17"/>
          <w:color w:val="auto"/>
        </w:rPr>
        <w:t>We are incorporated in the Cayman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Notes on Prospectus Presentation</w:t>
      </w:r>
    </w:p>
    <w:p>
      <w:pPr>
        <w:spacing w:after="0" w:line="229" w:lineRule="exact"/>
        <w:rPr>
          <w:sz w:val="20"/>
          <w:szCs w:val="20"/>
          <w:color w:val="auto"/>
        </w:rPr>
      </w:pPr>
    </w:p>
    <w:p>
      <w:pPr>
        <w:ind w:left="100" w:right="40" w:firstLine="648"/>
        <w:spacing w:after="0" w:line="255"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 Certain market data and other statistical information contained in this prospectus is based on information from independent industry organizations, publications, surveys and forecasts. Some market data and statistical information contained in this prospectus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9171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140" cy="91719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00" w:right="360" w:firstLine="648"/>
        <w:spacing w:after="0" w:line="277" w:lineRule="auto"/>
        <w:rPr>
          <w:sz w:val="20"/>
          <w:szCs w:val="20"/>
          <w:color w:val="auto"/>
        </w:rPr>
      </w:pPr>
      <w:r>
        <w:rPr>
          <w:rFonts w:ascii="Arial" w:cs="Arial" w:eastAsia="Arial" w:hAnsi="Arial"/>
          <w:sz w:val="18"/>
          <w:szCs w:val="18"/>
          <w:color w:val="auto"/>
        </w:rPr>
        <w:t>For the sake of clarity, this prospectus follows the English naming convention of first name followed by last name, regardless of whether an individual’s name is Chinese or English.</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225" w:lineRule="exact"/>
        <w:rPr>
          <w:sz w:val="20"/>
          <w:szCs w:val="20"/>
          <w:color w:val="auto"/>
        </w:rPr>
      </w:pPr>
    </w:p>
    <w:p>
      <w:pPr>
        <w:ind w:left="760" w:right="320" w:hanging="33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0"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Shanghai” refers to ChinaLink Professional Services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“Judge China” refers to Judge (Shanghai)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“Judge HR” refers to Judge (Shanghai) Human Resource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AU” refers to CLPS Technology (Australia) Pty. Ltd., an Australian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Hong Kong” refers to CLPS Technology (HK) Co., Ltd.,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25" w:lineRule="exact"/>
        <w:rPr>
          <w:rFonts w:ascii="Arial" w:cs="Arial" w:eastAsia="Arial" w:hAnsi="Arial"/>
          <w:sz w:val="18"/>
          <w:szCs w:val="18"/>
          <w:color w:val="auto"/>
        </w:rPr>
      </w:pPr>
    </w:p>
    <w:p>
      <w:pPr>
        <w:ind w:left="1080" w:right="140" w:hanging="329"/>
        <w:spacing w:after="0" w:line="182" w:lineRule="auto"/>
        <w:tabs>
          <w:tab w:leader="none" w:pos="1080" w:val="left"/>
        </w:tabs>
        <w:numPr>
          <w:ilvl w:val="1"/>
          <w:numId w:val="9"/>
        </w:numPr>
        <w:rPr>
          <w:rFonts w:ascii="Arial" w:cs="Arial" w:eastAsia="Arial" w:hAnsi="Arial"/>
          <w:sz w:val="34"/>
          <w:szCs w:val="34"/>
          <w:color w:val="auto"/>
          <w:vertAlign w:val="subscript"/>
        </w:rPr>
      </w:pPr>
      <w:r>
        <w:rPr>
          <w:rFonts w:ascii="Arial" w:cs="Arial" w:eastAsia="Arial" w:hAnsi="Arial"/>
          <w:sz w:val="17"/>
          <w:szCs w:val="17"/>
          <w:color w:val="auto"/>
        </w:rPr>
        <w:t>“China” and “PRC” refer to the People’s Republic of China, excluding, for the purposes of this prospectus only, Macau, Taiwan and Hong Kong; and</w:t>
      </w:r>
    </w:p>
    <w:p>
      <w:pPr>
        <w:spacing w:after="0" w:line="203" w:lineRule="exact"/>
        <w:rPr>
          <w:rFonts w:ascii="Arial" w:cs="Arial" w:eastAsia="Arial" w:hAnsi="Arial"/>
          <w:sz w:val="34"/>
          <w:szCs w:val="34"/>
          <w:color w:val="auto"/>
          <w:vertAlign w:val="subscript"/>
        </w:rPr>
      </w:pPr>
    </w:p>
    <w:p>
      <w:pPr>
        <w:ind w:left="1080" w:right="100" w:hanging="329"/>
        <w:spacing w:after="0" w:line="182" w:lineRule="auto"/>
        <w:tabs>
          <w:tab w:leader="none" w:pos="1080" w:val="left"/>
        </w:tabs>
        <w:numPr>
          <w:ilvl w:val="1"/>
          <w:numId w:val="9"/>
        </w:numPr>
        <w:rPr>
          <w:rFonts w:ascii="Arial" w:cs="Arial" w:eastAsia="Arial" w:hAnsi="Arial"/>
          <w:sz w:val="34"/>
          <w:szCs w:val="34"/>
          <w:color w:val="auto"/>
          <w:vertAlign w:val="subscript"/>
        </w:rPr>
      </w:pPr>
      <w:r>
        <w:rPr>
          <w:rFonts w:ascii="Arial" w:cs="Arial" w:eastAsia="Arial" w:hAnsi="Arial"/>
          <w:sz w:val="17"/>
          <w:szCs w:val="17"/>
          <w:color w:val="auto"/>
        </w:rPr>
        <w:t>all references to “RMB,” “yuan” and “Renminbi” are to the legal currency of China, and all references to “USD,” and “U.S. dollars” are to the legal currency of the United States.</w:t>
      </w:r>
    </w:p>
    <w:p>
      <w:pPr>
        <w:spacing w:after="0" w:line="204" w:lineRule="exact"/>
        <w:rPr>
          <w:sz w:val="20"/>
          <w:szCs w:val="20"/>
          <w:color w:val="auto"/>
        </w:rPr>
      </w:pPr>
    </w:p>
    <w:p>
      <w:pPr>
        <w:ind w:left="100" w:right="200" w:firstLine="648"/>
        <w:spacing w:after="0" w:line="277" w:lineRule="auto"/>
        <w:rPr>
          <w:sz w:val="20"/>
          <w:szCs w:val="20"/>
          <w:color w:val="auto"/>
        </w:rPr>
      </w:pPr>
      <w:r>
        <w:rPr>
          <w:rFonts w:ascii="Arial" w:cs="Arial" w:eastAsia="Arial" w:hAnsi="Arial"/>
          <w:sz w:val="18"/>
          <w:szCs w:val="18"/>
          <w:color w:val="auto"/>
        </w:rPr>
        <w:t>Unless otherwise noted, all currency figures in this filing are in U.S. dollars. Any discrepancies in any table between the amounts identified as total amounts and the sum of the amounts listed therein are due to rounding.</w:t>
      </w:r>
    </w:p>
    <w:p>
      <w:pPr>
        <w:spacing w:after="0" w:line="170"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color w:val="auto"/>
        </w:rPr>
        <w:t>Our reporting currency is U.S. dollar and our functional currency is Renminbi. This prospectus contains translations of certain foreign currency amounts into U.S. dollars for the convenience of the reader. Other than in accordance with relevant accounting rules and as otherwise stated, all translations of Renminbi into U.S. dollars in this prospectus were made at the rate of RMB6.7793 to USD1.00, the noon buying rate on June 30, 2017,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prospectus could have been or could be converted into U.S. dollars or Renminbi, as the case may be, at any particular rate or at all.</w:t>
      </w:r>
    </w:p>
    <w:p>
      <w:pPr>
        <w:sectPr>
          <w:pgSz w:w="11900" w:h="16838" w:orient="portrait"/>
          <w:cols w:equalWidth="0" w:num="1">
            <w:col w:w="11180"/>
          </w:cols>
          <w:pgMar w:left="240" w:top="226" w:right="479" w:bottom="726"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226" w:right="479" w:bottom="726"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146685</wp:posOffset>
            </wp:positionV>
            <wp:extent cx="7147560" cy="6838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7560" cy="68389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5"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Shares Offered</w:t>
      </w:r>
      <w:r>
        <w:rPr>
          <w:sz w:val="20"/>
          <w:szCs w:val="20"/>
          <w:color w:val="auto"/>
        </w:rPr>
        <w:tab/>
      </w:r>
      <w:r>
        <w:rPr>
          <w:rFonts w:ascii="Arial" w:cs="Arial" w:eastAsia="Arial" w:hAnsi="Arial"/>
          <w:sz w:val="16"/>
          <w:szCs w:val="16"/>
          <w:color w:val="auto"/>
        </w:rPr>
        <w:t>[_] common shares</w:t>
      </w:r>
    </w:p>
    <w:p>
      <w:pPr>
        <w:spacing w:after="0" w:line="225"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Over-allotment Option</w:t>
      </w:r>
      <w:r>
        <w:rPr>
          <w:sz w:val="20"/>
          <w:szCs w:val="20"/>
          <w:color w:val="auto"/>
        </w:rPr>
        <w:tab/>
      </w:r>
      <w:r>
        <w:rPr>
          <w:rFonts w:ascii="Arial" w:cs="Arial" w:eastAsia="Arial" w:hAnsi="Arial"/>
          <w:sz w:val="16"/>
          <w:szCs w:val="16"/>
          <w:color w:val="auto"/>
        </w:rPr>
        <w:t>We have granted the underwriters 45 days from the date of this prospectus, to</w:t>
      </w:r>
    </w:p>
    <w:p>
      <w:pPr>
        <w:spacing w:after="0" w:line="27" w:lineRule="exact"/>
        <w:rPr>
          <w:sz w:val="20"/>
          <w:szCs w:val="20"/>
          <w:color w:val="auto"/>
        </w:rPr>
      </w:pPr>
    </w:p>
    <w:p>
      <w:pPr>
        <w:ind w:left="5160" w:right="100"/>
        <w:spacing w:after="0" w:line="261" w:lineRule="auto"/>
        <w:rPr>
          <w:sz w:val="20"/>
          <w:szCs w:val="20"/>
          <w:color w:val="auto"/>
        </w:rPr>
      </w:pPr>
      <w:r>
        <w:rPr>
          <w:rFonts w:ascii="Arial" w:cs="Arial" w:eastAsia="Arial" w:hAnsi="Arial"/>
          <w:sz w:val="18"/>
          <w:szCs w:val="18"/>
          <w:color w:val="auto"/>
        </w:rPr>
        <w:t>purchase up to an additional [_] shares on the same terms as the other shares being purchased by the underwriters from us.</w:t>
      </w:r>
    </w:p>
    <w:p>
      <w:pPr>
        <w:sectPr>
          <w:pgSz w:w="11900" w:h="16838" w:orient="portrait"/>
          <w:cols w:equalWidth="0" w:num="1">
            <w:col w:w="11200"/>
          </w:cols>
          <w:pgMar w:left="240" w:top="226" w:right="459" w:bottom="1440" w:gutter="0" w:footer="0" w:header="0"/>
        </w:sectPr>
      </w:pPr>
    </w:p>
    <w:p>
      <w:pPr>
        <w:spacing w:after="0" w:line="180" w:lineRule="exact"/>
        <w:rPr>
          <w:sz w:val="20"/>
          <w:szCs w:val="20"/>
          <w:color w:val="auto"/>
        </w:rPr>
      </w:pPr>
    </w:p>
    <w:p>
      <w:pPr>
        <w:ind w:left="180" w:right="1280"/>
        <w:spacing w:after="0" w:line="516" w:lineRule="auto"/>
        <w:rPr>
          <w:sz w:val="20"/>
          <w:szCs w:val="20"/>
          <w:color w:val="auto"/>
        </w:rPr>
      </w:pPr>
      <w:r>
        <w:rPr>
          <w:rFonts w:ascii="Arial" w:cs="Arial" w:eastAsia="Arial" w:hAnsi="Arial"/>
          <w:sz w:val="18"/>
          <w:szCs w:val="18"/>
          <w:b w:val="1"/>
          <w:bCs w:val="1"/>
          <w:color w:val="auto"/>
        </w:rPr>
        <w:t>Shares outstanding before this offering Shares outstanding after this offering Use of Proceeds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[_]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 shares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estimate that our net proceeds from this offering will be approximately $[_] million, based on an assumed initial public offering price of $[_] per share, which is the midpoint of the range set forth on the cover page of this prospectus, and after deducting estimated underwriting discounts and commissions and estimated offering expenses and assuming no exercise of the over-allotment option granted to the underwriters. We intend to use the net proceeds from this offering for global expansion, R&amp;D, talent development and working capital and general corporate purposes. See “Use of Proceeds” for more information.</w:t>
      </w:r>
    </w:p>
    <w:p>
      <w:pPr>
        <w:spacing w:after="0" w:line="175" w:lineRule="exact"/>
        <w:rPr>
          <w:sz w:val="20"/>
          <w:szCs w:val="20"/>
          <w:color w:val="auto"/>
        </w:rPr>
      </w:pPr>
    </w:p>
    <w:p>
      <w:pPr>
        <w:sectPr>
          <w:pgSz w:w="11900" w:h="16838" w:orient="portrait"/>
          <w:cols w:equalWidth="0" w:num="2">
            <w:col w:w="4440" w:space="720"/>
            <w:col w:w="6040"/>
          </w:cols>
          <w:pgMar w:left="240" w:top="226" w:right="459" w:bottom="1440" w:gutter="0" w:footer="0" w:header="0"/>
          <w:type w:val="continuous"/>
        </w:sect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Underwriters’ Warrants</w:t>
      </w:r>
      <w:r>
        <w:rPr>
          <w:sz w:val="20"/>
          <w:szCs w:val="20"/>
          <w:color w:val="auto"/>
        </w:rPr>
        <w:tab/>
      </w:r>
      <w:r>
        <w:rPr>
          <w:rFonts w:ascii="Arial" w:cs="Arial" w:eastAsia="Arial" w:hAnsi="Arial"/>
          <w:sz w:val="16"/>
          <w:szCs w:val="16"/>
          <w:color w:val="auto"/>
        </w:rPr>
        <w:t>Upon the closing of this offering, we will issue to Cuttone &amp; Co., LLC and The</w:t>
      </w:r>
    </w:p>
    <w:p>
      <w:pPr>
        <w:spacing w:after="0" w:line="27" w:lineRule="exact"/>
        <w:rPr>
          <w:sz w:val="20"/>
          <w:szCs w:val="20"/>
          <w:color w:val="auto"/>
        </w:rPr>
      </w:pPr>
    </w:p>
    <w:p>
      <w:pPr>
        <w:ind w:left="5160" w:right="160"/>
        <w:spacing w:after="0" w:line="271" w:lineRule="auto"/>
        <w:rPr>
          <w:sz w:val="20"/>
          <w:szCs w:val="20"/>
          <w:color w:val="auto"/>
        </w:rPr>
      </w:pPr>
      <w:r>
        <w:rPr>
          <w:rFonts w:ascii="Arial" w:cs="Arial" w:eastAsia="Arial" w:hAnsi="Arial"/>
          <w:sz w:val="17"/>
          <w:szCs w:val="17"/>
          <w:color w:val="auto"/>
        </w:rPr>
        <w:t>Benchmark Company, LLC, as representatives of the underwriters, warrants entitling the representatives to purchase [_]% of the aggregate number of shares issued in this offering. The warrants shall be exercisable for a period of five years from the effective date of the Registration Statement on Form F-1 of which this prospectus forms a part.</w:t>
      </w:r>
    </w:p>
    <w:p>
      <w:pPr>
        <w:spacing w:after="0" w:line="175"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16"/>
          <w:szCs w:val="16"/>
          <w:color w:val="auto"/>
        </w:rPr>
        <w:t>We intend to apply for listing of our common shares on the NASDAQ Capital</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Market under the symbol “CLPS”.</w:t>
      </w:r>
    </w:p>
    <w:p>
      <w:pPr>
        <w:spacing w:after="0" w:line="207"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5"/>
          <w:szCs w:val="15"/>
          <w:b w:val="1"/>
          <w:bCs w:val="1"/>
          <w:color w:val="auto"/>
        </w:rPr>
        <w:t xml:space="preserve">Investing in these securities involves a high degree of risk. </w:t>
      </w:r>
      <w:r>
        <w:rPr>
          <w:rFonts w:ascii="Arial" w:cs="Arial" w:eastAsia="Arial" w:hAnsi="Arial"/>
          <w:sz w:val="15"/>
          <w:szCs w:val="15"/>
          <w:color w:val="auto"/>
        </w:rPr>
        <w:t>As an investor, you</w:t>
      </w:r>
    </w:p>
    <w:p>
      <w:pPr>
        <w:spacing w:after="0" w:line="27" w:lineRule="exact"/>
        <w:rPr>
          <w:sz w:val="20"/>
          <w:szCs w:val="20"/>
          <w:color w:val="auto"/>
        </w:rPr>
      </w:pPr>
    </w:p>
    <w:p>
      <w:pPr>
        <w:ind w:left="5160" w:right="200"/>
        <w:spacing w:after="0" w:line="255" w:lineRule="auto"/>
        <w:rPr>
          <w:sz w:val="20"/>
          <w:szCs w:val="20"/>
          <w:color w:val="auto"/>
        </w:rPr>
      </w:pPr>
      <w:r>
        <w:rPr>
          <w:rFonts w:ascii="Arial" w:cs="Arial" w:eastAsia="Arial" w:hAnsi="Arial"/>
          <w:sz w:val="18"/>
          <w:szCs w:val="18"/>
          <w:color w:val="auto"/>
        </w:rPr>
        <w:t>should be able to bear a complete loss of your investment. You should carefully consider the information set forth in the “Risk Factors” section of this prospectus before deciding to invest in our common shares.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180" w:right="40" w:firstLine="648"/>
        <w:spacing w:after="0" w:line="293" w:lineRule="auto"/>
        <w:rPr>
          <w:sz w:val="20"/>
          <w:szCs w:val="20"/>
          <w:color w:val="auto"/>
        </w:rPr>
      </w:pPr>
      <w:r>
        <w:rPr>
          <w:rFonts w:ascii="Arial" w:cs="Arial" w:eastAsia="Arial" w:hAnsi="Arial"/>
          <w:sz w:val="16"/>
          <w:szCs w:val="16"/>
          <w:color w:val="auto"/>
        </w:rPr>
        <w:t>The following summary consolidated statements of operations and cash flow data for the years ended June 30, 2017 and 2016 and the summary consolidated balance sheet data as of June 30, 2017 and June 30, 2016 have been derived from our audited consolidated financial statements included elsewhere in this prospectus. You should read the summary consolidated financial data in conjunction with those financial statements and the accompanying notes and “Management’s Discussion and Analysis of Financial Condition and Results of Operations.” Our consolidated financial statements are prepared and presented in accordance with United States generally accepted accounting principles, or U.S. GAAP, our consolidated financial statements have been prepared as if the current corporate structure had been in existence throughout the periods presented.</w:t>
      </w:r>
    </w:p>
    <w:p>
      <w:pPr>
        <w:spacing w:after="0" w:line="165" w:lineRule="exact"/>
        <w:rPr>
          <w:sz w:val="20"/>
          <w:szCs w:val="20"/>
          <w:color w:val="auto"/>
        </w:rPr>
      </w:pPr>
    </w:p>
    <w:p>
      <w:pPr>
        <w:ind w:left="180" w:right="240" w:firstLine="648"/>
        <w:spacing w:after="0" w:line="312" w:lineRule="auto"/>
        <w:rPr>
          <w:sz w:val="20"/>
          <w:szCs w:val="20"/>
          <w:color w:val="auto"/>
        </w:rPr>
      </w:pPr>
      <w:r>
        <w:rPr>
          <w:rFonts w:ascii="Arial" w:cs="Arial" w:eastAsia="Arial" w:hAnsi="Arial"/>
          <w:sz w:val="16"/>
          <w:szCs w:val="16"/>
          <w:color w:val="auto"/>
        </w:rPr>
        <w:t>Our management believes that the assumptions underlying our financial statements and the above allocations are reasonable. Our financial statements, however, may not necessarily reflect our results of operations, financial position and cash flows as if we had operated as a separate, stand-alone company during the periods presented. You should not view our historical results as an indicator of our future performance.</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226" w:right="45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327025</wp:posOffset>
            </wp:positionV>
            <wp:extent cx="7147560" cy="8125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7560" cy="812546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our summary consolidated statements of comprehensive income for the fiscal years ended June 30, 2017 and 2016.</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Consolidated Statement of Comprehensive Income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U.S. dollars, except number of shares)</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color w:val="auto"/>
              </w:rPr>
              <w:t>For the years ended</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31,361,976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29,024,178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8"/>
                <w:szCs w:val="18"/>
                <w:color w:val="auto"/>
              </w:rPr>
              <w:t>Less: Cost of revenues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(18,669,812)</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(17,463,416)</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11,560,762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1,206,493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413,016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4,232,788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5,647,790</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4,955,037</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10,947,111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508,187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(10,469)</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2,102,811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2,054,124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(118,546)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2,047,445</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1,826,112</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162"/>
        </w:trPr>
        <w:tc>
          <w:tcPr>
            <w:tcW w:w="8360" w:type="dxa"/>
            <w:vAlign w:val="bottom"/>
            <w:vMerge w:val="restart"/>
          </w:tcPr>
          <w:p>
            <w:pPr>
              <w:spacing w:after="0"/>
              <w:rPr>
                <w:sz w:val="20"/>
                <w:szCs w:val="20"/>
                <w:color w:val="auto"/>
              </w:rPr>
            </w:pPr>
            <w:r>
              <w:rPr>
                <w:rFonts w:ascii="Arial" w:cs="Arial" w:eastAsia="Arial" w:hAnsi="Arial"/>
                <w:sz w:val="18"/>
                <w:szCs w:val="18"/>
                <w:color w:val="auto"/>
              </w:rPr>
              <w:t>Less: foreign currency translation (loss) gain attributable to Non-controlling interest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1,732</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83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tcPr>
          <w:p>
            <w:pPr>
              <w:jc w:val="right"/>
              <w:ind w:right="40"/>
              <w:spacing w:after="0" w:line="68" w:lineRule="exact"/>
              <w:rPr>
                <w:sz w:val="20"/>
                <w:szCs w:val="20"/>
                <w:color w:val="auto"/>
              </w:rPr>
            </w:pPr>
            <w:r>
              <w:rPr>
                <w:rFonts w:ascii="Arial" w:cs="Arial" w:eastAsia="Arial" w:hAnsi="Arial"/>
                <w:sz w:val="7"/>
                <w:szCs w:val="7"/>
                <w:color w:val="auto"/>
              </w:rPr>
              <w:t>(1,471</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attributable to CLPS Incorporation’s shareholders</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(385,629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1,952,536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91"/>
        </w:trPr>
        <w:tc>
          <w:tcPr>
            <w:tcW w:w="836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2,128,180</w:t>
            </w:r>
          </w:p>
        </w:tc>
        <w:tc>
          <w:tcPr>
            <w:tcW w:w="20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1,397,871</w:t>
            </w:r>
          </w:p>
        </w:tc>
        <w:tc>
          <w:tcPr>
            <w:tcW w:w="12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36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11,290,000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Arial" w:cs="Arial" w:eastAsia="Arial" w:hAnsi="Arial"/>
                <w:sz w:val="18"/>
                <w:szCs w:val="18"/>
                <w:color w:val="auto"/>
                <w:w w:val="97"/>
              </w:rPr>
              <w:t>* The shares and per share data are presented on a retroactive basis to reflect the nominal share issuance.</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tcPr>
          <w:p>
            <w:pPr>
              <w:ind w:left="640"/>
              <w:spacing w:after="0"/>
              <w:rPr>
                <w:sz w:val="20"/>
                <w:szCs w:val="20"/>
                <w:color w:val="auto"/>
              </w:rPr>
            </w:pPr>
            <w:r>
              <w:rPr>
                <w:rFonts w:ascii="Arial" w:cs="Arial" w:eastAsia="Arial" w:hAnsi="Arial"/>
                <w:sz w:val="18"/>
                <w:szCs w:val="18"/>
                <w:color w:val="auto"/>
                <w:w w:val="91"/>
              </w:rPr>
              <w:t>The following table presents our summary consolidated balance sheet data as of June 30, 2017 and 2016.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8"/>
                <w:szCs w:val="18"/>
                <w:color w:val="auto"/>
              </w:rPr>
              <w:t>As of June 30,</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12,325,296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9,910,841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13,521,923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10,471,529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8,210,625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6,264,005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4,834,188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477,110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5,311,298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13,521,923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10,471,529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226" w:right="419" w:bottom="1440" w:gutter="0" w:footer="0" w:header="0"/>
        </w:sectPr>
      </w:pPr>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Investment in our securities involves a high degree of risk. You should carefully consider the risks described below together with all of the other information included in this prospectus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You should not invest in this offering unless you can afford to lose your entire investment.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have experienced rapid growth and significantly expanded our business recently. Our revenues grew from $29.0 million in fiscal 2016 to $31.4 million in fiscal 2017. As of the date of this prospectus, we maintain eleven delivery and or R&amp;D centers, of which seven are located in China (Shanghai, Beijing, Dalian, Tianjin, Chengdu, Guangzhou and Shezhen) and four are located globally (Hong Kong, Taiwan, Singapore and Australia), to serve different customers in various geographic locations. The number of our total employees grew from 1,055 in fiscal 2016 to 1,248 in fiscal 2017. As of November 30, 2017 we have 1,487 full-time employees. We are actively looking at additional locations to establish new offices and expand our current offices and sales and delivery centers. We intend to continue our expansion in the foreseeable future to pursue existing and potential market opportunities. Our rapid growth has placed and will continue to place significant demands on our management and our administrative, operational and financial infrastructure. Continued expansion increases the challenges we face in:</w:t>
      </w:r>
    </w:p>
    <w:p>
      <w:pPr>
        <w:spacing w:after="0" w:line="1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skilled technical, sales and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values;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adhering to and further improving our high quality and process execution standards and maintaining high levels of client satisfaction.</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problems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8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IT services industry is particularly sensitive to the economic environment, either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defer their IT spending or change their IT outsourcing strategy, and reduce their purchases from us. The recent global economic slowdown and any future economic slowdown, and the resulting diminution in IT spending, could also lead to increased pricing pressure from our clients. The occurrence of any of these events could materially and adversely affect our revenues and results of operations.</w:t>
      </w:r>
    </w:p>
    <w:p>
      <w:pPr>
        <w:spacing w:after="0" w:line="1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0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ectPr>
          <w:pgSz w:w="11900" w:h="16838" w:orient="portrait"/>
          <w:cols w:equalWidth="0" w:num="1">
            <w:col w:w="11420"/>
          </w:cols>
          <w:pgMar w:left="240" w:top="226"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4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18% and 15% per annum in 2016 and 2017, respectively.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We have established TCP and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future success heavily depends upon the continued services of our senior executives and other key employees. In particular, we rely on the expertise, experience, client relationships and reputation of Xiao Feng Yang, our Chairman, president and director. We currently do not maintain key 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where most of these executive officers and key employees reside, in light of the uncertainties with China’s legal system.</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have derived, and believe that in the foreseeable future we will continue to derive, a significant portion of our revenues from a small number of major clients. For the years ended June 30, 2017 and 2016, an unrelated international bank with its affiliates accounted for 38.6% and 59.2% of the Company’s total revenues, respectively. For fiscal 2017 and 2016, substantially all the service provided by the Company to this customer and its affiliates was IT consulting service and billed through time-and-expense contracts. The Company has not entered into any material long term contractors with this customer and its affiliates.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team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changes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The loss of any of our major clients could adversely affect our financial condition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business depends on our ability to successfully obtain payment from our clients of the amounts they owe us for work performed. As of June 30, 2017 and 2016, our accounts receivable balance, net of allowance, amounted to approximately $6.6 million and $4.4 million, respectively. For the year ended June 30, 2017, one customer and its affiliates accounted for 39.1% of the Company’s total accounts receivable balance. For the year ended June 30, 2016, two customers and its affiliates accounted for 47.3% and 10.0% of the Company’s total accounts receivable balance, respectively.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market for our services is characterized by rapid technological change, evolving industry standards, changing client preferences and new product and service introductions. Our future growth and success depend significantly on our ability to anticipate developments in IT services, and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that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8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our strategy and modifying it from time to time to respond effectively to competition and changes in client preferences;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ectPr>
          <w:pgSz w:w="11900" w:h="16838" w:orient="portrait"/>
          <w:cols w:equalWidth="0" w:num="1">
            <w:col w:w="11420"/>
          </w:cols>
          <w:pgMar w:left="240" w:top="226"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2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25"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potentially adverse tax consequences, such as scrutiny of transfer pricing arrangements by authorities in the countries in which we operate;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 or reductions in our costs. Furthermore, we may be forced to reduce the prices of our services in response to offerings made by our competitors. Finally, we may not have the same level of bargaining power we have enjoyed in the past when it comes to negotiating for the prices of our services.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w:t>
      </w:r>
    </w:p>
    <w:p>
      <w:pPr>
        <w:spacing w:after="0" w:line="16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17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4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believe that our current cash, cash flow from operations and the proceeds from this offering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losses resulting from business interruptions resulting from occurrence of natural disasters, health epidemics and other outbreaks or events.</w:t>
      </w:r>
    </w:p>
    <w:p>
      <w:pPr>
        <w:spacing w:after="0" w:line="26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sand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and Australian dollar in certain PRC operating entities.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w:t>
      </w:r>
    </w:p>
    <w:p>
      <w:pPr>
        <w:spacing w:after="0" w:line="165"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4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receive from this offering into for our operations, appreciation of the RMB against the U.S. dollar would have an adverse effect on the RMB amount we receive from the conversion. Conversely, if we decide to convert our RMB into U.S. dollars for the purpose of making payments for dividends on our common share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 we receive from our offering into RMB for our operations, appreciation of the RMB against the U.S. dollar would have an adverse effect on the RMB amount we would receive from the conversion. Conversely, if we decide to convert our RMB into U.S. dollar for the purpose of paying dividends on our common stock or for other business purposes, appreciation of the U.S. dollar against the RMB would have a negative effect on the U.S. dollar amount available to us.</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w:t>
      </w:r>
    </w:p>
    <w:p>
      <w:pPr>
        <w:spacing w:after="0" w:line="18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in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23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Although we maintain professional liability insurance and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18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WOFE is required to allocate a portion of its after-tax profits, to the statutory reserve fund, and as determined by its board of directors, to the staff welfare and bonus funds, which may not be distributed to equity owners.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Pursuant to Company Law of P.R. China (2013 Revision), Wholly Foreign-Owned Enterprise Law of the P.R. China (2000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failure to obtain prior approval of the China Securities Regulatory Commission (“CSRC”) for the listing and trading of our common shares on a foreign stock exchange could delay this offering or could have a material adverse effect upon our business, operating results, reputation and trading price of our common shares.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August 8, 2006, six Chinese regulatory agencies, including the Ministry of Commerce of the People’s Republic of China (“MOFCOM”), jointly issued the Regulations on Mergers and Acquisitions of Domestic Enterprises by Foreign Investors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If the CSRC requires that we obtain its approval prior to the completion of this offering, the offering will be delayed until we obtain CSRC approval, which may take several months. There is also the possibility that we may not be able to obtain such approval. If prior CSRC approval was required, we may face regulatory actions or other sanctions from the CSRC or other Chinese regulatory authorities. These authorities may impose fines and penalties upon our operations in China, limit our operating privileges in China, delay or restrict the repatriation of the proceeds from this offering into China, or take other actions that could have a material adverse effect upon our business, financial condition, results of operations, reputation and prospects, as well as the trading price of our common shares. The CSRC or other Chinese regulatory agencies may also take actions requiring us, or making it advisable for us, to terminate this offering prior to closing.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 If and to the extent we fail to maintain compliance with such applicable rules and regulations, our operations and financial results may be adversely affected.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with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3"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The approval of the China Securities Regulatory Commission, or the CSRC, may be required in connection with this offering under a recently adopted PRC regulation; any requirement to obtain prior CSRC approval could delay this offering and failure to obtain such approval, if required, could have a material adverse effect on our business, results of operation and reputation and could also create uncertainties for this offering.</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2006, the CSRC and five other PRC regulatory agencies jointly promulgated the Provisions Regarding Mergers and Acquisitions of Domestic Enterprises by Foreign Investors, or the M&amp;A Rule, which regulates foreign investment in PRC domestic enterprises. The M&amp;A Rule requires offshore special purpose vehicles formed for the purposes of overseas listing of equity interests in PRC companies and controlled directly or indirectly by PRC companies or individuals to obtain the approval of the CSRC prior to the listing and trading of the special purpose vehicle’s securities on an overseas stock exchange. The interpretation and application of the M&amp;A Rule is currently unclear.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this offering into China or the payment or distribution of dividends by our PRC subsidiaries, or take other actions that could have a material adverse effect on our business, financial condition, results of operations, reputation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majority of our operations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As a result, recognition and enforcement in China of these judgments in relation to any matter, including U.S. securities laws and the laws of the Cayman Islands, may be difficult or impossible.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regarding the PRC tax reporting obligations and consequences for certain indirect transfers of the stock of our operating company.</w:t>
      </w:r>
    </w:p>
    <w:p>
      <w:pPr>
        <w:spacing w:after="0" w:line="26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the Notice on Strengthening Administration of Enterprise Income Tax for Share Transfers by Non-PRC Resident Enterprises issued by the PRC State Administration of Taxation on December 10, 2009, or Circular 698, where a foreign investor transfers the equity interests of a PRC resident enterprise indirectly by way of the sale of equity interests of an overseas holding company, or an Indirect Transfer, and such overseas holding company is located in a tax jurisdiction that: (i) has an effective tax rate less than 12.5% or (ii) does not tax foreign income of its residents, the foreign investor should report such Indirect Transfer to the competent tax authority of the PRC resident enterprise. The PRC tax authority will examine the true nature of the Indirect Transfer, and if the tax authority considers that the foreign investor has adopted an abusive arrangement in order to avoid PRC tax, they will disregard the existence of the overseas holding company and re-characterize the Indirect Transfer and as a result, gains derived from such Indirect Transfer may be subject to PRC withholding tax at the rate of up to 10%. In addition, the PRC resident enterprise is supposed to provide necessary assistance to support the enforcement of Circular 698. At present, the PRC tax authorities will neither confirm nor deny that they would enforce Circular 698, in conjunction with other tax collection and tax withholding rules, to make claims against our PRC subsidiary as being indirectly liable for unpaid taxes, if any, arising from Indirect Transfers by shareholders who did not obtain their shares in the public offering of our shares.</w:t>
      </w:r>
    </w:p>
    <w:p>
      <w:pPr>
        <w:sectPr>
          <w:pgSz w:w="11900" w:h="16838" w:orient="portrait"/>
          <w:cols w:equalWidth="0" w:num="1">
            <w:col w:w="11420"/>
          </w:cols>
          <w:pgMar w:left="240" w:top="226"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PRC State Administration of Foreign Exchange, or SAFE, issued a public notice in 2005 known as Circular 75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In addition, any PRC resident that is the shareholder of an offshore special purpose company is required to amend its SAFE registration with the local SAFE branch with respect to that offshore special purpose company in connection with any increase or decrease of capital, transfer of shares, merger, division, equity investment or creation of any security interest over any assets located in China. If these shareholders fail to comply, the PRC subsidiaries of the offshore special purpose company may be prohibited from distributing their profits and proceeds from any reduction in capital, share transfer or liquidation to their offshore parent company and the offshore parent company may be restricted in its ability to contribute additional capital into its PRC subsidiaries. Moreover, failure to comply with the above SAFE registration requirements could result in liabilities under PRC laws for evasion of foreign exchange restrictions.</w:t>
      </w:r>
    </w:p>
    <w:p>
      <w:pPr>
        <w:spacing w:after="0" w:line="16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are committed to complying with the Circular 75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75 requirements. As a result, we cannot assure you that all of our shareholders or beneficial owners who are PRC citizens or residents will at all times comply with, or in the future make or obtain any applicable registrations or approvals required by, Circular 75 or other related regulations. Failure by any such shareholders or beneficial owners to comply with Circular 75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the PRC National Development and Reform Commission promulgated a rule in 2004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using the proceeds of this offering to make loans or additional capital contributions to our PRC subsidiaries, which could materially and adversely affect our liquidity and our ability to fund and expand our business.</w:t>
      </w:r>
    </w:p>
    <w:p>
      <w:pPr>
        <w:spacing w:after="0" w:line="181"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utilizing the proceeds from this public offering or any future offerings, as an offshore holding company of our PRC subsidiaries, 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5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use the proceeds of this offering and to capitalize our PRC operations may be negatively affected, which could adversely and materially affect our liquidity and our ability to fund and expand our business.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2008, SAFE promulgated Circular 142, a notice regulating the conversion by a foreign-invested enterprise of foreign currency into Renminbi by restricting how the converted Renminbi may be used. Circular 142 requires that Renminbi converted from the foreign currency-denominated capital of a foreign-invested enterprise may only be used for purposes within the business scope approved by the applicable governmental authority and may not be used for equity investments within the PRC unless specifically provided for otherwise in its business scope. In addition, SAFE strengthened its oversight of the flow and use of Renminbi funds converted from the foreign currency-denominated capital of a foreign-invested enterprise. The use of such Renminbi may not be changed without approval from SAFE, and may not be used to repay Renminbi loans if the proceeds of such loans have not yet been used for purposes within the foreign-invested enterprise’s approved business scope.</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use the proceeds we receive from this offering and to capitalize or otherwise fund our PRC operations may be negatively affected, which could adversely and materially affect our liquidity and our ability to fund and expand our business.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w:t>
      </w:r>
    </w:p>
    <w:p>
      <w:pPr>
        <w:spacing w:after="0" w:line="18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this Offering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There has been no public market for our common shares prior to this offering, and you may not be able to resell our common shares at or above the price you paid, or at all.</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this initial public offering, there has been no public market for our shares. We intend to list our common shares on the NASDAQ Capital Market. If an active trading market for our common shares does not develop after this offering, the market price and liquidity of our common shares will be materially and adversely affected. Negotiations with the underwriters will determine the initial public offering price for our common shares which may bear no relationship to their market price after the initial public offering. We cannot assure you that an active trading market for our common shares will develop or that the market price of our common shares will not decline below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comply with certain conditions, our common shares may not trade on the NASDAQ Capital Market.</w:t>
      </w:r>
    </w:p>
    <w:p>
      <w:pPr>
        <w:spacing w:after="0" w:line="221" w:lineRule="exact"/>
        <w:rPr>
          <w:sz w:val="20"/>
          <w:szCs w:val="20"/>
          <w:color w:val="auto"/>
        </w:rPr>
      </w:pPr>
    </w:p>
    <w:p>
      <w:pPr>
        <w:ind w:right="16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 have received approval to list our common shares on the NASDAQ Capital Market provided that we pay the balance of our entry fee</w:t>
      </w:r>
      <w:r>
        <w:rPr>
          <w:rFonts w:ascii="Arial" w:cs="Arial" w:eastAsia="Arial" w:hAnsi="Arial"/>
          <w:sz w:val="16"/>
          <w:szCs w:val="16"/>
          <w:color w:val="auto"/>
        </w:rPr>
        <w:t xml:space="preserve"> </w:t>
      </w:r>
      <w:r>
        <w:rPr>
          <w:rFonts w:ascii="Arial" w:cs="Arial" w:eastAsia="Arial" w:hAnsi="Arial"/>
          <w:sz w:val="16"/>
          <w:szCs w:val="16"/>
          <w:b w:val="1"/>
          <w:bCs w:val="1"/>
          <w:color w:val="auto"/>
        </w:rPr>
        <w:t>and show that we will have 300 round-lot shareholders prior to our first day of trading</w:t>
      </w:r>
      <w:r>
        <w:rPr>
          <w:rFonts w:ascii="Arial" w:cs="Arial" w:eastAsia="Arial" w:hAnsi="Arial"/>
          <w:sz w:val="16"/>
          <w:szCs w:val="16"/>
          <w:color w:val="auto"/>
        </w:rPr>
        <w:t>.] If we are unable to meet these final conditions our shares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trade on the NASDAQ Capital Market. In addition, we have relied on an exemption to the blue sky registration requirements afforded to “covered securities.” Securities listed on the NASDAQ Capital Market are “covered securities.” If we were unable to meet the final conditions for listing, then we would be unable to rely on the covered securities exemption to blue sky registration requirements and we would need to register the offering in each state in which we planned to sell shares. Consequently, we will not complete this offering until we have met the final conditions.</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listed on the NASDAQ Capital Market and our financial condition deteriorates, we may not meet continued listing standards on the NASDAQ Capital Market.</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NASDAQ Capital Market also requires companies to fulfill specific requirements in order for their shares to continue to be listed. If our shares are listed on the NASDAQ Capital Market but are delisted from the NASDAQ Capital Market at some later date, our shareholders could find it difficult to sell our shares. In addition, if our common shares are delisted from the NASDAQ Capital Market at some later date, we may apply to have our common shares quoted on the Bulletin Board or in the “pink sheets” maintained by the National Quotation Bureau, Inc. The Bulletin Board and the “pink sheets” are generally considered to be less efficient markets than the NASDAQ Capital Market. In addition, if our common shares are not so listed or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not so listed or are delisted from the NASDAQ Capital Market at some later date or become subject to the penny stock regulations, it is likely that the price of our shares would decline and that our shareholders would find it difficult to sell their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a limited number of participants in this offering purchase a significant percentage of the offering, the effective public float may be smaller than anticipated and the price of our common shares may be volatile.</w:t>
      </w:r>
    </w:p>
    <w:p>
      <w:pPr>
        <w:spacing w:after="0" w:line="1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As a company conducting a relatively modest public offering, we are subject to the risk that a small number of investors will purchase a high percentage of the offering. If this were to happen, investors could find our shares to be more volatile than they might otherwise anticipate. Companies that experience such volatility in their stock price may be more likely to be the subject of securities litigation. In addition, if a large portion of our public float were to be held by a few investors, smaller investors may find it more difficult to sell their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7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shares, as the future sale of a substantial amount of outstanding common shares in the public marketplace could reduce the price of our common shares.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market price of our shares could decline as a result of sales of substantial amounts of our shares in the public market, or the perception that these sales could occur. In addition, these factors could make it more difficult for us to raise funds through future offerings of our common shares. An aggregate of shares is outstanding before the consummation of this offering and [●] shares will be outstanding immediately after this offering. All of the shares sold in the offering will be freely transferable without restriction or further registration under the Securities Act. The remaining shares will be “restricted securities” as defined in Rule 144. These shares may be sold in the future without registration under the Securities Act to the extent permitted by Rule 144 or other exemptions under the Securities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initial public offering price of our shares is expected to be substantially higher than the pro forma net tangible book value per share of our common shares. Assuming the completion of the offering, if you purchase shares in this offering, you will incur immediate dilution of approximately $[●] or approximately [●]% in the pro forma net tangible book value per share from the price per share that you pay for the shares. Accordingly, if you purchase shares in this offering, you will incur immediate and substantial dilution of your investment. See “Dilution.”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finally determined the use of the proceeds from this offering, and we may use the proceeds in ways with which you may not agree.</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While we have identified the priorities to which we expect to put the proceeds of this offering, our management will have considerable discretion in the application of the net proceeds received by us. Specifically, we intend to use the net proceeds from this offering for expansion and upgrades of our production lines and warehouse facilities, establishment promotion of overseas sales websites, and working capital and general corporate purposes. We have reserved the right to re-allocate funds currently allocated to that purpose to our general working capital. If that were to happen, then our management would have discretion over even more of the net proceeds to be received by our company in this offering. You will not have the opportunity, as part of your investment decision, to assess whether the proceeds are being used appropriately. You must rely on the judgment of our management regarding the application of the net proceeds of this offering. The net proceeds may be used for corporate purposes that do not improve our efforts to achieve profitability or increase our stock price. The net proceeds from this offering may be placed in investments that do not produce profit or increase value. See “Use of Proceeds.”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Upon consummation of this offering, we will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81" w:lineRule="exact"/>
        <w:rPr>
          <w:sz w:val="20"/>
          <w:szCs w:val="20"/>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determination of our status as a foreign private issuer is made annually on the last business day of our most recently completed second fiscal quarter and, accordingly, the next determination will be made with respect to us on or after June 30, 2018. We would lose our foreign private issuer status if</w:t>
      </w:r>
    </w:p>
    <w:p>
      <w:pPr>
        <w:ind w:firstLine="8"/>
        <w:spacing w:after="0" w:line="271"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publicly-traded company.</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Pursuant to Sarbanes-Oxley Act of 2002, our management will be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an “emerging growth company” under the JOBS Act, we are permitted to, and intend to, rely on exemptions from certain disclosure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until the earliest of:</w:t>
      </w:r>
    </w:p>
    <w:p>
      <w:pPr>
        <w:spacing w:after="0" w:line="21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this offering.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Based on the anticipated market price of our common shares in this offering and expected price of our common shares following this offering,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structure, together with applicable law, may impede shareholders from asserting claims against us and our principals.</w:t>
      </w:r>
    </w:p>
    <w:p>
      <w:pPr>
        <w:spacing w:after="0" w:line="23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 AND CONVENTIONS FORWARD-LOOKING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made statements in this prospectus, including under “Prospectus Summary,” “Risk Factors,” “Management’s Discussion and Analysis of Financial Condition and Results of Operations,” “Our Business” and elsewhere that constitute forward-looking statements. Forward-looking statements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Examples of forward-looking statements include: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the development of future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projections of revenue, earnings, capital structure and other financial items;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of future company-owned call centers;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statements regarding the capabilities of our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statements of expected future economic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statements regarding competition in our market;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assumptions underlying statements regarding us or our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ultimate correctness of these forward-looking statements depends upon a number of known and unknown risks and events. We discuss our known material risks under the heading “Risk Factors” above. Many factors could cause our actual results to differ materially from those expressed or implied in our forward-looking statements. Consequently, you should not place undue reliance on these forward-looking statements. 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estimate that we will receive net proceeds from the sale of common shares of approximately $[●] million, based upon an assumed initial public offering price of $[●] per share, the midpoint of the range set forth on the cover page of this prospectus, and after deducting estimated underwriting discounts and commissions and estimated offering expenses. If the underwriters’ option to purchase additional common shares is exercised in full, we estimate that we will receive net proceeds of approximately $[●] million, after deducting estimated underwriting discounts and commissions and estimated offering expenses.</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Each $0.25 increase (decrease) in the assumed initial public offering price of $[●] per share, the midpoint of the range set forth on the cover page of this prospectus, would increase (decrease) the net proceeds to us from this offering by approximately $[●], assuming the number of shares offered, as set forth on the cover page of this prospectus, remains the same and after deducting estimated underwriting discounts and commissions. Similarly, each increase (decrease) of [●] common shares in the number of common shares would increase (decrease) the net proceeds to us from this offering by approximately $[●], assuming that the assumed initial public offering price remains the same, and after deducting estimated underwriting discounts and commissions.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use the net proceeds of this offering as follows after we complete the remittance process:</w:t>
      </w:r>
    </w:p>
    <w:p>
      <w:pPr>
        <w:spacing w:after="0" w:line="225" w:lineRule="exact"/>
        <w:rPr>
          <w:sz w:val="20"/>
          <w:szCs w:val="20"/>
          <w:color w:val="auto"/>
        </w:rPr>
      </w:pPr>
    </w:p>
    <w:p>
      <w:pPr>
        <w:ind w:left="660" w:right="5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 million or 40% for global expansion, i.e., to expand our existing locations to develop new clients by hiring more qualified personnel, system integration and marketing effort;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 million or 30% for working capital and general corporate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 million or 20% for R&amp;D;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 million or 10% for talent development.</w:t>
      </w:r>
    </w:p>
    <w:p>
      <w:pPr>
        <w:spacing w:after="0" w:line="225" w:lineRule="exact"/>
        <w:rPr>
          <w:sz w:val="20"/>
          <w:szCs w:val="20"/>
          <w:color w:val="auto"/>
        </w:rPr>
      </w:pPr>
    </w:p>
    <w:p>
      <w:pPr>
        <w:ind w:right="80" w:firstLine="697"/>
        <w:spacing w:after="0" w:line="287" w:lineRule="auto"/>
        <w:rPr>
          <w:sz w:val="20"/>
          <w:szCs w:val="20"/>
          <w:color w:val="auto"/>
        </w:rPr>
      </w:pPr>
      <w:r>
        <w:rPr>
          <w:rFonts w:ascii="Arial" w:cs="Arial" w:eastAsia="Arial" w:hAnsi="Arial"/>
          <w:sz w:val="16"/>
          <w:szCs w:val="16"/>
          <w:color w:val="auto"/>
        </w:rPr>
        <w:t>The precise amounts and percentage of proceeds we would devote to particular categories of activity will depend on prevailing market and business conditions as well as particular opportunities that may arise from time to time.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any unforeseen cash needs. Similarly, the priority of our prospective uses of proceeds will depend on business and market conditions are they develop. Accordingly, our management will have significant flexibility and broad discretion in applying the net proceeds of the offering. If an unforeseen event occurs or business conditions change, we may use the proceeds of this offering differently than as described in this prospectus. 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or make additional capital contributions to our PRC subsidiary to fund its capital expenditures or working capital. We cannot assure you that we will be able to obtain these government registrations or approvals on a timely basis, if at all. Pending remitting the offering proceeds to the PRC, we intend to invest our net proceeds in short-term, interest bearing, investment-grade obligations.</w:t>
      </w:r>
    </w:p>
    <w:p>
      <w:pPr>
        <w:spacing w:after="0" w:line="17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Although we may use a portion of the proceeds for the acquisition of, or investment in, companies, technologies, products or assets that complement our business, we have no present understandings, commitments or agreements to enter into any acquisitions or make any investments. We cannot assure you that we will make any acquisitions or investments in the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holders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our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business is conducted in China and all of our revenues are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 The following table sets forth information concerning exchange rates between the RMB and the U.S. dollar for the periods indicated. Assets and liabilities are translated at the exchange rates as of the balance sheet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Balance sheet items, except for equity accounts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USD:RMB</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Items in the statements of operations and comprehensive loss, and statements cash flows are translated at the average exchange rate of the period.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600" w:type="dxa"/>
            <w:vAlign w:val="bottom"/>
            <w:gridSpan w:val="4"/>
          </w:tcPr>
          <w:p>
            <w:pPr>
              <w:ind w:left="78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88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USD:RMB</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w:t>
      </w:r>
    </w:p>
    <w:p>
      <w:pPr>
        <w:spacing w:after="0" w:line="114"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following selected consolidated financial and operating data for the fiscal years ended June 30, 2017 and 2016, and the consolidated balance sheet data as of June 30, 2017 and 2016, have been derived from our consolidated financial statements included elsewhere in this prospectus.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summary consolidated statements of comprehensive income for the fiscal years ended June 30, 2017 and 2016.</w:t>
      </w:r>
    </w:p>
    <w:p>
      <w:pPr>
        <w:spacing w:after="0" w:line="1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Selected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dollars, except number of shares)</w:t>
      </w:r>
    </w:p>
    <w:p>
      <w:pPr>
        <w:spacing w:after="0" w:line="13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20" w:type="dxa"/>
            <w:vAlign w:val="bottom"/>
            <w:tcBorders>
              <w:bottom w:val="single" w:sz="8" w:color="CCEEFF"/>
            </w:tcBorders>
          </w:tcPr>
          <w:p>
            <w:pPr>
              <w:spacing w:after="0"/>
              <w:rPr>
                <w:sz w:val="21"/>
                <w:szCs w:val="21"/>
                <w:color w:val="auto"/>
              </w:rPr>
            </w:pPr>
          </w:p>
        </w:tc>
        <w:tc>
          <w:tcPr>
            <w:tcW w:w="36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31,361,976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29,024,178</w:t>
            </w:r>
          </w:p>
        </w:tc>
        <w:tc>
          <w:tcPr>
            <w:tcW w:w="100" w:type="dxa"/>
            <w:vAlign w:val="bottom"/>
            <w:shd w:val="clear" w:color="auto" w:fill="CCEEFF"/>
          </w:tcPr>
          <w:p>
            <w:pPr>
              <w:spacing w:after="0"/>
              <w:rPr>
                <w:sz w:val="18"/>
                <w:szCs w:val="18"/>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Less: Cost of revenues</w:t>
            </w:r>
          </w:p>
        </w:tc>
        <w:tc>
          <w:tcPr>
            <w:tcW w:w="4880" w:type="dxa"/>
            <w:vAlign w:val="bottom"/>
            <w:gridSpan w:val="3"/>
          </w:tcPr>
          <w:p>
            <w:pPr>
              <w:jc w:val="right"/>
              <w:ind w:right="80"/>
              <w:spacing w:after="0"/>
              <w:rPr>
                <w:sz w:val="20"/>
                <w:szCs w:val="20"/>
                <w:color w:val="auto"/>
              </w:rPr>
            </w:pPr>
            <w:r>
              <w:rPr>
                <w:rFonts w:ascii="Arial" w:cs="Arial" w:eastAsia="Arial" w:hAnsi="Arial"/>
                <w:sz w:val="18"/>
                <w:szCs w:val="18"/>
                <w:color w:val="auto"/>
              </w:rPr>
              <w:t>(18,669,812)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(17,463,416)</w:t>
            </w:r>
          </w:p>
        </w:tc>
      </w:tr>
      <w:tr>
        <w:trPr>
          <w:trHeight w:val="223"/>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34"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Subsidies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040"/>
        <w:spacing w:after="0" w:line="358" w:lineRule="auto"/>
        <w:rPr>
          <w:sz w:val="20"/>
          <w:szCs w:val="20"/>
          <w:color w:val="auto"/>
        </w:rPr>
      </w:pPr>
      <w:r>
        <w:rPr>
          <w:rFonts w:ascii="Arial" w:cs="Arial" w:eastAsia="Arial" w:hAnsi="Arial"/>
          <w:sz w:val="16"/>
          <w:szCs w:val="16"/>
          <w:color w:val="auto"/>
        </w:rPr>
        <w:t>Less: foreign currency translation (loss) gain attributable to Non-controlling interest Other comprehensive loss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 shareholders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1,206,493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413,016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4,232,788</w:t>
            </w: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5,579,058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5,647,790</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4,955,037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11,087,071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10,947,111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1,605,093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613,651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508,187</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1,446,408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(10,469)</w:t>
            </w:r>
          </w:p>
        </w:tc>
        <w:tc>
          <w:tcPr>
            <w:tcW w:w="2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(5,935)</w:t>
            </w:r>
          </w:p>
        </w:tc>
      </w:tr>
      <w:tr>
        <w:trPr>
          <w:trHeight w:val="27"/>
        </w:trPr>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0"/>
        </w:trPr>
        <w:tc>
          <w:tcPr>
            <w:tcW w:w="22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2,102,811</w:t>
            </w: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2,054,124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(118,546)</w:t>
            </w: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269,153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2,221,357</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1,784,971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173,912</w:t>
            </w:r>
          </w:p>
        </w:tc>
        <w:tc>
          <w:tcPr>
            <w:tcW w:w="2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(41,141)</w:t>
            </w:r>
          </w:p>
        </w:tc>
      </w:tr>
      <w:tr>
        <w:trPr>
          <w:trHeight w:val="27"/>
        </w:trPr>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2,047,445</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1,826,112</w:t>
            </w:r>
          </w:p>
        </w:tc>
        <w:tc>
          <w:tcPr>
            <w:tcW w:w="20" w:type="dxa"/>
            <w:vAlign w:val="bottom"/>
          </w:tcPr>
          <w:p>
            <w:pPr>
              <w:spacing w:after="0"/>
              <w:rPr>
                <w:sz w:val="21"/>
                <w:szCs w:val="21"/>
                <w:color w:val="auto"/>
              </w:rPr>
            </w:pPr>
          </w:p>
        </w:tc>
      </w:tr>
      <w:tr>
        <w:trPr>
          <w:trHeight w:val="21"/>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6"/>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(93,177)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(387,100)</w:t>
            </w:r>
          </w:p>
        </w:tc>
      </w:tr>
      <w:tr>
        <w:trPr>
          <w:trHeight w:val="251"/>
        </w:trPr>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(1,471)</w:t>
            </w:r>
          </w:p>
        </w:tc>
      </w:tr>
      <w:tr>
        <w:trPr>
          <w:trHeight w:val="250"/>
        </w:trPr>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(94,909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(385,629</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9"/>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1,952,536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1,440,483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2,128,180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1,397,871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78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1940" w:firstLine="1283"/>
        <w:spacing w:after="0" w:line="453" w:lineRule="auto"/>
        <w:tabs>
          <w:tab w:leader="none" w:pos="20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shares and per share data are presented on a retroactive basis to reflect the nominal share issuance. The following table presents our summary consolidated balance sheet data as of June 30, 2017 and 2016.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ind w:left="50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6180" w:type="dxa"/>
            <w:vAlign w:val="bottom"/>
            <w:tcBorders>
              <w:bottom w:val="single" w:sz="8" w:color="CCEEFF"/>
            </w:tcBorders>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Total Current Assets</w:t>
            </w:r>
          </w:p>
        </w:tc>
        <w:tc>
          <w:tcPr>
            <w:tcW w:w="2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12,325,296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9,910,841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13,521,923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10,471,529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Total Liabilities</w:t>
            </w:r>
          </w:p>
        </w:tc>
        <w:tc>
          <w:tcPr>
            <w:tcW w:w="2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8,210,625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6,264,005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2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4,834,188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4,203,490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477,110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8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5,311,298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4,207,524</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13,521,923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10,471,529</w:t>
            </w:r>
          </w:p>
        </w:tc>
      </w:tr>
    </w:tbl>
    <w:p>
      <w:pPr>
        <w:spacing w:after="0" w:line="180"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capitalization as of June 30, 2017:</w:t>
      </w:r>
    </w:p>
    <w:p>
      <w:pPr>
        <w:spacing w:after="0" w:line="225"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right="280" w:firstLine="656"/>
        <w:spacing w:after="0" w:line="264" w:lineRule="auto"/>
        <w:tabs>
          <w:tab w:leader="none" w:pos="10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 pro forma basis to give effect to the sale of [_] common shares by us in this offering at the assumed initial public offering price of $[_] per share, the midpoint of the range set forth on the cover page of this prospectus, after deducting the estimated underwriting commissions and estimated offering expenses and assuming that the underwriters do not exercise their over-allotment option.</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You should read this table in conjunction with our financial statements and related notes appearing elsewhere in this prospectus and “Use of Proceeds” and “Description of Share Capital.” You should read this table in conjunction with our financial statements and related notes appearing elsewhere in this prospectus and “Use of Proceeds” and “Description of Share Capital.”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4760" w:type="dxa"/>
            <w:vAlign w:val="bottom"/>
            <w:gridSpan w:val="2"/>
          </w:tcPr>
          <w:p>
            <w:pPr>
              <w:jc w:val="right"/>
              <w:ind w:right="2290"/>
              <w:spacing w:after="0"/>
              <w:rPr>
                <w:sz w:val="20"/>
                <w:szCs w:val="20"/>
                <w:color w:val="auto"/>
              </w:rPr>
            </w:pPr>
            <w:r>
              <w:rPr>
                <w:rFonts w:ascii="Arial" w:cs="Arial" w:eastAsia="Arial" w:hAnsi="Arial"/>
                <w:sz w:val="18"/>
                <w:szCs w:val="18"/>
                <w:b w:val="1"/>
                <w:bCs w:val="1"/>
                <w:color w:val="auto"/>
              </w:rPr>
              <w:t>As of June 30, 2017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0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 Forma</w:t>
            </w:r>
          </w:p>
        </w:tc>
      </w:tr>
      <w:tr>
        <w:trPr>
          <w:trHeight w:val="241"/>
        </w:trPr>
        <w:tc>
          <w:tcPr>
            <w:tcW w:w="40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As Reported</w:t>
            </w:r>
          </w:p>
        </w:tc>
        <w:tc>
          <w:tcPr>
            <w:tcW w:w="15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Adjusted for IPO</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b w:val="1"/>
                <w:bCs w:val="1"/>
                <w:color w:val="auto"/>
              </w:rPr>
              <w:t>Common shares</w:t>
            </w:r>
          </w:p>
        </w:tc>
        <w:tc>
          <w:tcPr>
            <w:tcW w:w="45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Shares</w:t>
            </w: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11,290,000</w:t>
            </w: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Par Value Amount</w:t>
            </w:r>
          </w:p>
        </w:tc>
        <w:tc>
          <w:tcPr>
            <w:tcW w:w="4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0.0001</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7,120,943</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4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680,671</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Retained Earnings</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(2,521,285)</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4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(447,270)</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4,834,188</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you invest in our shares, your interest will be diluted to the extent of the difference between the initial public offering price per common share and the pro forma net tangible book value per common share after the offering. Our pro forma net tangible book value as of [_] was [_], or $[_] per share. Our pro forma net tangible book value per share set forth below represents our total tangible assets less total liabilities, divided by the number of shares of our share stock outstanding.</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Dilution results from the fact that the per common share offering price is substantially in excess of the book value per common share attributable to the existing shareholders for our presently outstanding common shares. After giving effect to our issuance and sale of [_] shares in this offering at an assumed initial public offering price of $[_] per share, after deducting the estimated underwriting discounts and offering expenses payable by us, the pro forma as adjusted net tangible book value as of [_] would have been [_], or $[_] per share. This represents an immediate increase in net tangible book value to existing shareholders of $[_] per share. The public offering price per share will significantly exceed the net tangible book value per share. Accordingly, new investors who purchase shares in this offering will suffer an immediate dilution of their investment of $[_] per share. The following table illustrates this per share dilution to the new investors purchasing shares in this offering: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7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Offering</w:t>
            </w:r>
            <w:r>
              <w:rPr>
                <w:rFonts w:ascii="Arial" w:cs="Arial" w:eastAsia="Arial" w:hAnsi="Arial"/>
                <w:sz w:val="30"/>
                <w:szCs w:val="30"/>
                <w:b w:val="1"/>
                <w:bCs w:val="1"/>
                <w:color w:val="auto"/>
                <w:vertAlign w:val="superscript"/>
              </w:rPr>
              <w:t>(1)</w:t>
            </w:r>
          </w:p>
        </w:tc>
      </w:tr>
      <w:tr>
        <w:trPr>
          <w:trHeight w:val="216"/>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offering price per common share</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tangible book value per common share as of</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Increase per common share attributable to this offering</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Pro forma net tangible book value per common share after the offering</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Dilution per common share to new investors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 $1.00 increase (decrease) in the assumed public offering price of $[●] per share would increase (decrease) the pro forma net tangible book value by $[●] million, the pro forma net tangible book value per share after this offering by $[●] per share and the dilution in pro forma net tangible book value per share to investors in this offering by $[●] per share, assuming that the number of shares offered by us, as set forth on the cover page of this prospectus, remains the same and after deducting the estimated underwriting discount and offering expenses payable by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POST-OFFERING OWNERSHIP</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charts illustrate our pro forma proportionate ownership, upon completion of this offering by present shareholders and investors in this offering, compared to the relative amounts paid by each. The charts reflect payment by present shareholders as of the date the consideration was received and by investors in this offering at the assumed offering price without deduction of commissions or expenses. The charts further assume no changes in net tangible book value other than those resulting from the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500" w:type="dxa"/>
            <w:vAlign w:val="bottom"/>
            <w:gridSpan w:val="3"/>
          </w:tcPr>
          <w:p>
            <w:pPr>
              <w:ind w:left="560"/>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20"/>
                <w:szCs w:val="20"/>
                <w:color w:val="auto"/>
              </w:rPr>
            </w:pPr>
          </w:p>
        </w:tc>
        <w:tc>
          <w:tcPr>
            <w:tcW w:w="2480" w:type="dxa"/>
            <w:vAlign w:val="bottom"/>
            <w:gridSpan w:val="3"/>
          </w:tcPr>
          <w:p>
            <w:pPr>
              <w:ind w:left="480"/>
              <w:spacing w:after="0"/>
              <w:rPr>
                <w:sz w:val="20"/>
                <w:szCs w:val="20"/>
                <w:color w:val="auto"/>
              </w:rPr>
            </w:pPr>
            <w:r>
              <w:rPr>
                <w:rFonts w:ascii="Arial" w:cs="Arial" w:eastAsia="Arial" w:hAnsi="Arial"/>
                <w:sz w:val="18"/>
                <w:szCs w:val="18"/>
                <w:b w:val="1"/>
                <w:bCs w:val="1"/>
                <w:color w:val="auto"/>
              </w:rPr>
              <w:t>Total Consideration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Average Price</w:t>
            </w:r>
          </w:p>
        </w:tc>
      </w:tr>
      <w:tr>
        <w:trPr>
          <w:trHeight w:val="237"/>
        </w:trPr>
        <w:tc>
          <w:tcPr>
            <w:tcW w:w="4660" w:type="dxa"/>
            <w:vAlign w:val="bottom"/>
          </w:tcPr>
          <w:p>
            <w:pPr>
              <w:spacing w:after="0"/>
              <w:rPr>
                <w:sz w:val="20"/>
                <w:szCs w:val="20"/>
                <w:color w:val="auto"/>
              </w:rPr>
            </w:pPr>
          </w:p>
        </w:tc>
        <w:tc>
          <w:tcPr>
            <w:tcW w:w="13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 (#)</w:t>
            </w:r>
          </w:p>
        </w:tc>
        <w:tc>
          <w:tcPr>
            <w:tcW w:w="11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w:t>
            </w: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Per Share ($)</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114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gridSpan w:val="2"/>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gridSpan w:val="2"/>
            <w:shd w:val="clear" w:color="auto" w:fill="CCEEFF"/>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what happens when over-allotment option exercised: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500" w:type="dxa"/>
            <w:vAlign w:val="bottom"/>
            <w:gridSpan w:val="3"/>
          </w:tcPr>
          <w:p>
            <w:pPr>
              <w:ind w:left="560"/>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20"/>
                <w:szCs w:val="20"/>
                <w:color w:val="auto"/>
              </w:rPr>
            </w:pPr>
          </w:p>
        </w:tc>
        <w:tc>
          <w:tcPr>
            <w:tcW w:w="2480" w:type="dxa"/>
            <w:vAlign w:val="bottom"/>
            <w:gridSpan w:val="3"/>
          </w:tcPr>
          <w:p>
            <w:pPr>
              <w:ind w:left="480"/>
              <w:spacing w:after="0"/>
              <w:rPr>
                <w:sz w:val="20"/>
                <w:szCs w:val="20"/>
                <w:color w:val="auto"/>
              </w:rPr>
            </w:pPr>
            <w:r>
              <w:rPr>
                <w:rFonts w:ascii="Arial" w:cs="Arial" w:eastAsia="Arial" w:hAnsi="Arial"/>
                <w:sz w:val="18"/>
                <w:szCs w:val="18"/>
                <w:b w:val="1"/>
                <w:bCs w:val="1"/>
                <w:color w:val="auto"/>
              </w:rPr>
              <w:t>Total Consideration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Average Price</w:t>
            </w:r>
          </w:p>
        </w:tc>
      </w:tr>
      <w:tr>
        <w:trPr>
          <w:trHeight w:val="237"/>
        </w:trPr>
        <w:tc>
          <w:tcPr>
            <w:tcW w:w="4660" w:type="dxa"/>
            <w:vAlign w:val="bottom"/>
          </w:tcPr>
          <w:p>
            <w:pPr>
              <w:spacing w:after="0"/>
              <w:rPr>
                <w:sz w:val="20"/>
                <w:szCs w:val="20"/>
                <w:color w:val="auto"/>
              </w:rPr>
            </w:pPr>
          </w:p>
        </w:tc>
        <w:tc>
          <w:tcPr>
            <w:tcW w:w="13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 (#)</w:t>
            </w:r>
          </w:p>
        </w:tc>
        <w:tc>
          <w:tcPr>
            <w:tcW w:w="11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w:t>
            </w: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Per Share ($)</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114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gridSpan w:val="2"/>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0" w:type="dxa"/>
            <w:vAlign w:val="bottom"/>
            <w:gridSpan w:val="2"/>
            <w:shd w:val="clear" w:color="auto" w:fill="CCEEFF"/>
          </w:tcPr>
          <w:p>
            <w:pPr>
              <w:jc w:val="right"/>
              <w:ind w:right="97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underwriters’ over-allotment option of [_] shares is exercised in full, the number of shares held by existing stockholders will be reduced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 of the total number of shares to be outstanding after this offering; and the number of shares held by the new investors will be increased to [_] shares,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 of the total number of shares outstanding after this offering.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other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and President, together with Mr. Raymond Ming Hui Lin, the Company’s Chief Executive Officer and Director are the controlling shareholders of the Company (the “Controlling Shareholders”).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71"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(“Huanyu”). The Company subscribed 30% of equity interest in Huanyu for $0.4 million. The Company planned to complete the capital injection of $0.4 million by the end of 2017. On October 17, 2017, the Company invested approximately $0.07 million in JQ for its 55% equity interest. JQ and its 100% owned subsidiary – JL operates software consulting business in Taiwan.</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 ownership interests in CLPS Shanghai prior to the reorganization. Since the Company and its subsidiaries are effectively controlled by the same group of the shareholders before and after the reorganization, they are considered under common control. The above-mentioned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18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6"/>
          <w:szCs w:val="16"/>
          <w:i w:val="1"/>
          <w:iCs w:val="1"/>
          <w:color w:val="auto"/>
        </w:rPr>
        <w:t>Enterprise Software Certification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High-tech</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w:t>
      </w:r>
      <w:r>
        <w:rPr>
          <w:rFonts w:ascii="Arial" w:cs="Arial" w:eastAsia="Arial" w:hAnsi="Arial"/>
          <w:sz w:val="16"/>
          <w:szCs w:val="16"/>
          <w:color w:val="auto"/>
        </w:rPr>
        <w:t>,</w:t>
      </w:r>
      <w:r>
        <w:rPr>
          <w:rFonts w:ascii="Arial" w:cs="Arial" w:eastAsia="Arial" w:hAnsi="Arial"/>
          <w:sz w:val="16"/>
          <w:szCs w:val="16"/>
          <w:i w:val="1"/>
          <w:iCs w:val="1"/>
          <w:color w:val="auto"/>
        </w:rPr>
        <w:t xml:space="preserve"> Little Giant Company for Science and Technology </w:t>
      </w:r>
      <w:r>
        <w:rPr>
          <w:rFonts w:ascii="Arial" w:cs="Arial" w:eastAsia="Arial" w:hAnsi="Arial"/>
          <w:sz w:val="16"/>
          <w:szCs w:val="16"/>
          <w:color w:val="auto"/>
        </w:rPr>
        <w:t>and</w:t>
      </w:r>
      <w:r>
        <w:rPr>
          <w:rFonts w:ascii="Arial" w:cs="Arial" w:eastAsia="Arial" w:hAnsi="Arial"/>
          <w:sz w:val="16"/>
          <w:szCs w:val="16"/>
          <w:i w:val="1"/>
          <w:iCs w:val="1"/>
          <w:color w:val="auto"/>
        </w:rPr>
        <w:t xml:space="preserve"> Professional Talent Development Training Camp</w:t>
      </w:r>
      <w:r>
        <w:rPr>
          <w:rFonts w:ascii="Arial" w:cs="Arial" w:eastAsia="Arial" w:hAnsi="Arial"/>
          <w:sz w:val="16"/>
          <w:szCs w:val="16"/>
          <w:color w:val="auto"/>
        </w:rPr>
        <w:t>. In addition, the Company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as one of the recipients of </w:t>
      </w:r>
      <w:r>
        <w:rPr>
          <w:rFonts w:ascii="Arial" w:cs="Arial" w:eastAsia="Arial" w:hAnsi="Arial"/>
          <w:sz w:val="16"/>
          <w:szCs w:val="16"/>
          <w:i w:val="1"/>
          <w:iCs w:val="1"/>
          <w:color w:val="auto"/>
        </w:rPr>
        <w:t>2017 IDC China Top 25 FinTech Pioneers</w:t>
      </w:r>
      <w:r>
        <w:rPr>
          <w:rFonts w:ascii="Arial" w:cs="Arial" w:eastAsia="Arial" w:hAnsi="Arial"/>
          <w:sz w:val="16"/>
          <w:szCs w:val="16"/>
          <w:color w:val="auto"/>
        </w:rPr>
        <w:t xml:space="preserve"> during the award ceremony spearheaded by IDC on August 25, 2017.</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operations are primarily based in China, where we derive a substantial portion of our revenues. For the years ended June 30, 2017 and 2016, our revenues were $31.4 million and $29.0 million, respectively. Revenue generated outside of China was approximately $0.5 million and Nil for fiscal 2017 and 2016, respectively. In fiscal 2017 and 2016, we had a net income of $2.2 million and $1.8 million, respectively. Our total assets as of June 30, 2017 were $13.5 million of which cash and cash equivalent amounted to $4.8 million. Our total liabilities as of June 30, 2017 were $8.2 million.</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5" w:lineRule="exact"/>
        <w:rPr>
          <w:sz w:val="20"/>
          <w:szCs w:val="20"/>
          <w:color w:val="auto"/>
        </w:rPr>
      </w:pPr>
    </w:p>
    <w:p>
      <w:pPr>
        <w:ind w:right="40" w:firstLine="656"/>
        <w:spacing w:after="0" w:line="271" w:lineRule="auto"/>
        <w:tabs>
          <w:tab w:leader="none" w:pos="1162"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also increases. Therefore, our ability to obtain new clients, as well as our ability to maintain and increase business from our existing clients, will have a significant effect on our results of operations and financial condition. During fiscal 2017, our revenue derived from our IT consulting services increased by 4.0% or $1.1 million from fiscal 2016, all attributable to revenue growth from our new clients. IT consulting service revenue from new clients amounted to approximately $2.5 million in fiscal 2017, offset with a reduction of revenue from our existing clients. Our revenues derived from our customized IT solution service significantly increased by 99.1% or $0.9 million from fiscal 2016. The increase in revenue attributable to our new clients was approximately $0.6 million and the rest of growth was attributable to revenue from our existing clients.</w:t>
      </w:r>
    </w:p>
    <w:p>
      <w:pPr>
        <w:spacing w:after="0" w:line="178" w:lineRule="exact"/>
        <w:rPr>
          <w:rFonts w:ascii="Arial" w:cs="Arial" w:eastAsia="Arial" w:hAnsi="Arial"/>
          <w:sz w:val="17"/>
          <w:szCs w:val="17"/>
          <w:color w:val="auto"/>
        </w:rPr>
      </w:pPr>
    </w:p>
    <w:p>
      <w:pPr>
        <w:ind w:right="60" w:firstLine="656"/>
        <w:spacing w:after="0" w:line="257"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expand our portfolio of service offerings. We intend to increase our revenues by continuing to expand our service offerings and providing quality service to our existing customers and to attract new customers. Through research and development, targeted hiring and strategic acquisitions, we have proactively invested in broadening our existing service lines, including those for serving our specific industry verticals. As part of our strategy, we will continue to expand our service offerings to provide customized IT solutions to our clients. Our revenue derived from our customized IT solution service significantly increased by 99.1% or $0.9 million from fiscal 2016.</w:t>
      </w:r>
    </w:p>
    <w:p>
      <w:pPr>
        <w:spacing w:after="0" w:line="188" w:lineRule="exact"/>
        <w:rPr>
          <w:rFonts w:ascii="Arial" w:cs="Arial" w:eastAsia="Arial" w:hAnsi="Arial"/>
          <w:sz w:val="18"/>
          <w:szCs w:val="18"/>
          <w:color w:val="auto"/>
        </w:rPr>
      </w:pPr>
    </w:p>
    <w:p>
      <w:pPr>
        <w:ind w:right="20" w:firstLine="656"/>
        <w:spacing w:after="0" w:line="264"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use the following key operating metrics to oversee and manage the Company’s business: (i) developing new business, (ii) focusing on the TCP/TDP training programs to provide highly trained and qualified employees to the clients; and (iii) retaining employees to continue to meet client ever-changing needs.</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and leveraging costs and drive margins to produce profitability and return on investment for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November 9, 2016, CLPS Shanghai acquired 60% of Judge (Shanghai) Co., Ltd (“Judge China”) and its 70% owned subsidiary Judge (Shanghai) Human Resource Co., Ltd (“Judge HR”) from Judge Company Asia Limited with the final purchase price of $480,061 (RMB 3.25 million). The Company funded the acquisition with cash and a loan payable of $128,928 (RMB 0.9 million), of which $103,255 was subsequently offset with the company’s receivables from Judge Asia. The Company believes that the acquisition will allow it to better manage opportunities and capitalize on the growth potential of the human resource related industries. The transaction was accounted for as a business combination using the purchase method of accounting. The purchase price allocation of the transaction was determined by the Company with the assistance of an independent appraisal firm based on the estimated fair value</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assets acquired and liabilities assumed as of the acquisition date. The Company recognized goodwill of $195,080 from this acquisition. The goodwill is comprised of the assembled work force and the expected but unidentifiable business growth that the Company expects to realize due to the synergies related to the acquisition.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2017 and 2016</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summarizes the results of our operations for the years ended June 30, 2017 and 2016, respectively, and provides information regarding the dollar and percentage increase or (decrease) during such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4"/>
          </w:tcPr>
          <w:p>
            <w:pPr>
              <w:ind w:left="80"/>
              <w:spacing w:after="0"/>
              <w:rPr>
                <w:sz w:val="20"/>
                <w:szCs w:val="20"/>
                <w:color w:val="auto"/>
              </w:rPr>
            </w:pPr>
            <w:r>
              <w:rPr>
                <w:rFonts w:ascii="Arial" w:cs="Arial" w:eastAsia="Arial" w:hAnsi="Arial"/>
                <w:sz w:val="18"/>
                <w:szCs w:val="18"/>
                <w:b w:val="1"/>
                <w:bCs w:val="1"/>
                <w:color w:val="auto"/>
              </w:rPr>
              <w:t>Year ended June 30, 2017</w:t>
            </w:r>
          </w:p>
        </w:tc>
        <w:tc>
          <w:tcPr>
            <w:tcW w:w="160" w:type="dxa"/>
            <w:vAlign w:val="bottom"/>
          </w:tcPr>
          <w:p>
            <w:pPr>
              <w:spacing w:after="0"/>
              <w:rPr>
                <w:sz w:val="20"/>
                <w:szCs w:val="20"/>
                <w:color w:val="auto"/>
              </w:rPr>
            </w:pPr>
          </w:p>
        </w:tc>
        <w:tc>
          <w:tcPr>
            <w:tcW w:w="2580" w:type="dxa"/>
            <w:vAlign w:val="bottom"/>
            <w:gridSpan w:val="4"/>
          </w:tcPr>
          <w:p>
            <w:pPr>
              <w:ind w:left="100"/>
              <w:spacing w:after="0"/>
              <w:rPr>
                <w:sz w:val="20"/>
                <w:szCs w:val="20"/>
                <w:color w:val="auto"/>
              </w:rPr>
            </w:pPr>
            <w:r>
              <w:rPr>
                <w:rFonts w:ascii="Arial" w:cs="Arial" w:eastAsia="Arial" w:hAnsi="Arial"/>
                <w:sz w:val="18"/>
                <w:szCs w:val="18"/>
                <w:b w:val="1"/>
                <w:bCs w:val="1"/>
                <w:color w:val="auto"/>
              </w:rPr>
              <w:t>Year ended June 30, 2016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4"/>
              </w:rPr>
              <w:t>Amount</w:t>
            </w: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Sales</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Sales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31,361,976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29,024,178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2,337,798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18,669,812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17,463,416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1,206,396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1,131,402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1,206,493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413,016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793,477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w w:val="96"/>
              </w:rPr>
              <w:t>Research and development expense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4,232,788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5,579,058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(1,346,270)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General and administrative expenses</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5,647,790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4,955,037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692,753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11,087,071</w:t>
            </w:r>
          </w:p>
        </w:tc>
        <w:tc>
          <w:tcPr>
            <w:tcW w:w="2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gridSpan w:val="2"/>
          </w:tcPr>
          <w:p>
            <w:pPr>
              <w:jc w:val="right"/>
              <w:ind w:right="180"/>
              <w:spacing w:after="0" w:line="203" w:lineRule="exact"/>
              <w:rPr>
                <w:sz w:val="20"/>
                <w:szCs w:val="20"/>
                <w:color w:val="auto"/>
              </w:rPr>
            </w:pPr>
            <w:r>
              <w:rPr>
                <w:rFonts w:ascii="Arial" w:cs="Arial" w:eastAsia="Arial" w:hAnsi="Arial"/>
                <w:sz w:val="18"/>
                <w:szCs w:val="18"/>
                <w:color w:val="auto"/>
              </w:rPr>
              <w:t>35.4%</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10,947,111</w:t>
            </w:r>
          </w:p>
        </w:tc>
        <w:tc>
          <w:tcPr>
            <w:tcW w:w="2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37.7%</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139,960</w:t>
            </w:r>
          </w:p>
        </w:tc>
        <w:tc>
          <w:tcPr>
            <w:tcW w:w="200" w:type="dxa"/>
            <w:vAlign w:val="bottom"/>
            <w:tcBorders>
              <w:top w:val="single" w:sz="8" w:color="CCEEFF"/>
              <w:bottom w:val="single" w:sz="8" w:color="CCEEFF"/>
            </w:tcBorders>
          </w:tcPr>
          <w:p>
            <w:pPr>
              <w:spacing w:after="0"/>
              <w:rPr>
                <w:sz w:val="18"/>
                <w:szCs w:val="18"/>
                <w:color w:val="auto"/>
              </w:rPr>
            </w:pPr>
          </w:p>
        </w:tc>
        <w:tc>
          <w:tcPr>
            <w:tcW w:w="136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1,605,093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613,651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991,442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Subsidies and other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508,187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1,446,408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(938,221)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(10,469)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(5,935)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(4,534)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2,102,811</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2,054,124</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48,687</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(118,546)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269,153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(387,699)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vMerge w:val="continue"/>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2,221,357</w:t>
            </w: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1,784,971</w:t>
            </w:r>
          </w:p>
        </w:tc>
        <w:tc>
          <w:tcPr>
            <w:tcW w:w="14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436,386</w:t>
            </w:r>
          </w:p>
        </w:tc>
        <w:tc>
          <w:tcPr>
            <w:tcW w:w="13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5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For fiscal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8"/>
                <w:szCs w:val="18"/>
                <w:b w:val="1"/>
                <w:bCs w:val="1"/>
                <w:color w:val="auto"/>
                <w:w w:val="89"/>
              </w:rPr>
              <w:t>For the Year ended June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5"/>
              </w:rPr>
              <w:t>Revenue</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8"/>
              </w:rPr>
              <w:t>Revenue</w:t>
            </w: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29,146,470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28,015,173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1,131,297</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1,846,423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927,185</w:t>
            </w:r>
          </w:p>
        </w:tc>
        <w:tc>
          <w:tcPr>
            <w:tcW w:w="14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919,238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287,263</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CCEEFF"/>
            </w:tcBorders>
            <w:gridSpan w:val="3"/>
            <w:vMerge w:val="restart"/>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31,361,976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29,024,178</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2,337,798</w:t>
            </w: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total revenues increased by approximately $2.3 million, or 8.1%, to approximately $31.4 million for the fiscal year ended June 30, 2017 from approximately $29.0 million for the fiscal year ended June 30, 2016. The overall growth in our revenues reflected an increase in revenues from both of our IT consulting service and customized IT solution service.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For the year ended June 30, 2017, revenue derived from our IT consulting services increased by 4.0% to $29.1 million from $28.0 million in fiscal 2016, primarily reflecting the increasing demands for our IT consulting service from banks and other financial institutions. For fiscal 2017 and 2016, 54.0% and 69.5% of our IT consulting service revenue were from international banks. In fiscal 2017,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For the year ended June 30, 2017, revenues derived from our customized IT solution service significantly increased by 99.1% to $1.8 million from $0.9 million in fiscal 2016. Historically, IT consulting services have contributed the substantial majority of our net revenues. In recent years, we started to develop customized IT solution service to small and medium enterprises (“SME”) in China. With the growing demand for our financial IT solution innovations and e-banking technology, our financial IT solutions service provides SMEs affordable integrated technologies that are reshaping our customers’ business and operating models. We plan to expand our financial IT solution service in China, which is driven by the increased adoption of big data, platform engineering for cloud solutions and an expanded range of services, such as artificial intelligence.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cost of revenues mainly consists of compensation benefit expenses for our IT professionals, travel expenses and material costs. Our cost of revenues increased by $1.2 million or 6.9% to approximately $18.7 million in fiscal 2017 from approximately $17.5 million in fiscal 2016, primarily as a result of increased headcount, expanded office facilities and increase of depreciation and amortization expenses to enable and match the growth of our business. As a percentage of revenues, our cost of revenues are consistently around 60% for both fiscal 2017 and 2016. Our total number of employees grew from 1,055 employees as of June 30, 2016 to 1,242 employees as of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gross profit increased by $1.1 million, or 9.8%, to approximately $12.7 million in fiscal 2017 from approximately $11.6 million in fiscal 2016. As a percentage of revenues, our gross margin slightly increased from 39.8% in fiscal 2016 to 40.5% in fiscal 2017. The higher gross profit margin in fiscal 2017 was primarily attributable to the increase in our billing rates of both IT consulting services and customized IT solution services. As our IT consulting services scale and mature, we are able to generate higher gross margins. Also, customized IT solution services contribute favorably to our client retention and understanding of our clients’ businesses, and provide opportunities to cross-sell our other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Selling and marketing expenses increased by $0.8 million or 192.1% from $0.4 million in fiscal 2016 to $1.2 million in fiscal 2017. The increase was primarily attributable to our expansion of the pre-sales and marketing teams in Shanghai and Dalian, China to support our operations. Accordingly, as a percentage of sales, our selling expenses were 3.8% of revenues in fiscal 2017 as compared to 1.4% in fiscal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R&amp;D expenses primarily consisted of compensation and benefit expenses relating to our research and development personnel as well as office overhead and other expenses relating to our R&amp;D activities. Our R&amp;D expenses decreased by $1.4 million from $5.6 million in fiscal 2016 to $4.2 million in fiscal 2017, representing 13.5% and 19.2% of our total revenues for fiscal 2017 and 2016, respectively. The increased R&amp;D expense in fiscal 2016 is attributable to the launch of several research projects related to cloud computing and mobile internet application in fiscal 2016. Upon completion of these projects in fiscal 2017, the related IT developers were transferred to our production department. As a result, the related compensation for these individuals was included as a cost of revenue in fiscal 2017. We expect to increase our investment in research and development to enhance our industry knowledge, improve our competitiveness and enable us to identify attractive market opportunities for new and enhanced services and solutions.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General and administrative expenses increased by $0.6 million or 14.0% from approximately $5.0 million in fiscal 2016 to approximately $5.6 million in fiscal 2017, almost all of which is attributable to increasing headcount and related staff costs in Hong Kong and Australia, which approximated $0.6 million. We incorporated CLPS Technology (Australia) PTY LTD (“CLPS AU”) in November 2015 and CLPS Technology (Hong Kong) Co., Limited (“CLPS Hong Kong”) in January 2016 to provide service for our international client’s local operations. Additionally, we acquired Judge (Shanghai) Technology service Co., Ltd (“Judge China”) in November 2016; Judge China accounted for approximately $0.1 million increase in our general and administrative expense in fiscal 2017. As a percentage of revenues, general and administrative expenses were 18.0% and 17.1% of our revenue in fiscal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$0.4 million and $1.3 million for the years ended June 30, 2017 and 2016, respectively. The decrease in government subsidies in fiscal 2017 was because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income before income taxes was approximately $2.1 million in fiscal 2017, an increase of 2.4% compared with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provision for income taxes benefit was $0.1 million in fiscal 2017, compared to $0.3 million income tax expense in fiscal 2016. Our current income tax provision decrease by approximately $0.3 million. The decrease of the current income tax provision is mainly due to CLPS Dalian has qualified as Software Enterprise and is enjoying two-year income tax exemption starting from their first profitable year. The increase of $0.1 million in deferred tax benefit was mainly because we recognized deferred tax assets as a result of the net operating losses carry forward for some of our subsidiaries.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Our net income was approximately $2.2 million in fiscal 2017, an increase of $0.4 million from $1.8 million in fiscal 2016. The increase in net income was in line with increased revenues, gross profit and operating expenses for fiscal 2017 as compared to fiscal 2016 as mentioned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Foreign currency translation adjustments amounted to a loss of $0.1 million and $0.4 million for the years ended June 30, 2017 and 2016, respectively. The balance sheet amounts with the exception of equity as of June 30, 2017 were translated at 6.7793 RMB to 1.00 USD as compared to 6.6459 RMB to 1.00USD as of June 30, 2016. The equity accounts were stated at their historical rate. The average translation rates applied to the income statements accounts for the years ended June 30, 2017 and 2016 were 6.8087 RMB to 1.00 USD and 6.4405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June 30, 2017, we had cash and cash equivalents of approximately $4.8 million. Our current assets were approximately $12.3 million, and our current liabilities were approximately $8.2 million. Total shareholders’ equity as of June 30, 2017 was approximately $5.3 million. We believe that we will have sufficient working capital to operate our business for the next 12 months.</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2017, cash and cash equivalents of approximately $4.2 million, $0.1 million, $0.1 million and $0.4 million were held by the Company and its subsidiaries in mainland PRC, Singapore, Australia and Hong Kong,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For years ended June 30, 2017 and 2016, our operating cash flow was positive. We have historically funded our working capital needs primarily from operations, advance payments from customers and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summary of our cash flows for the periods indicated:</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Borders>
              <w:bottom w:val="single" w:sz="8" w:color="CCEEFF"/>
            </w:tcBorders>
          </w:tcPr>
          <w:p>
            <w:pPr>
              <w:spacing w:after="0"/>
              <w:rPr>
                <w:sz w:val="21"/>
                <w:szCs w:val="21"/>
                <w:color w:val="auto"/>
              </w:rPr>
            </w:pPr>
          </w:p>
        </w:tc>
        <w:tc>
          <w:tcPr>
            <w:tcW w:w="5640" w:type="dxa"/>
            <w:vAlign w:val="bottom"/>
            <w:tcBorders>
              <w:bottom w:val="single" w:sz="8" w:color="CCEEFF"/>
            </w:tcBorders>
          </w:tcPr>
          <w:p>
            <w:pPr>
              <w:spacing w:after="0"/>
              <w:rPr>
                <w:sz w:val="21"/>
                <w:szCs w:val="21"/>
                <w:color w:val="auto"/>
              </w:rPr>
            </w:pPr>
          </w:p>
        </w:tc>
        <w:tc>
          <w:tcPr>
            <w:tcW w:w="27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(374,348)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(832,752)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(378,837)</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Effect of exchange rate change</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(153,002)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(462,628)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3,481,312</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5"/>
              </w:rPr>
              <w:t>Cash</w:t>
            </w:r>
          </w:p>
        </w:tc>
        <w:tc>
          <w:tcPr>
            <w:tcW w:w="5640" w:type="dxa"/>
            <w:vAlign w:val="bottom"/>
          </w:tcPr>
          <w:p>
            <w:pPr>
              <w:ind w:left="40"/>
              <w:spacing w:after="0"/>
              <w:rPr>
                <w:sz w:val="20"/>
                <w:szCs w:val="20"/>
                <w:color w:val="auto"/>
              </w:rPr>
            </w:pPr>
            <w:r>
              <w:rPr>
                <w:rFonts w:ascii="Arial" w:cs="Arial" w:eastAsia="Arial" w:hAnsi="Arial"/>
                <w:sz w:val="18"/>
                <w:szCs w:val="18"/>
                <w:color w:val="auto"/>
              </w:rPr>
              <w:t>and cash equivalents, beginning of year</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5,277,196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1,795,884</w:t>
            </w:r>
          </w:p>
        </w:tc>
        <w:tc>
          <w:tcPr>
            <w:tcW w:w="0" w:type="dxa"/>
            <w:vAlign w:val="bottom"/>
          </w:tcPr>
          <w:p>
            <w:pPr>
              <w:spacing w:after="0"/>
              <w:rPr>
                <w:sz w:val="1"/>
                <w:szCs w:val="1"/>
                <w:color w:val="auto"/>
              </w:rPr>
            </w:pPr>
          </w:p>
        </w:tc>
      </w:tr>
      <w:tr>
        <w:trPr>
          <w:trHeight w:val="27"/>
        </w:trPr>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rPr>
              <w:t>Cash</w:t>
            </w:r>
          </w:p>
        </w:tc>
        <w:tc>
          <w:tcPr>
            <w:tcW w:w="56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and cash equivalents, end of year</w:t>
            </w:r>
          </w:p>
        </w:tc>
        <w:tc>
          <w:tcPr>
            <w:tcW w:w="2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vMerge w:val="continue"/>
            <w:shd w:val="clear" w:color="auto" w:fill="CCEEFF"/>
          </w:tcPr>
          <w:p>
            <w:pPr>
              <w:spacing w:after="0"/>
              <w:rPr>
                <w:sz w:val="21"/>
                <w:szCs w:val="21"/>
                <w:color w:val="auto"/>
              </w:rPr>
            </w:pPr>
          </w:p>
        </w:tc>
        <w:tc>
          <w:tcPr>
            <w:tcW w:w="5640" w:type="dxa"/>
            <w:vAlign w:val="bottom"/>
            <w:vMerge w:val="continue"/>
            <w:shd w:val="clear" w:color="auto" w:fill="CCEEFF"/>
          </w:tcPr>
          <w:p>
            <w:pPr>
              <w:spacing w:after="0"/>
              <w:rPr>
                <w:sz w:val="21"/>
                <w:szCs w:val="21"/>
                <w:color w:val="auto"/>
              </w:rPr>
            </w:pPr>
          </w:p>
        </w:tc>
        <w:tc>
          <w:tcPr>
            <w:tcW w:w="30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4,814,568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Net cash provided by operating activities was approximately $0.6 million in fiscal 2017, including net income of $2.2 million, adjusted for non-cash items of $8,975 and negative adjustments for changes in operating assets and liabilities of $1.6 million. The adjustments for changes in operating assets and liabilities mainly included an increase in accounts receivable of $2.4 million due to increased sales in fiscal 2017. During fiscal 2017, our revenue turnover in days was 65 days, slightly increased from 64 days in fiscal 2016. The adjustments for changes in operating assets and liabilities also included an increase in deferred costs of $0.2 million for project progress and an increase in prepaid income tax of $0.2 million, and offset with an increase in salaries and benefits payable of $0.9 million due to unpaid employee compensation and benefits and an increase in tax payable of $0.2 million due to increased revenue in fiscal 2017.</w:t>
      </w:r>
    </w:p>
    <w:p>
      <w:pPr>
        <w:sectPr>
          <w:pgSz w:w="11900" w:h="16838" w:orient="portrait"/>
          <w:cols w:equalWidth="0" w:num="1">
            <w:col w:w="11420"/>
          </w:cols>
          <w:pgMar w:left="240" w:top="226"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9" w:name="page50"/>
    <w:bookmarkEnd w:id="4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Net cash provided by operating activities for the year ended June 30, 2016 was approximately $4.5 million, which was primarily attributable to net income of approximately $1.8 million, adjusted for non-cash items for approximately $0.04 million and positive adjustments for changes in working capital of approximately $2.7 million. The adjustments for changes in working capital mainly included (i) decrease in accounts receivable of approximately $1.1 million due to an increase in sales collections in fiscal 2016, (ii) increase in salaries and benefits payable of $1.0 million due to unpaid employee compensation and benefits and (iii) decrease in prepayment of approximately $0.4 million due to utilization in our operation.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cash used in investing activities was approximately $0.1 million in fiscal 2017, primarily due to our acquisition of Judge China in fiscal 2017, to better manage opportunities and capitalize on the growth potential in the human resource related industry in China.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was approximately $0.4 million in fiscal 2016, primarily due to our purchases of office equipment and furniture.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Net cash used in financing activities was approximately $0.8 million in fiscal 2017. During fiscal 2017, we repaid related parties loans of approximately $0.1 million and paid $0.7 million of dividends to our existing shareholders.</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Net cash used in financing activities was approximately $0.4 million in fiscal 2016. In fiscal 2016, proceeds from our shareholder’s contributions amounted to $2.1 million, and collection of restricted cash of $2.5 million. We paid $5.3 million of dividends to our existing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made capital expenditures of $0.06 million and $0.3 million for the years ended June 30, 2017 and 2016, respectively. In these periods, our capital expenditures were mainly used for purchases of office equipment. The Company will continue to make capital expenditures to meet the expected growth of its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1.4% in 2016 and 2.0%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 amounted to $565,328 and $431,043 for the years ended June 30, 2017 and 2016, respectively. The following table sets forth our contractual obligations and commercial commitments as of June 30,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ind w:left="880"/>
              <w:spacing w:after="0"/>
              <w:rPr>
                <w:sz w:val="20"/>
                <w:szCs w:val="20"/>
                <w:color w:val="auto"/>
              </w:rPr>
            </w:pPr>
            <w:r>
              <w:rPr>
                <w:rFonts w:ascii="Arial" w:cs="Arial" w:eastAsia="Arial" w:hAnsi="Arial"/>
                <w:sz w:val="18"/>
                <w:szCs w:val="18"/>
                <w:b w:val="1"/>
                <w:bCs w:val="1"/>
                <w:color w:val="auto"/>
                <w:w w:val="92"/>
              </w:rPr>
              <w:t>Payment Due by Period</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1-3 Years</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w w:val="94"/>
              </w:rPr>
              <w:t>3-5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931,047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520,637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410,410</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340"/>
              <w:spacing w:after="0" w:line="203" w:lineRule="exact"/>
              <w:rPr>
                <w:sz w:val="20"/>
                <w:szCs w:val="20"/>
                <w:color w:val="auto"/>
              </w:rPr>
            </w:pPr>
            <w:r>
              <w:rPr>
                <w:rFonts w:ascii="Arial" w:cs="Arial" w:eastAsia="Arial" w:hAnsi="Arial"/>
                <w:sz w:val="18"/>
                <w:szCs w:val="18"/>
                <w:color w:val="auto"/>
                <w:w w:val="86"/>
              </w:rPr>
              <w:t>931,047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520,637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410,410</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Commitments and Arrangements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off-balance sheet arrangements for the years ended June 30, 2017 and 2016 that have or that in the opinion of management are likely to have, a current or future material effect on our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by the United States of America (“U.S. GAAP”), which requires us to make judgments, estimates and assumptions that affect our reported amount of assets, liabilities, revenue, costs and expenses, and any related disclosures. Although there was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provides a comprehensive range of IT services and solutions, the contracts for which are billed for primarily are on a time-and-expense basis, or fixed-price basis.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integration based on customers’ specific needs. These solutions require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of time ranging from three months to one year (“PCS period”) after the customized application is delivered. The type of service for PCS clause is generally not specified in the contract or stand-ready service on when-and-if-available basis.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the following service elements in negotiating a fixed-fee solution contract:</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Solution development service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PCS,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multiple-element arrangements that include application customized services and PCS as well as specific service components,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otherwise, BESP is used. Because the Company’s customized application differs substantially from that of competitors, it is difficult to obtain the reliable standalone competitive pricing necessary to establish TPE. VSOE of selling price for products and services is determined when a substantial majority of the selling prices fall within a reasonable range when sold separately.</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Revenue allocated to solution development service components is recognized using contract accounting in accordance with Accounting Standards Codification (“ASC”) 605-35. The revenue recognition for these contracts varies depending on the terms of the individual contracts, and may be recognized proportionally over the term of the contract or deferred until the end of the contract term and recognized when our obligations to the customer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as the best available indicator of the pattern and timing in which contract obligations are fulfilled. Pursuant to the contract terms, the Company has enforceable rights to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Differences between the timing of billings and the recognition of revenue based on various methods of accounting are recorded as deferred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1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Net 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 off against the allowance for doubtful accounts after management has determined that the likelihood of collection is not probable.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Unbilled accounts receivable included in accounts receivable represent revenue earned on contracts to be billed, in subsequent periods, as per the terms of the related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operations as an allocation of the total income or loss for the year between non-controlling interest holders and the shareholders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with definite lives</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Goodwill represents the excess of the consideration over the fair value of the net assets acquired at the date of acquisition. Goodwill is not amortized but rather tested for impairment at least annually at the reporting unit level by applying a fair value based test in accordance with accounting and disclosure requirements for goodwill and other indefinite lived intangible assets. This test is performed by management annually or more frequently if the Company believes impairment indicators are present. There was only one reporting unit (that also represented the operating segment) as of June 30, 2017. Goodwill was allocated to the one reporting unit as of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 There was no impairment of goodwill during the years ended June 30, 2017 and 2016, respectively.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Research and development incurred in the development of new software modules and products, either as part of the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and were included in other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All of the tax returns of the Company remain subject to examination by the tax authorities for five years from the date of filing through year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648"/>
        <w:spacing w:after="0" w:line="282"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We are planning to adopt Topic 606 in the first quarter of our fiscal 2019 using the retrospective transition method, and are continuing to evaluate the impact our pending adoption of Topic 606 will have on our unaudited condensed consolidated financial statements. The Company’s current revenue recognition policies are generally consistent with the new revenue recognition standards set forth in ASU 2014-</w:t>
      </w:r>
    </w:p>
    <w:p>
      <w:pPr>
        <w:spacing w:after="0" w:line="12" w:lineRule="exact"/>
        <w:rPr>
          <w:sz w:val="20"/>
          <w:szCs w:val="20"/>
          <w:color w:val="auto"/>
        </w:rPr>
      </w:pPr>
    </w:p>
    <w:p>
      <w:pPr>
        <w:ind w:right="420" w:firstLine="8"/>
        <w:spacing w:after="0" w:line="255" w:lineRule="auto"/>
        <w:tabs>
          <w:tab w:leader="none" w:pos="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adjustments to input measures are not expected to be pervasive to the majority of the Company’s contracts. While no significant impact is expected upon adoption of the new guidance, the Company will not be able to make that determination until the time of adoption based upon outstanding contracts at that time.</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The Company has not early adopted this update and it will become effective on July 1, 2019. The Company is currently evaluating the impact of this new standard on its consolidated financial statements and related disclosures.</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condensed consolidated financial statements.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condensed consolidated financial statements.</w:t>
      </w:r>
    </w:p>
    <w:p>
      <w:pPr>
        <w:spacing w:after="0" w:line="18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eleven delivery and or research and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CLPS Incorporation was incorporated under the laws of the Cayman Islands on May 11, 2017. Our share capital of the Company is US$10,000, which is divided into 100,000,000 common shares are authorized with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On December 23, 2005, CLPS Shanghai increased its registered capital to RMB1,000,000 (approximately US$123,671). Jingsu Pan and Xiaochun Deng respectively made full payment for their subscribed capital to RMB500,000 (approximately US$61,835) on December 21.</w:t>
      </w:r>
    </w:p>
    <w:p>
      <w:pPr>
        <w:spacing w:after="0" w:line="14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RMB¥ 500,000 (approximately US$61,835) for 50% shares of CLPS Shanghai. After this share transfer, Yan Pan and Xiaochun Deng respectively held 50% shares of CLPS Shanghai.</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On October 30, 2013, Xiao Feng Yang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Yan Pan to purchase all of Yan Pan’s shares in CLPS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Shanghai. Pursuant to the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Xiao Feng Yang paid RMB2,500,000 (approximately US$399,993) for 50% shares of CLPS Shanghai.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this share transfer, Xiao Feng Yang and Raymond Ming Hui Lin respectively held 50% shares of CLPS Shanghai.</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April 23, 2015, Raymond Ming Hui Lin paid RMB6,163,560 (approximately US$994,523)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27, 2015, Raymond Ming Hui Lin paid RMB42,377 (approximately US$6,615)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ectPr>
          <w:pgSz w:w="11900" w:h="16838" w:orient="portrait"/>
          <w:cols w:equalWidth="0" w:num="1">
            <w:col w:w="11420"/>
          </w:cols>
          <w:pgMar w:left="240" w:top="226"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7" w:name="page58"/>
    <w:bookmarkEnd w:id="5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this subscription, the shareholding structure of CLPS Shanghai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PLACE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REGISTRATION</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50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Shanghai Qinzhi Investment Partnership (LLP)</w:t>
            </w:r>
          </w:p>
        </w:tc>
        <w:tc>
          <w:tcPr>
            <w:tcW w:w="1500" w:type="dxa"/>
            <w:vAlign w:val="bottom"/>
            <w:gridSpan w:val="2"/>
          </w:tcPr>
          <w:p>
            <w:pPr>
              <w:spacing w:after="0"/>
              <w:rPr>
                <w:sz w:val="20"/>
                <w:szCs w:val="20"/>
                <w:color w:val="auto"/>
              </w:rPr>
            </w:pPr>
            <w:r>
              <w:rPr>
                <w:rFonts w:ascii="Arial" w:cs="Arial" w:eastAsia="Arial" w:hAnsi="Arial"/>
                <w:sz w:val="18"/>
                <w:szCs w:val="18"/>
                <w:color w:val="auto"/>
              </w:rPr>
              <w:t>PRC</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1,270,000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Qinshang Software Technology Counsel Partnership (LLP)</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33,870,000</w:t>
            </w:r>
          </w:p>
        </w:tc>
      </w:tr>
    </w:tbl>
    <w:p>
      <w:pPr>
        <w:spacing w:after="0" w:line="187"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In July 2017, three abovementioned limited partnerships transferred all of their equity interest in CLPS Shanghai to their individual partners according to the proportion of each partner’s capital contribution. Total 47 individuals became shareholders of CLPS Shanghai.</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In August 2017, Qiner entered into three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three non-Chinese individual shareholders of CLPS Shanghai, including Raymond Ming Hui Lin. The share transfer price was RMB1.00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89165" cy="3584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58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8"/>
          <w:szCs w:val="18"/>
          <w:i w:val="1"/>
          <w:iCs w:val="1"/>
          <w:color w:val="auto"/>
        </w:rPr>
        <w:t>Circular of the State Administration of Foreign Exchange on Issues concerning Foreign Exchange Administration over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Overseas Investment and Financing and Round-trip Investment by Domestic Residents via Special Purpose Vehicles </w:t>
      </w:r>
      <w:r>
        <w:rPr>
          <w:rFonts w:ascii="Arial" w:cs="Arial" w:eastAsia="Arial" w:hAnsi="Arial"/>
          <w:sz w:val="18"/>
          <w:szCs w:val="18"/>
          <w:color w:val="auto"/>
        </w:rPr>
        <w:t>(SAFE[2014]No.37). After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registrations, CLPS QC (WOFE) entered into 46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all 46 Chinese individual shareholders. The share purchase price was RMB 1.00 per share.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the date of this prospectus, CLPS Shanghai has four wholly-owned subsidiaries: CLPS Dalian, CLPS RC, CLPS AU and CLPS SG. Besides the four wholly-owned subsidiaries, CLPS Shanghai participated in the following investments:</w:t>
      </w:r>
    </w:p>
    <w:p>
      <w:pPr>
        <w:spacing w:after="0" w:line="16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70% of equity interest in CLPS Beijing,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Judge China </w:t>
      </w:r>
      <w:r>
        <w:rPr>
          <w:rFonts w:ascii="Arial" w:cs="Arial" w:eastAsia="Arial" w:hAnsi="Arial"/>
          <w:sz w:val="18"/>
          <w:szCs w:val="18"/>
          <w:color w:val="auto"/>
        </w:rPr>
        <w:t>— CLPS Shanghai holds a 60% of equity interest in Judge China,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Hong Kong </w:t>
      </w:r>
      <w:r>
        <w:rPr>
          <w:rFonts w:ascii="Arial" w:cs="Arial" w:eastAsia="Arial" w:hAnsi="Arial"/>
          <w:sz w:val="18"/>
          <w:szCs w:val="18"/>
          <w:color w:val="auto"/>
        </w:rPr>
        <w:t>— CLPS Shanghai holds 80% of equity interest in CLPS Hong Kong,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Huanyu </w:t>
      </w:r>
      <w:r>
        <w:rPr>
          <w:rFonts w:ascii="Arial" w:cs="Arial" w:eastAsia="Arial" w:hAnsi="Arial"/>
          <w:sz w:val="18"/>
          <w:szCs w:val="18"/>
          <w:color w:val="auto"/>
        </w:rPr>
        <w:t>— CLPS Shanghai holds 30% of equity interest in Huanyu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CLPS Dalian, CLPS RC and CLPS Beijing provide both consulting and solutions services; CLPS AU, CLPS SG, Judge China, CLPS Hong Kong, CLPS Shenzhen and CLPS Guangzhou only provide consulting services. CLPS Shanghai holds 30% of equity interest in Huanyu which was incorporated in September 2017 for the purposes of providing Internet technology services and products to clients. CLPS Shanghai, CLPS Dalian, CLPS RC, CLPS Beijing and Judge China all contribute material amounts of the Company’s total revenues.</w:t>
      </w:r>
    </w:p>
    <w:p>
      <w:pPr>
        <w:sectPr>
          <w:pgSz w:w="11900" w:h="16838" w:orient="portrait"/>
          <w:cols w:equalWidth="0" w:num="1">
            <w:col w:w="11420"/>
          </w:cols>
          <w:pgMar w:left="240" w:top="226" w:right="239" w:bottom="0" w:gutter="0" w:footer="0" w:header="0"/>
        </w:sectPr>
      </w:pPr>
    </w:p>
    <w:bookmarkStart w:id="58" w:name="page59"/>
    <w:bookmarkEnd w:id="58"/>
    <w:p>
      <w:pPr>
        <w:jc w:val="center"/>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China’s Banking Industry</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According to the annual report of the China Banking Regulatory Commission (CBRC) in 2016, by the end of 2016, China’s banking financial institutions had total assets of RMB 232.3 trillion (USD$34.3 trillion), an increase of RMB 33.0 trillion (USD$4.9 trillion), or 16.6%, when compared with the end of 2015, total liabilities equaled RMB 214.8 trillion (USD$31.7 trillion), an increase of RMB 30.7 trillion (USD$4.5 trillion), or 16.7% when compared with the end of 2015, total assets of banking financial institutions were RMB 27.6 trillion (USD$4.1 trillion) in 2003. Over the past 10 years, total assets of China’s banking financial institutions grew at a compound annual growth rate of nearly 20%. Notwithstanding the growth rates,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CBRC continued the policies to open China’s banking industry for entry by foreign competitors to promote healthy competition in the industry. As a result, foreign banks are now present in 69 cities of 27 provinces in China, with headquarters, branches, sub-branches and a complete service network with certain coverage and market depth, with more than 1000 outlets.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5" w:lineRule="exact"/>
        <w:rPr>
          <w:sz w:val="20"/>
          <w:szCs w:val="20"/>
          <w:color w:val="auto"/>
        </w:rPr>
      </w:pPr>
    </w:p>
    <w:p>
      <w:pPr>
        <w:jc w:val="both"/>
        <w:ind w:right="260" w:firstLine="648"/>
        <w:spacing w:after="0" w:line="257" w:lineRule="auto"/>
        <w:rPr>
          <w:sz w:val="20"/>
          <w:szCs w:val="20"/>
          <w:color w:val="auto"/>
        </w:rPr>
      </w:pPr>
      <w:r>
        <w:rPr>
          <w:rFonts w:ascii="Arial" w:cs="Arial" w:eastAsia="Arial" w:hAnsi="Arial"/>
          <w:sz w:val="18"/>
          <w:szCs w:val="18"/>
          <w:color w:val="auto"/>
        </w:rPr>
        <w:t>China’s software industry is a high-tech industry has developed and grown rapidly in recent years. According to PRC’s Ministry of Industry and Information Technology (MIIT) data, the software industry revenues reached RMB 4.9 trillion (USD$723 billion) in 2016 – more than tripling the 2010 revenues of RMB 1.3 trillion (USD$192 billion). During the 12th five-year period, the industry’s compound annual growth rate reached 24.3%. Revenue attributed to the software industry as a percentage of total GDP increased steadily from 2.16% in 2007 to 6.75% in 2016. The revenue of China’s software industry from 2007 to 2016 is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128905</wp:posOffset>
            </wp:positionV>
            <wp:extent cx="6003290" cy="38931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0329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Data Source: The Ministry of Industry and Information Technology, National Bureau of Statistics of China.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5" w:lineRule="exact"/>
        <w:rPr>
          <w:sz w:val="20"/>
          <w:szCs w:val="20"/>
          <w:color w:val="auto"/>
        </w:rPr>
      </w:pPr>
    </w:p>
    <w:p>
      <w:pPr>
        <w:ind w:firstLine="656"/>
        <w:spacing w:after="0" w:line="255"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The service-oriented focus </w:t>
      </w:r>
      <w:r>
        <w:rPr>
          <w:rFonts w:ascii="Arial" w:cs="Arial" w:eastAsia="Arial" w:hAnsi="Arial"/>
          <w:sz w:val="18"/>
          <w:szCs w:val="18"/>
          <w:color w:val="auto"/>
        </w:rPr>
        <w:t>– Over the past ten years, the software and IT industry in China has gradually become service-, network- and</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platform-oriented. During this period, the revenues from operation-related services, including online software operation services, platform operation services, infrastructure operation services and other IT services, increased by 16.1%; the revenues from e-commerce platform services, including online trading platform services, online transaction support services and other IT support services, increased by 17.7%; and the revenues from IT services, including IT consulting and design services, system integration, operation and maintenance services, data services, etc., increased by 16%. These growth rates are higher than the industry’s average growth rate.</w:t>
      </w:r>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60" w:name="page61"/>
    <w:bookmarkEnd w:id="6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56"/>
        <w:spacing w:after="0" w:line="255"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Development on regional level </w:t>
      </w:r>
      <w:r>
        <w:rPr>
          <w:rFonts w:ascii="Arial" w:cs="Arial" w:eastAsia="Arial" w:hAnsi="Arial"/>
          <w:sz w:val="18"/>
          <w:szCs w:val="18"/>
          <w:color w:val="auto"/>
        </w:rPr>
        <w:t>- The software industry has also tended to grow and expand on the regional, rather than national/centralized</w:t>
      </w:r>
      <w:r>
        <w:rPr>
          <w:rFonts w:ascii="Arial" w:cs="Arial" w:eastAsia="Arial" w:hAnsi="Arial"/>
          <w:sz w:val="18"/>
          <w:szCs w:val="18"/>
          <w:i w:val="1"/>
          <w:iCs w:val="1"/>
          <w:color w:val="auto"/>
        </w:rPr>
        <w:t xml:space="preserve"> </w:t>
      </w:r>
      <w:r>
        <w:rPr>
          <w:rFonts w:ascii="Arial" w:cs="Arial" w:eastAsia="Arial" w:hAnsi="Arial"/>
          <w:sz w:val="18"/>
          <w:szCs w:val="18"/>
          <w:color w:val="auto"/>
        </w:rPr>
        <w:t>level. According to the MIIT statistics, in 2016, China’s Eastern region’s software industry revenues were RMB 3.8 trillion (USD$561 billion), or approximately 78.6% of the national software business revenues, while the country’s Central region’s revenues were RMB 230.3 billion (USD$34.0 billion). In 2016, 15 sub-provincial central cities in China realized software business revenues of RMB 2.7 trillion (USD$398 billion), accounting for 55.3% of national software business revenues, with year-on-year growth rate of 15.5%, which was 0.6% higher than the national average level. There are 15 cities with software business revenue of more than RMB 10.0 billion (USD$1.5 billion).</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Financial Institutions/Banking IT services refer to the software or IT related services provided by professional IT service providers who use their own experience and technology to meet each bank’s individual needs in business development, strategic development and management efficiency. The market shares of China Banking IT Services Industry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Wind Terminal</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compared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China’s banking IT industry faces various challenges. In accordance with CRBC’s 2014 Guiding Opinions, China’s banking institutions are required to master core knowledge and key technologies of banking informatization by 2019. Beginning in 2015, each year banking financial institutions are required to increase the application rate of safe and controllable information technologies by 15%. The banking financial institutions are also required to set aside no less than 5% of the annual information budget to support their forward-looking, innovative and planning research on safe and controllable information systems, and help the organization to grasp the core IT knowledge and skills. In addition, as traditional banks combine their services with online banking, they require IT support from the front payment to background asset structure matching.</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With the participation of private banks, foreign banks, Internet banks and other non-traditional, non-state-owned banks, the competition in the banking industry has intensified and the banking IT service support is an important means for banks to enhance the user experience, differentiate themselves from the competition and save costs. In order to gain market share, new participants in the banking industry invest in what differentiates them from competition. Improved user experience, risk control and risk prevention, information upgrades, network infrastructure, and mobile terminal layout are complex projects, requiring significant capital investment. These factors contribute to the continuous growth of China’s banking IT investment, and promote the rapid development of China’s banking IT industry. IDC statistics suggested that the total IT investment of China’s banking industry reached RMB 83.1 billion (USD$12.3 billion) in 2015, increased by 11.9% when compared with RMB 74.3 billion (USD$11.0 billion) in 2014; in 2015, hardware investment accounted for 54.7% of the total investment; service investment accounted for 36.2%; and software investment accounted for 9.1% (data source: IDC). Large state-owned commercial banks accounted for the largest proportion of IT investment in 2015 (45.2%); the IT investment of city commercial banks and rural commercial banks, rural cooperative banks and other rural financial institutions accounted for 29.5% of the banking industry’s total IT investment; the IT investment of joint-stock commercial banks accounted for 21.1%, and the investment ratio of other banking financial institutions represented by foreign banks was 4.2% (data source: IDC).</w:t>
      </w:r>
    </w:p>
    <w:p>
      <w:pPr>
        <w:spacing w:after="0" w:line="180" w:lineRule="exact"/>
        <w:rPr>
          <w:sz w:val="20"/>
          <w:szCs w:val="20"/>
          <w:color w:val="auto"/>
        </w:rPr>
      </w:pPr>
    </w:p>
    <w:p>
      <w:pPr>
        <w:ind w:right="220" w:firstLine="630"/>
        <w:spacing w:after="0" w:line="277" w:lineRule="auto"/>
        <w:rPr>
          <w:sz w:val="20"/>
          <w:szCs w:val="20"/>
          <w:color w:val="auto"/>
        </w:rPr>
      </w:pPr>
      <w:r>
        <w:rPr>
          <w:rFonts w:ascii="Arial" w:cs="Arial" w:eastAsia="Arial" w:hAnsi="Arial"/>
          <w:sz w:val="18"/>
          <w:szCs w:val="18"/>
          <w:color w:val="auto"/>
        </w:rPr>
        <w:t>The current development of the PRC banking industry is characterized by the re-use of data, Internet and other business innovation, and increasing demands for information security. We perceive the following development trends in the industry:</w:t>
      </w:r>
    </w:p>
    <w:p>
      <w:pPr>
        <w:spacing w:after="0" w:line="166" w:lineRule="exact"/>
        <w:rPr>
          <w:sz w:val="20"/>
          <w:szCs w:val="20"/>
          <w:color w:val="auto"/>
        </w:rPr>
      </w:pPr>
    </w:p>
    <w:p>
      <w:pPr>
        <w:ind w:right="50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Big data services </w:t>
      </w:r>
      <w:r>
        <w:rPr>
          <w:rFonts w:ascii="Arial" w:cs="Arial" w:eastAsia="Arial" w:hAnsi="Arial"/>
          <w:sz w:val="18"/>
          <w:szCs w:val="18"/>
          <w:color w:val="auto"/>
        </w:rPr>
        <w:t>- The banking industry has accumulated a large amount of transaction data in the operations process, representing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value for its owners. Big data applications can help banks make strategic decisions integrate resources, and make adjustments when industry changes take place so as to gain competitive advantages.</w:t>
      </w:r>
    </w:p>
    <w:p>
      <w:pPr>
        <w:spacing w:after="0" w:line="176" w:lineRule="exact"/>
        <w:rPr>
          <w:rFonts w:ascii="Arial" w:cs="Arial" w:eastAsia="Arial" w:hAnsi="Arial"/>
          <w:sz w:val="18"/>
          <w:szCs w:val="18"/>
          <w:color w:val="auto"/>
        </w:rPr>
      </w:pPr>
    </w:p>
    <w:p>
      <w:pPr>
        <w:ind w:right="16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Innovation in channel solutions </w:t>
      </w:r>
      <w:r>
        <w:rPr>
          <w:rFonts w:ascii="Arial" w:cs="Arial" w:eastAsia="Arial" w:hAnsi="Arial"/>
          <w:sz w:val="18"/>
          <w:szCs w:val="18"/>
          <w:color w:val="auto"/>
        </w:rPr>
        <w:t>- Channel innovation has become the key to innovations for China’s commercial banks, including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mobile banking. IDC research indicates that e-banking construction will be the key target of channel solution investment for China’s banking industry, especially small and medium-sized banks, in the next five years.</w:t>
      </w:r>
    </w:p>
    <w:p>
      <w:pPr>
        <w:spacing w:after="0" w:line="176" w:lineRule="exact"/>
        <w:rPr>
          <w:rFonts w:ascii="Arial" w:cs="Arial" w:eastAsia="Arial" w:hAnsi="Arial"/>
          <w:sz w:val="18"/>
          <w:szCs w:val="18"/>
          <w:color w:val="auto"/>
        </w:rPr>
      </w:pPr>
    </w:p>
    <w:p>
      <w:pPr>
        <w:ind w:right="24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Risk prevention - </w:t>
      </w:r>
      <w:r>
        <w:rPr>
          <w:rFonts w:ascii="Arial" w:cs="Arial" w:eastAsia="Arial" w:hAnsi="Arial"/>
          <w:sz w:val="18"/>
          <w:szCs w:val="18"/>
          <w:color w:val="auto"/>
        </w:rPr>
        <w:t>China’s commercial banks are required to establish a comprehensive risk management framework under the new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thus making risk management a top priority for the industry. China’s IT service providers will continue to explore in this field to meet the increasingly strict and comprehensive risk management requirements of financial industry.</w:t>
      </w:r>
    </w:p>
    <w:p>
      <w:pPr>
        <w:spacing w:after="0" w:line="176" w:lineRule="exact"/>
        <w:rPr>
          <w:rFonts w:ascii="Arial" w:cs="Arial" w:eastAsia="Arial" w:hAnsi="Arial"/>
          <w:sz w:val="18"/>
          <w:szCs w:val="18"/>
          <w:color w:val="auto"/>
        </w:rPr>
      </w:pPr>
    </w:p>
    <w:p>
      <w:pPr>
        <w:ind w:right="300" w:firstLine="656"/>
        <w:spacing w:after="0" w:line="282"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Specialized services – </w:t>
      </w:r>
      <w:r>
        <w:rPr>
          <w:rFonts w:ascii="Arial" w:cs="Arial" w:eastAsia="Arial" w:hAnsi="Arial"/>
          <w:sz w:val="18"/>
          <w:szCs w:val="18"/>
          <w:color w:val="auto"/>
        </w:rPr>
        <w:t>Financial service providers strive to deepen their understanding of bank users’ individual needs. As an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needs change, the banks tend to purchase more specialized services and IT services.</w:t>
      </w:r>
    </w:p>
    <w:p>
      <w:pPr>
        <w:spacing w:after="0" w:line="161" w:lineRule="exact"/>
        <w:rPr>
          <w:rFonts w:ascii="Arial" w:cs="Arial" w:eastAsia="Arial" w:hAnsi="Arial"/>
          <w:sz w:val="18"/>
          <w:szCs w:val="18"/>
          <w:color w:val="auto"/>
        </w:rPr>
      </w:pPr>
    </w:p>
    <w:p>
      <w:pPr>
        <w:ind w:right="40" w:firstLine="656"/>
        <w:spacing w:after="0" w:line="281" w:lineRule="auto"/>
        <w:tabs>
          <w:tab w:leader="none" w:pos="1162"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Internationalization of business - </w:t>
      </w:r>
      <w:r>
        <w:rPr>
          <w:rFonts w:ascii="Arial" w:cs="Arial" w:eastAsia="Arial" w:hAnsi="Arial"/>
          <w:sz w:val="17"/>
          <w:szCs w:val="17"/>
          <w:color w:val="auto"/>
        </w:rPr>
        <w:t>With the reform and opening up of China’s financial market, more foreign banks and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have settled in China. Foreign financial institutions tend to outsource a large number of non-core IT services. As a result, Chinese IT service providers have the opportunity to pursue the internationally outsourced IT business. Those domestic services providers with experience of servicing international business, with foreign language skills and abundance of IT human capital are likely to succeed in this market.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ind w:right="140" w:firstLine="630"/>
        <w:spacing w:after="0" w:line="312" w:lineRule="auto"/>
        <w:rPr>
          <w:sz w:val="20"/>
          <w:szCs w:val="20"/>
          <w:color w:val="auto"/>
        </w:rPr>
      </w:pPr>
      <w:r>
        <w:rPr>
          <w:rFonts w:ascii="Arial" w:cs="Arial" w:eastAsia="Arial" w:hAnsi="Arial"/>
          <w:sz w:val="16"/>
          <w:szCs w:val="16"/>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47" w:lineRule="exact"/>
        <w:rPr>
          <w:sz w:val="20"/>
          <w:szCs w:val="20"/>
          <w:color w:val="auto"/>
        </w:rPr>
      </w:pPr>
    </w:p>
    <w:p>
      <w:pPr>
        <w:ind w:right="40" w:firstLine="630"/>
        <w:spacing w:after="0" w:line="259" w:lineRule="auto"/>
        <w:rPr>
          <w:sz w:val="20"/>
          <w:szCs w:val="20"/>
          <w:color w:val="auto"/>
        </w:rPr>
      </w:pPr>
      <w:r>
        <w:rPr>
          <w:rFonts w:ascii="Arial" w:cs="Arial" w:eastAsia="Arial" w:hAnsi="Arial"/>
          <w:sz w:val="18"/>
          <w:szCs w:val="18"/>
          <w:color w:val="auto"/>
        </w:rPr>
        <w:t>We offer more than ten years of experience in IT consulting services across key credit card business areas, including credit card applications, account setup, authorization and activation, settlement, collecting,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w:t>
      </w:r>
    </w:p>
    <w:p>
      <w:pPr>
        <w:sectPr>
          <w:pgSz w:w="11900" w:h="16838" w:orient="portrait"/>
          <w:cols w:equalWidth="0" w:num="1">
            <w:col w:w="11420"/>
          </w:cols>
          <w:pgMar w:left="240" w:top="226"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2" w:name="page63"/>
    <w:bookmarkEnd w:id="6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Our highly experienced team possesses the requisite expertise in providing the credit card services. The IT consulting professional teams provides the credit card services from Shanghai, Dalian and Hong Kong. We offer this experience and expertise in various currencies, across different geographical regions, including, but not limited to China, Singapore, UK, Philippine, Indonesia, Latin America. In addition, we have developed a series of credit card solutions in order to better meet the needs of our clients.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systems, including business analysis, system design, developing,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mobile banking. We were recently engaged by a US-based client to transform its centralized core banking system to a service-oriented architecture and integrate it into a global unified version, which successfully satisfied its business needs in various markets. In addition, we engage the cloud-native solution of core banking system with micro services architecture, which can service both Chinese and global banks to meet the ever-changing demands of the market with high flexibility, high scalability, high reliability and multichannel connectivity.</w:t>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For the years ended June 30, 2017 and 2016, revenues from our IT consulting service were approximately USD$29.1 million and USD$28.0 million, respectively. Revenues from our IT consulting service accounted for 92.9% and 96.5% of our total revenues in fiscal 2017 and 2016,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also an IT solution services provider in China and globally.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tour ability to offer our clients creative solution design, especially in the areas of new information technology such as block chain.</w:t>
      </w:r>
    </w:p>
    <w:p>
      <w:pPr>
        <w:spacing w:after="0" w:line="187" w:lineRule="exact"/>
        <w:rPr>
          <w:sz w:val="20"/>
          <w:szCs w:val="20"/>
          <w:color w:val="auto"/>
        </w:rPr>
      </w:pPr>
    </w:p>
    <w:p>
      <w:pPr>
        <w:ind w:right="60" w:firstLine="630"/>
        <w:spacing w:after="0" w:line="302" w:lineRule="auto"/>
        <w:rPr>
          <w:sz w:val="20"/>
          <w:szCs w:val="20"/>
          <w:color w:val="auto"/>
        </w:rPr>
      </w:pPr>
      <w:r>
        <w:rPr>
          <w:rFonts w:ascii="Arial" w:cs="Arial" w:eastAsia="Arial" w:hAnsi="Arial"/>
          <w:sz w:val="16"/>
          <w:szCs w:val="16"/>
          <w:color w:val="auto"/>
        </w:rPr>
        <w:t>We offer software project development and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54" w:lineRule="exact"/>
        <w:rPr>
          <w:sz w:val="20"/>
          <w:szCs w:val="20"/>
          <w:color w:val="auto"/>
        </w:rPr>
      </w:pPr>
    </w:p>
    <w:p>
      <w:pPr>
        <w:ind w:firstLine="630"/>
        <w:spacing w:after="0" w:line="257" w:lineRule="auto"/>
        <w:rPr>
          <w:sz w:val="20"/>
          <w:szCs w:val="20"/>
          <w:color w:val="auto"/>
        </w:rPr>
      </w:pPr>
      <w:r>
        <w:rPr>
          <w:rFonts w:ascii="Arial" w:cs="Arial" w:eastAsia="Arial" w:hAnsi="Arial"/>
          <w:sz w:val="18"/>
          <w:szCs w:val="18"/>
          <w:color w:val="auto"/>
        </w:rPr>
        <w:t>We have been working with some multiple Chinese domestic banks to assist them to leverage block chain technology. We have developed a loyalty reward solution built on block chain technology, which allows domestic banks to track and trace transactions in real-time. Through the use of this technology, the banks offer their consumers the ability to combine loyalty points from various promotions and redeem them in spending. We will continue to develop our new IT solutions to meet the evolving needs of our Chinese and global financial institutional clientele drawing upon the forward-looking research of our R&amp;D center.</w:t>
      </w:r>
    </w:p>
    <w:p>
      <w:pPr>
        <w:spacing w:after="0" w:line="188" w:lineRule="exact"/>
        <w:rPr>
          <w:sz w:val="20"/>
          <w:szCs w:val="20"/>
          <w:color w:val="auto"/>
        </w:rPr>
      </w:pPr>
    </w:p>
    <w:p>
      <w:pPr>
        <w:ind w:right="80" w:firstLine="630"/>
        <w:spacing w:after="0" w:line="264" w:lineRule="auto"/>
        <w:rPr>
          <w:sz w:val="20"/>
          <w:szCs w:val="20"/>
          <w:color w:val="auto"/>
        </w:rPr>
      </w:pPr>
      <w:r>
        <w:rPr>
          <w:rFonts w:ascii="Arial" w:cs="Arial" w:eastAsia="Arial" w:hAnsi="Arial"/>
          <w:sz w:val="18"/>
          <w:szCs w:val="18"/>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CLPS Virtual Banking Platform (CLB) – </w:t>
      </w:r>
      <w:r>
        <w:rPr>
          <w:rFonts w:ascii="Arial" w:cs="Arial" w:eastAsia="Arial" w:hAnsi="Arial"/>
          <w:sz w:val="17"/>
          <w:szCs w:val="17"/>
          <w:color w:val="auto"/>
        </w:rPr>
        <w:t>CLB is a unique and successful talent training IT platform owned by CLPS. For the past ten years,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focusing on recruiting, training, developing and retaining human capital and talent.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and incorporating cutting-edge technologies, such as JAVA, Android &amp; iOS, HTML, block chain, cloud computing and big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ind w:firstLine="656"/>
        <w:spacing w:after="0" w:line="255" w:lineRule="auto"/>
        <w:tabs>
          <w:tab w:leader="none" w:pos="111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Grow revenue with existing and new clients </w:t>
      </w:r>
      <w:r>
        <w:rPr>
          <w:rFonts w:ascii="Arial" w:cs="Arial" w:eastAsia="Arial" w:hAnsi="Arial"/>
          <w:sz w:val="18"/>
          <w:szCs w:val="18"/>
          <w:color w:val="auto"/>
        </w:rPr>
        <w:t>- We intend to pursue additional revenue opportunities from existing Chinese and global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93" w:lineRule="exact"/>
        <w:rPr>
          <w:rFonts w:ascii="Arial" w:cs="Arial" w:eastAsia="Arial" w:hAnsi="Arial"/>
          <w:sz w:val="18"/>
          <w:szCs w:val="18"/>
          <w:color w:val="auto"/>
        </w:rPr>
      </w:pPr>
    </w:p>
    <w:p>
      <w:pPr>
        <w:ind w:right="20" w:firstLine="656"/>
        <w:spacing w:after="0" w:line="276" w:lineRule="auto"/>
        <w:tabs>
          <w:tab w:leader="none" w:pos="111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72" w:lineRule="exact"/>
        <w:rPr>
          <w:rFonts w:ascii="Arial" w:cs="Arial" w:eastAsia="Arial" w:hAnsi="Arial"/>
          <w:sz w:val="17"/>
          <w:szCs w:val="17"/>
          <w:color w:val="auto"/>
        </w:rPr>
      </w:pPr>
    </w:p>
    <w:p>
      <w:pPr>
        <w:ind w:right="80" w:firstLine="656"/>
        <w:spacing w:after="0" w:line="269" w:lineRule="auto"/>
        <w:tabs>
          <w:tab w:leader="none" w:pos="111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82" w:lineRule="exact"/>
        <w:rPr>
          <w:rFonts w:ascii="Arial" w:cs="Arial" w:eastAsia="Arial" w:hAnsi="Arial"/>
          <w:sz w:val="17"/>
          <w:szCs w:val="17"/>
          <w:color w:val="auto"/>
        </w:rPr>
      </w:pPr>
    </w:p>
    <w:p>
      <w:pPr>
        <w:ind w:right="20" w:firstLine="656"/>
        <w:spacing w:after="0" w:line="293" w:lineRule="auto"/>
        <w:tabs>
          <w:tab w:leader="none" w:pos="111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Drive efficiencies through ongoing improvements in operational excellence </w:t>
      </w:r>
      <w:r>
        <w:rPr>
          <w:rFonts w:ascii="Arial" w:cs="Arial" w:eastAsia="Arial" w:hAnsi="Arial"/>
          <w:sz w:val="16"/>
          <w:szCs w:val="16"/>
          <w:color w:val="auto"/>
        </w:rPr>
        <w:t>- We strive to gain significant operating efficiencies by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64" w:lineRule="exact"/>
        <w:rPr>
          <w:rFonts w:ascii="Arial" w:cs="Arial" w:eastAsia="Arial" w:hAnsi="Arial"/>
          <w:sz w:val="16"/>
          <w:szCs w:val="16"/>
          <w:color w:val="auto"/>
        </w:rPr>
      </w:pPr>
    </w:p>
    <w:p>
      <w:pPr>
        <w:ind w:right="120" w:firstLine="656"/>
        <w:spacing w:after="0" w:line="257" w:lineRule="auto"/>
        <w:tabs>
          <w:tab w:leader="none" w:pos="111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differentiate us from our competitors will continue contributing to our growth and success.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established employee loyalty through the core engine of TCP and TDP programs, integral parts of our supply chain that supports our service lines. Since 2008, our talent training services have offered training courses in five areas, including domain knowledge, technology skills, data security and management compliance training, soft skills for personnel, and all levels of English language skills including verbal and writing, especially for those who need to communicate with global customers directly on daily basis. We believe the depth and comprehensive nature of our talent training services is one of the key features that distinguishes us from our competition. For the past more than ten years, the Company has been recruiting, training, developing and retaining human capital and talent. We have been developing and upgrading our CLPS Virtual Banking Platform (CLB) to train specialized financial IT professionals. CLB is one of the crucial components of our Talent Creation Program. It contains a full set of banking application modules covering areas such as core banking, credit cards, wealth management and incorporating the cutting-edge technologies, such as JAVA, Android &amp; iOS, HTML and big data. During their Junior or Senior year of university year, the students in this program learn to implement the concepts covered by our TCP platform along with their other computer science theory and coursework. Later, the students join us as interns and continue improving their software development skills eventually becoming members of our development teams. As a result, the program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the banking industry.</w:t>
      </w:r>
    </w:p>
    <w:p>
      <w:pPr>
        <w:spacing w:after="0" w:line="17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TDP program is a continuous internal training course for skilled-professionals in our company. In order to better service our clients, the TDP program to increases our professional skillsets and business knowledge of their respective domain and technical field. We have joined our efforts with Fudan University to support our senior staff in completing their master’s degrees in their respective fields. Since 2005, through our TCP and TDP programs, we have trained and retained a large pool of specialized personnel and skilled in serving financial-related industry clients.</w:t>
      </w:r>
    </w:p>
    <w:p>
      <w:pPr>
        <w:spacing w:after="0" w:line="17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Benefiting from our employee loyalty programs, we have established an eco-system of loyal client relationships. Employee satisfaction and enhanced career development has resulted in better service for our clients. Client satisfaction in turn motives our employee to continue to provide superior service to our clients. In addition to employee and client satisfaction, our Company’s strengths include the following:</w:t>
      </w:r>
    </w:p>
    <w:p>
      <w:pPr>
        <w:spacing w:after="0" w:line="16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deep sector specialization, particularly, in the banking and insurance industries;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left="1180" w:hanging="52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Banking or their China-based IT centers </w:t>
      </w:r>
      <w:r>
        <w:rPr>
          <w:rFonts w:ascii="Arial" w:cs="Arial" w:eastAsia="Arial" w:hAnsi="Arial"/>
          <w:sz w:val="18"/>
          <w:szCs w:val="18"/>
          <w:color w:val="auto"/>
        </w:rPr>
        <w:t>- ANZ Bank, Commonwealth Bank of Australia, Bank of Communications.</w:t>
      </w:r>
    </w:p>
    <w:p>
      <w:pPr>
        <w:spacing w:after="0" w:line="225" w:lineRule="exact"/>
        <w:rPr>
          <w:rFonts w:ascii="Arial" w:cs="Arial" w:eastAsia="Arial" w:hAnsi="Arial"/>
          <w:sz w:val="18"/>
          <w:szCs w:val="18"/>
          <w:color w:val="auto"/>
        </w:rPr>
      </w:pPr>
    </w:p>
    <w:p>
      <w:pPr>
        <w:ind w:right="620" w:firstLine="656"/>
        <w:spacing w:after="0" w:line="277"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Financial Industry </w:t>
      </w:r>
      <w:r>
        <w:rPr>
          <w:rFonts w:ascii="Arial" w:cs="Arial" w:eastAsia="Arial" w:hAnsi="Arial"/>
          <w:sz w:val="18"/>
          <w:szCs w:val="18"/>
          <w:color w:val="auto"/>
        </w:rPr>
        <w:t>- AIA, AnBang Insurance group, China Life Insurance, FirstData, Haitong Securities, Orient Securities and China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Asset Management Company.</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Technology Customers </w:t>
      </w:r>
      <w:r>
        <w:rPr>
          <w:rFonts w:ascii="Arial" w:cs="Arial" w:eastAsia="Arial" w:hAnsi="Arial"/>
          <w:sz w:val="18"/>
          <w:szCs w:val="18"/>
          <w:color w:val="auto"/>
        </w:rPr>
        <w:t>- CRIF Information Technology, Experian, AGFA Healthcare and Neusoft.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invested in building a broad sales force and marketing team. As of June 30, 2017, our business development teams consisted of 22 full-time sales and marketing personnel, including 17 sales managers, each of whom is responsible for a designated sales region or client account. We plan to enhance our sales efforts by recruiting more sales personnel both domestically and overseas.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212121"/>
        </w:rPr>
        <w:t>R&amp;D is an integral part of our continued growth. In order to better service our Chinese and global client’s needs, we focus on exploring and researching new and advanced technologies and how to best integrate them into our existing and new solutions.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212121"/>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a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resource management and planning is critically important to supporting our growth, and we are committed to effectively recruiting, training, developing and retaining our human capital. Our total number of employees has grown from 1,055 employees in fiscal 2016 to 1,487 employees as of November 30, 2017. Approximately 70.3% of our personnel are dedicated to serving our foreign financial institution clients. Such personnel maintain up to date financial domain knowledge, technical development and testing skills in Java, .Net, C, C++, testing tools, Android or IOS app, Block Chain, Big Data, Cloud compute and Mainframe COBOL.</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0"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PRC Trademark Law, adopted in 1982 and revised in 2013, with its implementation rules adopted in 2014, protects registered trademarks. The Trademark Office of the State Administration of Industry and Commerce of the PRC, handles trademark registrations and grants trademark registrations for a term of ten years.</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primary trademark portfolio consists of 9 registered trademarks (with 5 trademarks currently under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clpsglobal.com.cn, and clpsgroup.com.cn.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registered for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Application</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2"/>
          </w:tcPr>
          <w:p>
            <w:pPr>
              <w:ind w:left="1440"/>
              <w:spacing w:after="0"/>
              <w:rPr>
                <w:sz w:val="20"/>
                <w:szCs w:val="20"/>
                <w:color w:val="auto"/>
              </w:rPr>
            </w:pPr>
            <w:r>
              <w:rPr>
                <w:rFonts w:ascii="Arial" w:cs="Arial" w:eastAsia="Arial" w:hAnsi="Arial"/>
                <w:sz w:val="18"/>
                <w:szCs w:val="18"/>
                <w:b w:val="1"/>
                <w:bCs w:val="1"/>
                <w:color w:val="auto"/>
              </w:rPr>
              <w:t>Class/Description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19288958</w:t>
            </w:r>
          </w:p>
        </w:tc>
        <w:tc>
          <w:tcPr>
            <w:tcW w:w="1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program); Electronic publications (downloadable);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(downloadable software);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19289112</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Class 38: Information transmission; Computer terminal</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communication; Computer-aided information and image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transmission; Information transmission equipment rental;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Provide telecommunications link services to connect with</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 global computer network; Telecommunications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routing and junction services; Provide access service for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global computer network users; Provide database access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service; Digital file transfer Teleconference call service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19289503</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program); Electronic publications (downloadable);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(downloadable software);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19289341</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Class 42: Technical research; Research or develop new</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products for others; Computer programming; Computer</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 design; Computer hardware design and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development consulting; Computer software rental;</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software maintenance; Computer system</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-3978275</wp:posOffset>
            </wp:positionV>
            <wp:extent cx="63436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63436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677545"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545"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-685165</wp:posOffset>
            </wp:positionV>
            <wp:extent cx="67754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545" cy="274320"/>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analysis; Computer software installation; Computer</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software consulting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register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Application</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2"/>
          </w:tcPr>
          <w:p>
            <w:pPr>
              <w:ind w:left="1440"/>
              <w:spacing w:after="0"/>
              <w:rPr>
                <w:sz w:val="20"/>
                <w:szCs w:val="20"/>
                <w:color w:val="auto"/>
              </w:rPr>
            </w:pPr>
            <w:r>
              <w:rPr>
                <w:rFonts w:ascii="Arial" w:cs="Arial" w:eastAsia="Arial" w:hAnsi="Arial"/>
                <w:sz w:val="18"/>
                <w:szCs w:val="18"/>
                <w:b w:val="1"/>
                <w:bCs w:val="1"/>
                <w:color w:val="auto"/>
              </w:rPr>
              <w:t>Class/Description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19289066</w:t>
            </w:r>
          </w:p>
        </w:tc>
        <w:tc>
          <w:tcPr>
            <w:tcW w:w="1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Class 35: Advertising; Advertising agency Advertising</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space rental; Online advertising on the computer network;</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Advertisement layout design; Business management</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assistance; Business inquiry; Business information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agency; Business management and organization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Business management consulting</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19289214</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41: Teaching; Education; Training; Practical</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training (demonstration); Employment guidance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(education or training consultants); Arrange and organize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academic seminars; Arrange and organize meetings;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Arrange and organize general meeting; Arrange and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organize symposium; Arrange and organize training</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classes</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19289175</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Class 42: Technical research; Research or develop new</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products for others; Computer programming;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design; Computer hardware design and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consulting; Computer software rental;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software maintenance; Computer system</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analysis; Computer software installation;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consulting</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19289492</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38: Information transmission; Computer terminal</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communication; Computer-aided information and image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transmission; Information transmission equipment rental;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Provide telecommunications link services to connect with</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global computer network; Telecommunications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routing and junction services; Provide access service for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global computer network users; Provide database access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service; Digital file transfer; Teleconference call service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19289420</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Class 41: Teaching; Education; Training; Practical</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training (demonstration); Employment guidance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(education or training consultants); Arrange and organize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academic seminars; Arrange and organize meetings;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-4801870</wp:posOffset>
            </wp:positionV>
            <wp:extent cx="634365"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-3841115</wp:posOffset>
            </wp:positionV>
            <wp:extent cx="634365"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-2743835</wp:posOffset>
            </wp:positionV>
            <wp:extent cx="634365"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677545"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545"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-548005</wp:posOffset>
            </wp:positionV>
            <wp:extent cx="677545"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545" cy="274320"/>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8"/>
          <w:szCs w:val="18"/>
          <w:color w:val="auto"/>
        </w:rPr>
        <w:t>Arrange and organize general meeting; Arrange and</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organize symposium; Arrange and organize training</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classes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the Company’s copyrights: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CLPS HR Management Platform Software</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2009SR015975</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29th April 2009</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3"/>
              </w:rPr>
              <w:t>CLPS Food and Beverage Report Analysis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2009SR060110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6"/>
              </w:rPr>
              <w:t>and Management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Apparel Industry POS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2009SR060102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Express Information Interactive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2009SR060112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CLPS Chain Store Information Interactive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2009SR060108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8"/>
              </w:rPr>
              <w:t>CLPS Project Analysis and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2009SR060169</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Payroll Accounting System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2010SR043564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Fast Moving Consumer Goods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2010SR043561</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Frontline Staff Management Platform</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Staff Management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2010SR043562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Coal Mining Enterprise Information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2010SR045449</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1st September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System Management Platform Software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CLPS Campus Expense Card Web Service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2010SR045441</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1st September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CLPS Campus Expense Card Bathroom</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2010SR045444</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1st September 2010</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Service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Machinery Industry ERP</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2010SR045802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2nd September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Assignment and Task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2011SR076863</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25th October 2011</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Assignment and Task Management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Marketing Assistant System</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2012SR096727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Outsourcing Service Staff</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2012SR096666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System Platform Software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Outsourcing Service Staff System</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2012SR096731</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Background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Logistics Terminal Distribution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2012SR096668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HR Background Support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2012SR098440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System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CLPS HR Management System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2012SR098429</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Software(short name: HR management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Outsourcing Service Staff Resume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2012SR098687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Entry System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Document Business</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2013SR054800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5th June 2013</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Document Management)V1.0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Bank Monetary Transaction</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2013SR054796</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5th June 2013</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Monetary Transaction Management)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Expense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2014SR168125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Bank Repayment Process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2014SR168130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Point Accumulative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2014SR168132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Interest Process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2014SR168136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Credit Application Software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2014SR168138</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Risk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2015SR028695</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Credit Card Account Establishment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2015SR029015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and Card Making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Customer Service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2015SR029012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Credit Card Cleaning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2015SR028884</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Authorization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2015SR028914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Mortgage Loan Plan Spreadsheet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2015SR198772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Tool Software (short name: loan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spreadsheet) 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Product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2015SR198610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Deposit and Withdrawal</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2015SR198176</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Services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Loan Application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2015SR198654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Bank Repayment Management</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2015SR198649</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16th October 2015</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Bank Exchange Rate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2015SR198774</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CLPS Bank Interest Settlement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2015SR198246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Foreign Exchange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2015SR198240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Transaction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Investment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2016SR376924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December 2016</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Business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Big Data Decision-making</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2016SR382920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20th December 2016</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Customer Portrayal Software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Services Ca,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Internet Financial Cloud Mobile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2016SR398821</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27th December 2016</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Wantong Calculas Mall Software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2017SR118507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6"/>
              </w:rPr>
              <w:t>CLPS Beijing</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Hengtong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RcRules Engine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2017SR169307</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9th May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Internet Financing Collection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2017SR119266</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Software 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Points Management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2017SR119078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Full-web Order Receiving Unified</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2017SR202535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24th May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Platform Management Software 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CLPS Enterprise Recruitment Intelligent</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2017SR646712</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24th November 2017</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Cooperation Platform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Intelligent Online Training Test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2017SR646507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Instructional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Enterprise Internet Qinqin Loan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2017SR647634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Background 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2017SR645676</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Background Management Software V2.0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Enterprise Recruitment Intelligent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2017SR646712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Cooperation Platform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Intelligent Online Training Test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2017SR646507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Instructional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Enterprise Internet Qinqin Loan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2017SR647634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Background 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2017SR646712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Background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60" w:firstLine="648"/>
        <w:spacing w:after="0" w:line="280" w:lineRule="auto"/>
        <w:rPr>
          <w:sz w:val="20"/>
          <w:szCs w:val="20"/>
          <w:color w:val="auto"/>
        </w:rPr>
      </w:pPr>
      <w:r>
        <w:rPr>
          <w:rFonts w:ascii="Arial" w:cs="Arial" w:eastAsia="Arial" w:hAnsi="Arial"/>
          <w:sz w:val="18"/>
          <w:szCs w:val="18"/>
          <w:color w:val="auto"/>
        </w:rPr>
        <w:t>Our principal executive office is located on the 2nd Floor, Building 18, Shanghai Pudong Software Park 498 Guoshoujing Road, Pudong, Shanghai 201203, PRC. We lease the premises and the lease term expires on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2019.</w:t>
      </w:r>
    </w:p>
    <w:p>
      <w:pPr>
        <w:spacing w:after="0" w:line="4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Company manages and operates several other facilities. We rent an office space in Tianjin, Shenzhen, Guangzhou, Dalian, Chengdu, Beijing, Australia and Singapore. Rent expenses amounted to $565,328 and $431,043 for the years ended June 30, 2017 and 2016, respectively. We believe our facilities are adequate for our current needs.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20" w:type="dxa"/>
            <w:vAlign w:val="bottom"/>
          </w:tcPr>
          <w:p>
            <w:pPr>
              <w:ind w:left="620"/>
              <w:spacing w:after="0"/>
              <w:rPr>
                <w:sz w:val="20"/>
                <w:szCs w:val="20"/>
                <w:color w:val="auto"/>
              </w:rPr>
            </w:pPr>
            <w:r>
              <w:rPr>
                <w:rFonts w:ascii="Arial" w:cs="Arial" w:eastAsia="Arial" w:hAnsi="Arial"/>
                <w:sz w:val="18"/>
                <w:szCs w:val="18"/>
                <w:b w:val="1"/>
                <w:bCs w:val="1"/>
                <w:color w:val="auto"/>
              </w:rPr>
              <w:t>Facility</w:t>
            </w:r>
          </w:p>
        </w:tc>
        <w:tc>
          <w:tcPr>
            <w:tcW w:w="120" w:type="dxa"/>
            <w:vAlign w:val="bottom"/>
          </w:tcPr>
          <w:p>
            <w:pPr>
              <w:spacing w:after="0"/>
              <w:rPr>
                <w:sz w:val="20"/>
                <w:szCs w:val="20"/>
                <w:color w:val="auto"/>
              </w:rPr>
            </w:pPr>
          </w:p>
        </w:tc>
        <w:tc>
          <w:tcPr>
            <w:tcW w:w="8220" w:type="dxa"/>
            <w:vAlign w:val="bottom"/>
            <w:gridSpan w:val="2"/>
          </w:tcPr>
          <w:p>
            <w:pPr>
              <w:ind w:left="3740"/>
              <w:spacing w:after="0"/>
              <w:rPr>
                <w:sz w:val="20"/>
                <w:szCs w:val="20"/>
                <w:color w:val="auto"/>
              </w:rPr>
            </w:pPr>
            <w:r>
              <w:rPr>
                <w:rFonts w:ascii="Arial" w:cs="Arial" w:eastAsia="Arial" w:hAnsi="Arial"/>
                <w:sz w:val="18"/>
                <w:szCs w:val="18"/>
                <w:b w:val="1"/>
                <w:bCs w:val="1"/>
                <w:color w:val="auto"/>
              </w:rPr>
              <w:t>Address</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Space (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Shanghai Office</w:t>
            </w:r>
          </w:p>
        </w:tc>
        <w:tc>
          <w:tcPr>
            <w:tcW w:w="8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2nd Floor, Building 18, Shanghai Pudong Software Park, 498 Guoshoujing Road, Pudong District, Shanghai,</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Tianjin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W5-C1-403-1, 51 West Area of Financial Street, the 3rd Street, Economic Development District, Tianjian,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Shenzhen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Room 2008, Anhui Building, Shennan Avenue, Futian District, Shenzhen,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Guangzhou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6C03, 377 Tianhe Road, Tianhe District, Guangzhou,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Dalian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Room#01-04, 1/F, 1 Huixian Garden, New &amp; High-tech Industrial Park, Dalian, Liaoning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Chengdu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 10, 25/Floor, Tower 2, 88 Jitai 5th Road, Gaoxin District, Chengdu, Sichuan District,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Beijing Office</w:t>
            </w:r>
          </w:p>
        </w:tc>
        <w:tc>
          <w:tcPr>
            <w:tcW w:w="8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1/F, Shangke Chuangye Area, Guotou Shangke Building, 111 Huihe South Street, Gaobeidian, Chaoyang</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District, Beijing,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Australia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Part Tenancy 5, Part Level 9, 276 Flinders Street, Melbourne, VIC, Australia</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Singapore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 456 Office, Singapore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Legal Proceedings</w:t>
            </w:r>
          </w:p>
        </w:tc>
        <w:tc>
          <w:tcPr>
            <w:tcW w:w="1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w:t>
      </w:r>
    </w:p>
    <w:p>
      <w:pPr>
        <w:spacing w:after="0" w:line="1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u w:val="single" w:color="auto"/>
          <w:color w:val="auto"/>
        </w:rPr>
        <w:t>Foreign Currency Exchange.</w:t>
      </w:r>
      <w:r>
        <w:rPr>
          <w:rFonts w:ascii="Arial" w:cs="Arial" w:eastAsia="Arial" w:hAnsi="Arial"/>
          <w:sz w:val="17"/>
          <w:szCs w:val="17"/>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78"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2013, the Foreign Investment Enterprise Law (1986), as amended in 2000, and the Administrative Rules under the Foreign Investment Enterprise Law (2001), as amended in 2014.</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Wholly Foreign Owned Enterprise Law, the Sino-foreign Equity Joint Venture Enterprise Law, the Sino-foreign Contractual Joint Venture Enterprise Law,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executive officers and directors, their ages and the positions held by them: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top w:val="single" w:sz="8" w:color="CCEEFF"/>
            </w:tcBorders>
            <w:shd w:val="clear" w:color="auto" w:fill="CCEEFF"/>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Jian Xu</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Senior Vice President of Operations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 He Shao (1)(4)*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Kewei Huang (2)*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Amooi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ind w:right="100" w:firstLine="8"/>
        <w:spacing w:after="0" w:line="277" w:lineRule="auto"/>
        <w:tabs>
          <w:tab w:leader="none" w:pos="1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independent director appointees has accepted appointment as our independent director, effective upon the SEC’s declaration of effectiveness of the registration statement on Form F-1 of which this prospectus is a part.</w:t>
      </w:r>
    </w:p>
    <w:p>
      <w:pPr>
        <w:spacing w:after="0" w:line="17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07"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Xiao Feng Yang </w:t>
      </w:r>
      <w:r>
        <w:rPr>
          <w:rFonts w:ascii="Arial" w:cs="Arial" w:eastAsia="Arial" w:hAnsi="Arial"/>
          <w:sz w:val="17"/>
          <w:szCs w:val="17"/>
          <w:color w:val="auto"/>
        </w:rPr>
        <w:t>is the chairman, president and director of the Company. Mr. Yang has over 20 years of executive management and operational</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the IT services business. From October 2012 to present, Mr. Yang served as chairman and president of ChinaLink. From April 2009 to October 2012, Mr. Yang served as deputy general manager of ADP China to manage the service operation of HR BPO service in China. From June 2002 to April 2009, Mr. Yang was the Human Resource Director of Phillips, Mr. Yang graduated from Tongji University, Shanghai, China, with a bachelor’s degree in radio survey. Mr. Yang received his MBA degree both from Shanghai University of Finance and Webster University (US).</w:t>
      </w:r>
    </w:p>
    <w:p>
      <w:pPr>
        <w:spacing w:after="0" w:line="168"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Raymond Ming Hui Lin</w:t>
      </w:r>
      <w:r>
        <w:rPr>
          <w:rFonts w:ascii="Arial" w:cs="Arial" w:eastAsia="Arial" w:hAnsi="Arial"/>
          <w:sz w:val="16"/>
          <w:szCs w:val="16"/>
          <w:color w:val="auto"/>
        </w:rPr>
        <w:t>, is the chief executive officer and director of the Company. Mr. Lin joined CLPS in February 2009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January 2008 to January 2009, Mr. Lin was business consultant of VanceInfo, after VanceInfo Acquired A-IT Software (Shandhai)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one of the largest mainframe resource powerhouse and the VisionPLUS project team in Greater China. In 2015, Mr. Lin became the MSE senior advisor in Fudan University, Shanghai, China.</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Tian van Acken </w:t>
      </w:r>
      <w:r>
        <w:rPr>
          <w:rFonts w:ascii="Arial" w:cs="Arial" w:eastAsia="Arial" w:hAnsi="Arial"/>
          <w:sz w:val="18"/>
          <w:szCs w:val="18"/>
          <w:color w:val="auto"/>
        </w:rPr>
        <w:t>Ms. Tian van Acken is the chief financial officer of the company. From December 2015 to September 2017, Ms. van Acken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at ec+ Communication Corporation. From September 2011 to December 2015, Ms. van Acken held chief financial officer positions at various start-up companies in China. From March 2006 to September 2011, Ms. van Acken served as Greater China chief financial officer at Lowe China, subsidiary of Lowe Worldwide (Interpublic Group of Companies) in China. From 1996 to 2006, Ms. van Acken held various managerial financial positions at Siegfried Resources LLC in New York, Highland Capital Partners and PricewaterhouseCoopers in Boston, respectively. Ms. van Acken holds an MBA degree in Finance and Accounting from Rochester Institute of Technology. She is a Chartered Financial Analyst and certified public account licensed in the State of Massachusetts.</w:t>
      </w:r>
    </w:p>
    <w:p>
      <w:pPr>
        <w:spacing w:after="0" w:line="189"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b w:val="1"/>
          <w:bCs w:val="1"/>
          <w:color w:val="auto"/>
        </w:rPr>
        <w:t xml:space="preserve">Jian Xu </w:t>
      </w:r>
      <w:r>
        <w:rPr>
          <w:rFonts w:ascii="Arial" w:cs="Arial" w:eastAsia="Arial" w:hAnsi="Arial"/>
          <w:sz w:val="18"/>
          <w:szCs w:val="18"/>
          <w:color w:val="auto"/>
        </w:rPr>
        <w:t>is our senior vice president of operations. He has served in this capacity since July 2008. From December 2003 to June 2008, Mr. Xu acted</w:t>
      </w:r>
      <w:r>
        <w:rPr>
          <w:rFonts w:ascii="Arial" w:cs="Arial" w:eastAsia="Arial" w:hAnsi="Arial"/>
          <w:sz w:val="18"/>
          <w:szCs w:val="18"/>
          <w:b w:val="1"/>
          <w:bCs w:val="1"/>
          <w:color w:val="auto"/>
        </w:rPr>
        <w:t xml:space="preserve"> </w:t>
      </w:r>
      <w:r>
        <w:rPr>
          <w:rFonts w:ascii="Arial" w:cs="Arial" w:eastAsia="Arial" w:hAnsi="Arial"/>
          <w:sz w:val="18"/>
          <w:szCs w:val="18"/>
          <w:color w:val="auto"/>
        </w:rPr>
        <w:t>as IT consultant and trainer at A-IT Software Co., Ltd. From January 2003 to December 2003, Mr. Xu served as senior software developer at Neusoft Group Co., Ltd. From July 2000 to December 2003, he held the position of senior software developer at two software companies. Mr. Xu holds a Bachelor’s degree in Mechanical and Electronic Engineer from Shenyang University of Technology.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Jin He Shao </w:t>
      </w:r>
      <w:r>
        <w:rPr>
          <w:rFonts w:ascii="Arial" w:cs="Arial" w:eastAsia="Arial" w:hAnsi="Arial"/>
          <w:sz w:val="16"/>
          <w:szCs w:val="16"/>
          <w:color w:val="auto"/>
        </w:rPr>
        <w:t>is an independent director of the Company. From January 2002 to present, Mr. Shao has been a partner at Shanghai Huajin Accounting</w:t>
      </w:r>
    </w:p>
    <w:p>
      <w:pPr>
        <w:spacing w:after="0" w:line="50" w:lineRule="exact"/>
        <w:rPr>
          <w:sz w:val="20"/>
          <w:szCs w:val="20"/>
          <w:color w:val="auto"/>
        </w:rPr>
      </w:pPr>
    </w:p>
    <w:p>
      <w:pPr>
        <w:jc w:val="both"/>
        <w:ind w:right="20" w:firstLine="8"/>
        <w:spacing w:after="0" w:line="254"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8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Kewei Huang </w:t>
      </w:r>
      <w:r>
        <w:rPr>
          <w:rFonts w:ascii="Arial" w:cs="Arial" w:eastAsia="Arial" w:hAnsi="Arial"/>
          <w:sz w:val="18"/>
          <w:szCs w:val="18"/>
          <w:color w:val="auto"/>
        </w:rPr>
        <w:t>is an independent director of the Company. From September 2014 to present, Mr. Huang has held the office of the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Moxian, Inc. (MOXC), a Nasdaq listed company. In 1995, he received a PhD degree in component based technologies from the University of New South Wales. In addition, Mr. Huang holds a Bachelor’s degree in English from National University of Singapore and an MBA degree from Preston University.</w:t>
      </w:r>
    </w:p>
    <w:p>
      <w:pPr>
        <w:spacing w:after="0" w:line="18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b w:val="1"/>
          <w:bCs w:val="1"/>
          <w:color w:val="auto"/>
        </w:rPr>
        <w:t xml:space="preserve">Kathryn Amooi </w:t>
      </w:r>
      <w:r>
        <w:rPr>
          <w:rFonts w:ascii="Arial" w:cs="Arial" w:eastAsia="Arial" w:hAnsi="Arial"/>
          <w:sz w:val="18"/>
          <w:szCs w:val="18"/>
          <w:color w:val="auto"/>
        </w:rPr>
        <w:t>is an independent director of the Company. Ms. Amooi has held various offices at Automatic Data Processing (ADP), LLC, a</w:t>
      </w:r>
      <w:r>
        <w:rPr>
          <w:rFonts w:ascii="Arial" w:cs="Arial" w:eastAsia="Arial" w:hAnsi="Arial"/>
          <w:sz w:val="18"/>
          <w:szCs w:val="18"/>
          <w:b w:val="1"/>
          <w:bCs w:val="1"/>
          <w:color w:val="auto"/>
        </w:rPr>
        <w:t xml:space="preserve"> </w:t>
      </w:r>
      <w:r>
        <w:rPr>
          <w:rFonts w:ascii="Arial" w:cs="Arial" w:eastAsia="Arial" w:hAnsi="Arial"/>
          <w:sz w:val="18"/>
          <w:szCs w:val="18"/>
          <w:color w:val="auto"/>
        </w:rPr>
        <w:t>human 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9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8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w:t>
      </w:r>
    </w:p>
    <w:p>
      <w:pPr>
        <w:spacing w:after="0" w:line="124"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issues” status.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Our board plays a significant role in our risk oversight. The board makes all relevant Company decisions. As such, it is important for us to have our Chief Executive Officer serve on the board as he plays key roles in the risk oversight or the Company. As a smaller reporting company with a small board of directors, we believe it is appropriate to have the involvement and input of all of our directors in risk oversight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Kathryn Amooi, Kewei Huang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Audit Committee consists of Kathryn Amooi, Kewei Huang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5" w:lineRule="exact"/>
        <w:rPr>
          <w:sz w:val="20"/>
          <w:szCs w:val="20"/>
          <w:color w:val="auto"/>
        </w:rPr>
      </w:pPr>
    </w:p>
    <w:p>
      <w:pPr>
        <w:ind w:left="660" w:right="4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Compensation Committee consists of Kathryn Amooi, Kewei Huang and Jin He Shao, with Mr. Huang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Nominating Committee consists of consists of Kathryn Amooi, Kewei Huang and Jin He Shao, with Ms. Amooi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—Differences in Corporate Law” for additional information on our directors’ fiduciary duties under Cayman Islands law. In fulfilling their duty of care to us, our directors must ensure compliance with our memorandum and articles of association. We have the right to seek damages if a duty owed by our directors is breached.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225" w:lineRule="exact"/>
        <w:rPr>
          <w:sz w:val="20"/>
          <w:szCs w:val="20"/>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authorizing the payment of donations to religious, charitable, public or other bodies, clubs, funds or associations as deemed advisable;</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Transactions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and Borrowing</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annual compensation paid by us for the years ended June 30, 2017 and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Name/principal position</w:t>
            </w:r>
          </w:p>
        </w:tc>
        <w:tc>
          <w:tcPr>
            <w:tcW w:w="120" w:type="dxa"/>
            <w:vAlign w:val="bottom"/>
          </w:tcPr>
          <w:p>
            <w:pPr>
              <w:spacing w:after="0"/>
              <w:rPr>
                <w:sz w:val="20"/>
                <w:szCs w:val="20"/>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Salary</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Compensation</w:t>
            </w: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 Chairman and President (1)</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585,402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47,396</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3,260,616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Raymond Ming Hui Lin, CEO and Director (2)</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37,379</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585,402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39,127</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3,260,617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Tian van Acken, CFO (3)</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8"/>
        <w:spacing w:after="0" w:line="258"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Chairman and President effective as of December 9, 2017. All other compensation amounts represent cash dividend payments in 2016 and 2017.</w:t>
      </w:r>
    </w:p>
    <w:p>
      <w:pPr>
        <w:spacing w:after="0" w:line="1" w:lineRule="exact"/>
        <w:rPr>
          <w:rFonts w:ascii="Arial" w:cs="Arial" w:eastAsia="Arial" w:hAnsi="Arial"/>
          <w:sz w:val="18"/>
          <w:szCs w:val="18"/>
          <w:color w:val="auto"/>
        </w:rPr>
      </w:pPr>
    </w:p>
    <w:p>
      <w:pPr>
        <w:ind w:right="380" w:firstLine="8"/>
        <w:spacing w:after="0" w:line="250"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 All other compensation amounts represent cash dividend payments in 2016 and 2017.</w:t>
      </w: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9, 2017.</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Xian Feng Yang Employment Agreement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Xian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ectPr>
          <w:pgSz w:w="11900" w:h="16838" w:orient="portrait"/>
          <w:cols w:equalWidth="0" w:num="1">
            <w:col w:w="11420"/>
          </w:cols>
          <w:pgMar w:left="240" w:top="226"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3" w:name="page84"/>
    <w:bookmarkEnd w:id="8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Tian van Acken Employment Agreement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Tian van Acken pursuant to which she agreed to serve as our Chief Financial Officer. The agreement provides for an annual base salary of RMB144,000 and HK$558,000 (a total of approximately USD$93,010) payable in accordance with the Company’s ordinary payroll practices. Under the terms of the agreement, commencing with the year ended June 30, 2018, Ms. van Acken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his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Tian van Acken shall be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have adopted a 2017 Equity Incentive Plan (the “Plan”).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No grants have been made under the plan as of the date hereof. The following is a summary of the Plan and is qualified by the full text of the Plan.</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Plan will be administered by our board of directors, or, once constituted, the Compensation Committee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(we refer to body administering the Plan as the “Committee”).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Number of Shares of Common Shares</w:t>
      </w:r>
      <w:r>
        <w:rPr>
          <w:rFonts w:ascii="Arial" w:cs="Arial" w:eastAsia="Arial" w:hAnsi="Arial"/>
          <w:sz w:val="17"/>
          <w:szCs w:val="17"/>
          <w:color w:val="auto"/>
        </w:rPr>
        <w:t>. The number of common shares that may be issued under the Plan is 2,210,000. Shares issuable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may be authorized but unissued shares or treasury shares. If there is a lapse, forfeiture, expiration, termination or cancellation of any award made under the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Plan may be transferred, except by will, the laws of descent and distribution.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key employees and directors of the Company are eligible to receive awards under the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Plan.</w:t>
      </w:r>
    </w:p>
    <w:p>
      <w:pPr>
        <w:spacing w:after="0" w:line="18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Committee has the discretion to grant non-qualified stock options or incentive stock options to participants and to set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It is intended that stock options qualify as “performance-based compensation” under Section 162(m) of the Code and thus be fully deductible by us for federal income tax purposes, to the extent permitted by law.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Stock Awards</w:t>
      </w:r>
      <w:r>
        <w:rPr>
          <w:rFonts w:ascii="Arial" w:cs="Arial" w:eastAsia="Arial" w:hAnsi="Arial"/>
          <w:sz w:val="17"/>
          <w:szCs w:val="17"/>
          <w:color w:val="auto"/>
        </w:rPr>
        <w:t>. The Committee has the discretion to grant stock awards to participants. Shares granted under the Plan will be effective and 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are intended to qualify as “performance-based” in accordance with Section 162(m) of the Code that may be granted to any Key Employee in any calendar year is 250,000, or, in the event the award is settled in cash, an amount equal to the fair market value of such number of shares on the date on which the award is settled.</w:t>
      </w:r>
    </w:p>
    <w:p>
      <w:pPr>
        <w:sectPr>
          <w:pgSz w:w="11900" w:h="16838" w:orient="portrait"/>
          <w:cols w:equalWidth="0" w:num="1">
            <w:col w:w="11400"/>
          </w:cols>
          <w:pgMar w:left="240" w:top="226" w:right="25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84" w:name="page85"/>
    <w:bookmarkEnd w:id="8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Amendment of Award Agreements; Amendment and Termination of the Plan; Term of the Plan</w:t>
      </w:r>
      <w:r>
        <w:rPr>
          <w:rFonts w:ascii="Arial" w:cs="Arial" w:eastAsia="Arial" w:hAnsi="Arial"/>
          <w:sz w:val="18"/>
          <w:szCs w:val="18"/>
          <w:color w:val="auto"/>
        </w:rPr>
        <w:t>. The Committee may amend any award agreement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(This prohibition on repricing without shareholder approval does not apply in case of an equitable adjustment to the awards to reflect changes in the capital structure of the company or similar events.)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awards may be granted under the Plan on or after the tenth anniversary of the effective date of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w:t>
      </w:r>
    </w:p>
    <w:p>
      <w:pPr>
        <w:spacing w:after="0" w:line="18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and Borrowing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directors may receive such remuneration as our board of directors may determine from time to time. For the services rendered by the independent director in any capacity the company will a cash fee in the amount of USD$1,500 per month.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Other Indemnification Matters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5" w:name="page86"/>
    <w:bookmarkEnd w:id="8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 Our directors received no compensation in 2017.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related party transactions: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660"/>
              <w:spacing w:after="0"/>
              <w:rPr>
                <w:sz w:val="20"/>
                <w:szCs w:val="20"/>
                <w:color w:val="auto"/>
              </w:rPr>
            </w:pPr>
            <w:r>
              <w:rPr>
                <w:rFonts w:ascii="Arial" w:cs="Arial" w:eastAsia="Arial" w:hAnsi="Arial"/>
                <w:sz w:val="18"/>
                <w:szCs w:val="18"/>
                <w:color w:val="auto"/>
              </w:rPr>
              <w:t>The balances due to and due from related parties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 June 30,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CLPS Beijing</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Affiliates of non-controlling interest shareholder of Judge China*</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 Xiao Feng Yang, Chairman and President of the Company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353,011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Mr. Raymond Ming Hui Lin, CEO of the Company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1,094,367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1,447,378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The amount was subsequently offset with the acquisition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7,222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Mr. Raymond Ming Hui Lin, CEO of the Company (i)</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1,140,975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1,148,197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1,729,791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Due to related parties mainly represents the unpaid dividends, wages and other benefit to the Company’s executives.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set forth certain information with respect to the beneficial ownership of our common shares and as adjusted to reflect the sale of the common shares offered by us in our initial public offering, for:</w:t>
      </w:r>
    </w:p>
    <w:p>
      <w:pPr>
        <w:spacing w:after="0" w:line="1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common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[_], 2017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11,290,000 common shares outstanding as of [_], 2017. Unless otherwise indicated, the address of each beneficial owner listed in the table below is c/o CLPS Incorporation, c/o 2nd Floor, Building 18, Shanghai Pudong Software Park, 498 Guoshoujing Road, Pudong, Shanghai 201203. People’s Republic of China.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Beneficial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Beneficial Ownership</w:t>
            </w:r>
          </w:p>
        </w:tc>
        <w:tc>
          <w:tcPr>
            <w:tcW w:w="1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9"/>
              </w:rPr>
              <w:t>After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Prior to Offering (1)</w:t>
            </w:r>
          </w:p>
        </w:tc>
        <w:tc>
          <w:tcPr>
            <w:tcW w:w="1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Offering (1)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ind w:left="160"/>
              <w:spacing w:after="0" w:line="198" w:lineRule="exact"/>
              <w:rPr>
                <w:sz w:val="20"/>
                <w:szCs w:val="20"/>
                <w:color w:val="auto"/>
              </w:rPr>
            </w:pPr>
            <w:r>
              <w:rPr>
                <w:rFonts w:ascii="Arial" w:cs="Arial" w:eastAsia="Arial" w:hAnsi="Arial"/>
                <w:sz w:val="18"/>
                <w:szCs w:val="18"/>
                <w:b w:val="1"/>
                <w:bCs w:val="1"/>
                <w:color w:val="auto"/>
              </w:rPr>
              <w:t>Common</w:t>
            </w:r>
          </w:p>
        </w:tc>
        <w:tc>
          <w:tcPr>
            <w:tcW w:w="10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Percentage</w:t>
            </w:r>
          </w:p>
        </w:tc>
        <w:tc>
          <w:tcPr>
            <w:tcW w:w="1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Xiao Feng Yang (2)</w:t>
            </w:r>
          </w:p>
        </w:tc>
        <w:tc>
          <w:tcPr>
            <w:tcW w:w="1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Raymond Ming Hui Lin (3)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Jin He Shao</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Kewei Huang</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Kathryn Amooi</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(6 persons)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[_]%</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Qinrui Ltd. (2)</w:t>
            </w:r>
          </w:p>
        </w:tc>
        <w:tc>
          <w:tcPr>
            <w:tcW w:w="1020" w:type="dxa"/>
            <w:vAlign w:val="bottom"/>
          </w:tcPr>
          <w:p>
            <w:pPr>
              <w:ind w:left="260"/>
              <w:spacing w:after="0"/>
              <w:rPr>
                <w:sz w:val="20"/>
                <w:szCs w:val="20"/>
                <w:color w:val="auto"/>
              </w:rPr>
            </w:pPr>
            <w:r>
              <w:rPr>
                <w:rFonts w:ascii="Arial" w:cs="Arial" w:eastAsia="Arial" w:hAnsi="Arial"/>
                <w:sz w:val="18"/>
                <w:szCs w:val="18"/>
                <w:color w:val="auto"/>
                <w:w w:val="92"/>
              </w:rPr>
              <w:t>5,000,000</w:t>
            </w: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Qinhui Ltd. (3)</w:t>
            </w: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5,000,000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right="100" w:hanging="332"/>
        <w:spacing w:after="0" w:line="250"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 This calculation also assumes that the underwriters exercise their option to purchase [_] additional shares in full for the purpose of covering over-allotments. See “Underwriting”.</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WIskhams Cay II, Road Town, Tortola, VG 1110, British Virgin Islands, with Xian Feng Yang as its sole shareholder. As such, Mr. Yang is deemed to be the owner of all shares of the Company held by this entity.</w:t>
      </w:r>
    </w:p>
    <w:p>
      <w:pPr>
        <w:spacing w:after="0" w:line="1"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WIskhams Cay II, Road Town, Tortola, VG 1110, British Virgin Islands, with Raymond Ming Hui Lin as its sole shareholder. As such, Mr. Lin is deemed to be the owner of all shares of the Company held by this entity.</w:t>
      </w:r>
    </w:p>
    <w:p>
      <w:pPr>
        <w:spacing w:after="0" w:line="190"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As of December [_], 2017, there were [_]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ectPr>
          <w:pgSz w:w="11900" w:h="16838" w:orient="portrait"/>
          <w:cols w:equalWidth="0" w:num="1">
            <w:col w:w="11420"/>
          </w:cols>
          <w:pgMar w:left="240" w:top="226"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7" w:name="page88"/>
    <w:bookmarkEnd w:id="8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As of the date of this prospectus, there are 11,290,000 common shares issued and outstanding. The following are summaries of material provisions of our memorandum and articles of association and the Companies Law insofar as they relate to the material terms of our common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Upon the completion of this offering, our authorized share capital is US$[_] divided into [_] common shares of par value US$[_] each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[_] shares of a par value of US$[_] each of such class (however designated) as the board of directors may determine in accordance with the Articles. All of our outstanding common shares are fully paid and non-assessable. Certificates representing the common shares are issued in registered form. Our shareholders, whether or not they are non-residents of the Cayman Islands, may freely hold and transfer their common shares in accordance with the Memorandum and Articles of Association.</w:t>
      </w:r>
    </w:p>
    <w:p>
      <w:pPr>
        <w:spacing w:after="0" w:line="188"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 association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our board of directors may declare and pay dividends if justified by our financial position and permitted by law.</w:t>
      </w:r>
    </w:p>
    <w:p>
      <w:pPr>
        <w:spacing w:after="0" w:line="147" w:lineRule="exact"/>
        <w:rPr>
          <w:sz w:val="20"/>
          <w:szCs w:val="20"/>
          <w:color w:val="auto"/>
        </w:rPr>
      </w:pPr>
    </w:p>
    <w:p>
      <w:pPr>
        <w:jc w:val="center"/>
        <w:ind w:right="60"/>
        <w:spacing w:after="0" w:line="285"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In respect of all matters subject to a shareholders’ vote, each common share is entitled to one vote. Voting at any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unpaid on their common shares in a notice served to such shareholders at least 14 clear days prior to the specified time of payment. The common shares that have been called upon and remain unpaid are subject to forfeiture.</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Law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 copies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8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8" w:name="page89"/>
    <w:bookmarkEnd w:id="8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 Exclusive Forum Provision</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Mergers and Similar Arrangements. </w:t>
      </w:r>
      <w:r>
        <w:rPr>
          <w:rFonts w:ascii="Arial" w:cs="Arial" w:eastAsia="Arial" w:hAnsi="Arial"/>
          <w:sz w:val="18"/>
          <w:szCs w:val="18"/>
          <w:color w:val="auto"/>
        </w:rPr>
        <w:t>The Companies Law permits mergers and consolidations between Cayman Islands companies and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7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arrangement is such that an intelligent and honest man of that class acting in respect of his interest would reasonably approve;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8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 and is therefore incapable of ratification by the shareholders;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duly effected if authorized by more than a simple majority vote that has not been obtained;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The Companies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3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Under the Delaware General Corporation Law, a corporation may eliminate the right of shareholders to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Law but our articles of association do not provide for cumulative voting.</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Under the Delaware General Corporation Law, a director of a corporation with a may be removed with the approval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outstanding shares entitled to vote, unless the certificate of incorporation provides otherwise. Under our articles of association, directors may be removed with or without cause, by an ordinary resolution of our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Amendment of Governing Documents. </w:t>
      </w:r>
      <w:r>
        <w:rPr>
          <w:rFonts w:ascii="Arial" w:cs="Arial" w:eastAsia="Arial" w:hAnsi="Arial"/>
          <w:sz w:val="17"/>
          <w:szCs w:val="17"/>
          <w:color w:val="auto"/>
        </w:rPr>
        <w:t>Under the Delaware General Corporation Law, a corporation’s governing documents may be amended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approval of a majority of the outstanding shares entitled to vote, unless the certificate of incorporation provides otherwise. As permitted by the Companies Law, our memorandum and articles of association may only be amended with a special resolution of our shareholders.</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memorandum and articles of association on the rights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Future sales of substantial amounts of common shares in the public market after this offering could adversely affect market prices prevailing from time to time and could impair our ability to raise capital through the sale of our equity securities. We are unable to estimate the number of shares that may be sold in the future.</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Upon the completion of this offering, we will have outstanding [_] common shares. The amount of shares outstanding upon completion of this offering assumes no exercise of the underwriters’ option to purchase additional shares. All of the shares sold in this offering will be freely tradable without restriction under the Securities Act unless purchased by one of our affiliates as that term is defined in Rule 144 under the Securities Act, which generally includes directors, officers or 10% stockholders.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and our executive officers and directors have agreed with the underwriters not to offer, sell, dispose of or hedge any shares of our common shares, subject to specified limited exceptions and extensions described elsewhere in this prospectus, during the period continuing through the date that is [_] months (subject to extension) after the date of this prospectus, except with the prior written consent of [_] on behalf of the underwriters. [_] in its sole discretion on behalf of the underwriters, may release any of the securities subject to these lock-up agreements at any time without notice. The lock-up period may be extended in the circumstances described under “Underwriting.”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Common shares held by any of our affiliates, as that term is defined in Rule 144 of the Securities Act, as well as shares held by our current stockholders, may be resold only pursuant to further registration under the Securities Act or in transactions that are exempt from registration under the Securities Act. In general, under Rule 144 as currently in effect, beginning 90 days after our Form F-1 Registration Statement becomes effective, any of our affiliates would be entitled to sell, without further registration, within any three-month period a number of shares that does not exceed the greater of:</w:t>
      </w:r>
    </w:p>
    <w:p>
      <w:pPr>
        <w:spacing w:after="0" w:line="15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 of the number of common shares then outstanding, which will equal approximately shares immediately after this offering;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average weekly trading volume of the common shares during the four calendar weeks preceding the filing of a Form 144 with respect to the sale.</w:t>
      </w:r>
    </w:p>
    <w:p>
      <w:pPr>
        <w:spacing w:after="0" w:line="24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Sales under Rule 144 by our affiliates will also be subject to manner of sale provisions and notice requirements and to the availability of current public information about 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prospectus, all of which are subject to change. This summary does not deal with all possible tax consequences relating to an investment in our common shares, such as the tax consequences under state, local and other tax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7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8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If a beneficial owner of our shares is not described as a U.S. Holder in one of the four bullet points below and is not an entity treated as a partnership or other pass-through entity for U.S. federal income tax purposes, such owner will be considered a “Non-U.S. Holder.” The U.S. federal income tax consequences applicable to Non-U.S. Holders is described below under the heading “Tax Consequences to Non-U.S. Holders of Common Shares.”</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(see “— Taxation on the Disposition of Common Shares” below)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25"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Under these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225" w:lineRule="exact"/>
        <w:rPr>
          <w:rFonts w:ascii="Arial" w:cs="Arial" w:eastAsia="Arial" w:hAnsi="Arial"/>
          <w:sz w:val="18"/>
          <w:szCs w:val="18"/>
          <w:color w:val="auto"/>
        </w:rPr>
      </w:pPr>
    </w:p>
    <w:p>
      <w:pPr>
        <w:jc w:val="both"/>
        <w:ind w:left="660" w:right="32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7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8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18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Individual U.S. Holders may be required to report ownership of our common shares and certain related information on their individual federal income tax returns in certain circumstances. Generally, this reporting requirement will apply if (1) the common shares are held in an account of the individual U.S. Holder maintained with a “foreign financial institution” or (2) the common shares are not held in an account maintained with a “financial institution,” as such terms are defined in the Code. The reporting obligation will not apply to an individual, however, unless the total aggregate value of the individual’s foreign financial assets exceeds US$50,000 during a taxable year. For avoidance of doubt, this reporting requirement should not apply to common shares held in an account with a U.S. brokerage firm. Failure to comply with this reporting requirement, if it applies, will result in substantial penalties. In certain circumstances, additional tax and other reporting requirements may apply, and U.S. Holders of our common shares are advised to consult with their own tax advisors concerning all such reporting requirements.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46" w:lineRule="exact"/>
        <w:rPr>
          <w:sz w:val="20"/>
          <w:szCs w:val="20"/>
          <w:color w:val="auto"/>
        </w:rPr>
      </w:pPr>
    </w:p>
    <w:p>
      <w:pPr>
        <w:ind w:right="440" w:firstLine="8"/>
        <w:spacing w:after="0" w:line="323"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w:t>
      </w:r>
    </w:p>
    <w:p>
      <w:pPr>
        <w:spacing w:after="0" w:line="13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of our operations are conducted outside the United States, and all of our assets are located outside the United States. All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appointed [Vcorp Services, LLC, located at 25 Robert Pitt Drive, Suite 204, Monsey, NY 10952,] as our agent upon whom process may be served in any action brought against us under the securities laws of the United States.</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70" w:lineRule="exact"/>
        <w:rPr>
          <w:sz w:val="20"/>
          <w:szCs w:val="20"/>
          <w:color w:val="auto"/>
        </w:rPr>
      </w:pPr>
    </w:p>
    <w:p>
      <w:pPr>
        <w:ind w:left="660" w:right="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and the underwriters will enter into an underwriting agreement with respect to the common shares being offered. Subject to certain conditions, the underwriters have agreed to purchase common shares listed next to its name in the following table. The Benchmark Company LLC and Cuttone &amp; Co., LLC will act as co-lead book running managers and representatives of the underwriters.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underwriters have committed to take and pay for all common shares being offered, if any are taken, other than the securities covered by the option described below unless and until this option is exercised.</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have granted a 45-day option to the underwriters, exercisable one or more times in whole or in part, to purchase up to an additional [ ] common shares on the same terms as the other shares being purchased by the underwriters from us, underwriting discounts and commissions to cover over-allotments, if any. The underwriters may exercise this option only to cover over-allotments made in connection with this offering. If the underwriters exercise this option in whole or in part, then the underwriters will be committed, subject to the conditions described in the underwriting agreement, to purchase the additional offered securities in proportion to each of their commitments set forth in the prior table.</w:t>
      </w:r>
    </w:p>
    <w:p>
      <w:pPr>
        <w:spacing w:after="0" w:line="1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shows the per share price and total underwriting discounts and commissions to be paid to the underwriters. Such amounts are shown assuming both no exercise and full exercise of the underwriters’ option to purchase [ ] additional common shares.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Per</w:t>
      </w:r>
    </w:p>
    <w:p>
      <w:pPr>
        <w:spacing w:after="0" w:line="27" w:lineRule="exact"/>
        <w:rPr>
          <w:sz w:val="20"/>
          <w:szCs w:val="20"/>
          <w:color w:val="auto"/>
        </w:rPr>
      </w:pPr>
    </w:p>
    <w:p>
      <w:pPr>
        <w:jc w:val="center"/>
        <w:ind w:left="7440"/>
        <w:spacing w:after="0"/>
        <w:rPr>
          <w:sz w:val="20"/>
          <w:szCs w:val="20"/>
          <w:color w:val="auto"/>
        </w:rPr>
      </w:pPr>
      <w:r>
        <w:rPr>
          <w:rFonts w:ascii="Arial" w:cs="Arial" w:eastAsia="Arial" w:hAnsi="Arial"/>
          <w:sz w:val="15"/>
          <w:szCs w:val="15"/>
          <w:b w:val="1"/>
          <w:bCs w:val="1"/>
          <w:u w:val="single" w:color="auto"/>
          <w:color w:val="auto"/>
        </w:rPr>
        <w:t>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 Warrant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Total Without</w:t>
      </w:r>
    </w:p>
    <w:p>
      <w:pPr>
        <w:spacing w:after="0" w:line="5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Exercise of</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Over-</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allotment</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option</w:t>
      </w:r>
    </w:p>
    <w:p>
      <w:pPr>
        <w:spacing w:after="0" w:line="31" w:lineRule="exact"/>
        <w:rPr>
          <w:sz w:val="20"/>
          <w:szCs w:val="20"/>
          <w:color w:val="auto"/>
        </w:rPr>
      </w:pPr>
    </w:p>
    <w:p>
      <w:pPr>
        <w:sectPr>
          <w:pgSz w:w="11900" w:h="16838" w:orient="portrait"/>
          <w:cols w:equalWidth="0" w:num="3">
            <w:col w:w="8600" w:space="300"/>
            <w:col w:w="980" w:space="320"/>
            <w:col w:w="1220"/>
          </w:cols>
          <w:pgMar w:left="240" w:top="226"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Discounts &amp; commissions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Non-accountable expense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proceeds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have agreed to pay a non-accountable expense allowance to the underwriters equal to 0.5% of the gross proceeds received in this offering. In addition to the 0.5% non-accountable expense allowance, we have also agreed to pay or reimburse the underwriters for certain of the underwriters’ out-of-pocket expenses relating to the offering, including all reasonable fees and expenses of the underwriters’ outside legal counsel.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1" w:name="page102"/>
    <w:bookmarkEnd w:id="10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Common shares sold by the underwriters to the public will initially be offered at the initial public offering price set forth on the cover of this prospectus. Any common shares and warrants sold by the underwriters to securities dealers may be sold at a discount of up to [ ] per share from the initial public offering price with no discount on the warrants. After the initial offering of the common shares and warrants, the underwriters may change the offering price and the other selling terms. The offering of common shares and warrants by the underwriters is subject to receipt and acceptance and subject to the underwriter’s right to reject any order in whole or in part.</w:t>
      </w:r>
    </w:p>
    <w:p>
      <w:pPr>
        <w:spacing w:after="0" w:line="18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have agreed with the underwriters that we will not, without the prior consent The Benchmark Company, LLC, and Cuttone &amp; Co., LLC, as representatives of the underwriters, directly or indirectly sell, offer, contract or grant any option to sell, pledge, transfer, or otherwise dispose of or enter into any transaction which may result in the disposition of any common shares or securities convertible into, exchangeable or exercisable for any common shares (excluding the exercise of certain warrants and or options currently outstanding and exercisable) for a period of six months after the date of this prospectus.</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addition, each of our executive officers and directors and holders of all of our common shares and warrants outstanding prior to the effective date of this offering, holding an aggregate of [ ] common shares, have agreed with the underwriters not to directly or indirectly sell, offer, contract or grant any option to sell, pledge, transfer (excluding intra-family transfers, transfers to a trust for estate planning purposes or to beneficiaries of officers, directors and shareholders upon their death), or otherwise dispose of or enter into any transaction which may result in the disposition of any common shares or securities convertible into, exchangeable or exercisable for any common shares, without the prior written consent of The Benchmark Company, LLC, and Cuttone &amp; Co,, LLC, as representatives of the underwriters, for a period of six months after the date of this prospectus.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  ].</w:t>
      </w:r>
    </w:p>
    <w:p>
      <w:pPr>
        <w:spacing w:after="0" w:line="237"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Upon the closing of this offering, we have agreed to sell to the underwriters a warrant to purchase 5% of the common shares sold in this offering. The warrant will be exercisable at a per share and warrant exercise price equal to 120% of the public offering price per common share and warrant sold pursuant to this offering, subject to standard anti-dilution adjustments for share splits and similar transactions, and will become exercisable 180 days after the date of effectiveness of the registration statement of which this prospectus forms a part or the commencement of sales under this prospectus and expire five years from the effective date of the registration statement date of which this prospectus forms a part. The option and the common shares and warrants underlying the option have been deemed compensation by the FINRA and are therefore subject to a 180-day lock-up pursuant to FINRA Rule 5110(g)(1). Except as permitted by Rule 5110(g)(1), the underwriters (or permitted assignees under the Rule) will not sell, transfer, assign, pledge, or hypothecate the option or the securities underlying the option, nor will any, of them engage in any hedging, short sale, derivative, put, or call transaction that would result in the effective economic disposition of the option or the underlying securities for a period of 180 days from the date of effectiveness of the registration statement of which this prospectus forms a part or the commencement of sales under this prospectus. Although the option and the underlying common shares and warrants have been registered in the registration statement of which this prospectus forms a part, we have also agreed on only one occasion to register all of such underlying common shares and warrants at such time as we become eligible to file a resale registration statement on Form F-3. These registration rights apply to all of the securities directly and indirectly issuable upon exercise of the option, and shall expire on the fifth anniversary of the effective date of the registration statement of which this prospectus forms a part. We will bear all fees and expenses attendant to registering the securities issuable on exercise of the option, other than underwriting commissions incurred and payable by the holders. In [______], we placed an escrow fund in the amount of USD</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$200,000 in an escrow account to be released to the underwriters in the connection with the payments of our indemnification pursuant to the underwriting agreement. The escrow account will remain in place for a period of 18 months.</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Until twelve months from the closing of the offering, the underwriters shall have a right of first refusal to act on our behalf as lead or managing underwriters or exclusive financial advisors for any offering of securities, merger, acquisition or similar transaction.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Commencing twelve (12) months from the closing date of this offering, we have agreed to pay the underwriters a warrant solicitation fee equal to 5% of the gross proceeds received by us from the exercise of the warrants.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Prior to the offering, there has been no public market for the common shares. The initial public offering price has been negotiated among us and the underwriters. Among the factors considered in determining the initial public offering price of the common shares in addition to prevailing market conditions, prospects, an assessment of our management and the consideration of the above factors in relation to market valuation of companies in related businesses.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shares have been approved for listing on The Nasdaq Capital Market under the symbol “CLPS”.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this offering, the underwriters may engage in transactions that stabilize, maintain or otherwise affect the price of our common shares. Specifically, the underwriters may over-allot in connection with this offering by selling more common shares than they are obligated to purchase under the underwriting agreement, creating a short position in our common shares. The short position may be either a covered short position or a naked short position. In a covered short position, the number of shares common of stock over-allotted by the underwriters is not greater than the number of common shares that they may purchase in the over-allotment option. In a naked short position, the number of shares of common shares involved is greater than the number of common shares in the over-allotment option. To close out a short position or to stabilize the price per share of our common shares the underwriters may bid for, and purchase, common shares in the open market. The underwriters may also elect to reduce any short position by exercising all or part of the over-allotment option. In determining the source of common shares to close out the short position, the underwriters will consider, among other things, the price of common share available for purchase in the open market as compared to the price at which it may purchase common shares through the over-allotment option. If the underwriters sell more than could be covered by the over-allotment option, a naked short position, the position can only be closed out by buying common shares in the open market. A naked short position is more likely to be created if the underwriters are concerned that there could be downward pressure on the price of the common shares in the open market after pricing that could adversely affect investors who purchase in the offering.</w:t>
      </w:r>
    </w:p>
    <w:p>
      <w:pPr>
        <w:spacing w:after="0" w:line="16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common shares sold by or for the account of such underwriter in stabilizing or short covering transactions.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Finally, the underwriters may bid for, and purchase, common shares in market making transactions, including “passive” market making transactions as described below.</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foregoing transactions may stabilize or maintain the market price of our common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or otherwise.</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connection with this offering, the underwriters and selling group members, if any, or their affiliates may engage in passive market making transactions in common shares on the Nasdaq Capital Market immediately prior to the commencement of sales in this offering, in accordance with Rule 103 of Regulation M under the Exchange Act of 1934. Rule 103 generally provides that:</w:t>
      </w:r>
    </w:p>
    <w:p>
      <w:pPr>
        <w:spacing w:after="0" w:line="181" w:lineRule="exact"/>
        <w:rPr>
          <w:sz w:val="20"/>
          <w:szCs w:val="20"/>
          <w:color w:val="auto"/>
        </w:rPr>
      </w:pPr>
    </w:p>
    <w:p>
      <w:pPr>
        <w:ind w:left="660" w:right="26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passive market maker may not effect transactions or display bids for our common share and or warrants in excess of the highest independent bid price by persons who are not passive market makers; net purchases by a passive market maker on each day are generally limited to 30% of the passive market maker’s average daily trading volume in our common share during a specified two-month prior period or 200 shares, whichever is greater, and must be discontinued when that limit is reached;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passive market making bids must be identified as such.</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Passive market making may stabilize or maintain the market price of our common shares at a level above that which might otherwise prevail and, if commenced, may be discontinued at any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common shares offered.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placement discounts and commissions) will be as follows. With the exception of the filing fees for the U.S. Securities Exchange Commission, FINRA and NASDAQ, all amounts are estimates.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7"/>
              </w:rPr>
              <w:t>U.S. Securities and Exchange Commission registration fee</w:t>
            </w:r>
          </w:p>
        </w:tc>
        <w:tc>
          <w:tcPr>
            <w:tcW w:w="6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FINRA filing fee</w:t>
            </w:r>
          </w:p>
        </w:tc>
        <w:tc>
          <w:tcPr>
            <w:tcW w:w="6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6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 for Chinese counsel</w:t>
            </w:r>
          </w:p>
        </w:tc>
        <w:tc>
          <w:tcPr>
            <w:tcW w:w="6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for Cayman Islands counsel</w:t>
            </w:r>
          </w:p>
        </w:tc>
        <w:tc>
          <w:tcPr>
            <w:tcW w:w="6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 for U.S. counsel</w:t>
            </w:r>
          </w:p>
        </w:tc>
        <w:tc>
          <w:tcPr>
            <w:tcW w:w="6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6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6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5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6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6100" w:type="dxa"/>
            <w:vAlign w:val="bottom"/>
            <w:gridSpan w:val="2"/>
          </w:tcPr>
          <w:p>
            <w:pPr>
              <w:jc w:val="right"/>
              <w:ind w:right="4200"/>
              <w:spacing w:after="0"/>
              <w:rPr>
                <w:sz w:val="20"/>
                <w:szCs w:val="20"/>
                <w:color w:val="auto"/>
              </w:rPr>
            </w:pPr>
            <w:r>
              <w:rPr>
                <w:rFonts w:ascii="Arial" w:cs="Arial" w:eastAsia="Arial" w:hAnsi="Arial"/>
                <w:sz w:val="18"/>
                <w:szCs w:val="18"/>
                <w:b w:val="1"/>
                <w:bCs w:val="1"/>
                <w:color w:val="auto"/>
              </w:rPr>
              <w:t>LEGAL MATTERS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Hunter Taubman Fischer &amp; Li LLC has acted as counsel for the underwriters with respect to this offering.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Financial statements as of June 30, 2017 and 2016,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F-1 under the Securities Act with respect to the common shares offered hereby. This prospectus, which constitutes a part of the registration statement, does not contain all of the information set forth in the registration statement or the exhibits filed therewith. For further information about us and the common shares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closing of our initial public offering, we will be required to file periodic reports (including an annual report on Form 20-F, which we will be required to file within 120 days from the end of each fiscal year),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t>
      </w:r>
      <w:r>
        <w:rPr>
          <w:rFonts w:ascii="Arial" w:cs="Arial" w:eastAsia="Arial" w:hAnsi="Arial"/>
          <w:sz w:val="17"/>
          <w:szCs w:val="17"/>
          <w:i w:val="1"/>
          <w:iCs w:val="1"/>
          <w:color w:val="auto"/>
        </w:rPr>
        <w:t>www.sec.gov.</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right"/>
        <w:ind w:right="2419"/>
        <w:spacing w:after="0"/>
        <w:rPr>
          <w:sz w:val="20"/>
          <w:szCs w:val="20"/>
          <w:color w:val="auto"/>
        </w:rPr>
      </w:pPr>
      <w:r>
        <w:rPr>
          <w:rFonts w:ascii="Arial" w:cs="Arial" w:eastAsia="Arial" w:hAnsi="Arial"/>
          <w:sz w:val="18"/>
          <w:szCs w:val="18"/>
          <w:b w:val="1"/>
          <w:bCs w:val="1"/>
          <w:color w:val="auto"/>
        </w:rPr>
        <w:t>FOR THE YEARS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2"/>
          </w:tcPr>
          <w:p>
            <w:pPr>
              <w:jc w:val="center"/>
              <w:ind w:right="4570"/>
              <w:spacing w:after="0"/>
              <w:rPr>
                <w:sz w:val="20"/>
                <w:szCs w:val="20"/>
                <w:color w:val="auto"/>
              </w:rPr>
            </w:pPr>
            <w:r>
              <w:rPr>
                <w:rFonts w:ascii="Arial" w:cs="Arial" w:eastAsia="Arial" w:hAnsi="Arial"/>
                <w:sz w:val="18"/>
                <w:szCs w:val="18"/>
                <w:b w:val="1"/>
                <w:bCs w:val="1"/>
                <w:color w:val="auto"/>
                <w:w w:val="99"/>
              </w:rPr>
              <w:t>CLPS INCORPORATION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2"/>
          </w:tcPr>
          <w:p>
            <w:pPr>
              <w:jc w:val="center"/>
              <w:ind w:right="4570"/>
              <w:spacing w:after="0"/>
              <w:rPr>
                <w:sz w:val="20"/>
                <w:szCs w:val="20"/>
                <w:color w:val="auto"/>
              </w:rPr>
            </w:pPr>
            <w:r>
              <w:rPr>
                <w:rFonts w:ascii="Arial" w:cs="Arial" w:eastAsia="Arial" w:hAnsi="Arial"/>
                <w:sz w:val="18"/>
                <w:szCs w:val="18"/>
                <w:color w:val="auto"/>
                <w:w w:val="95"/>
              </w:rPr>
              <w:t>TABLE OF CONTENTS</w:t>
            </w:r>
          </w:p>
        </w:tc>
        <w:tc>
          <w:tcPr>
            <w:tcW w:w="0" w:type="dxa"/>
            <w:vAlign w:val="bottom"/>
          </w:tcPr>
          <w:p>
            <w:pPr>
              <w:spacing w:after="0"/>
              <w:rPr>
                <w:sz w:val="1"/>
                <w:szCs w:val="1"/>
                <w:color w:val="auto"/>
              </w:rPr>
            </w:pPr>
          </w:p>
        </w:tc>
      </w:tr>
      <w:tr>
        <w:trPr>
          <w:trHeight w:val="439"/>
        </w:trPr>
        <w:tc>
          <w:tcPr>
            <w:tcW w:w="46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8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3"/>
        </w:trPr>
        <w:tc>
          <w:tcPr>
            <w:tcW w:w="4660" w:type="dxa"/>
            <w:vAlign w:val="bottom"/>
            <w:gridSpan w:val="8"/>
            <w:vMerge w:val="continue"/>
          </w:tcPr>
          <w:p>
            <w:pPr>
              <w:spacing w:after="0"/>
              <w:rPr>
                <w:sz w:val="17"/>
                <w:szCs w:val="17"/>
                <w:color w:val="auto"/>
              </w:rPr>
            </w:pPr>
          </w:p>
        </w:tc>
        <w:tc>
          <w:tcPr>
            <w:tcW w:w="5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7"/>
            <w:shd w:val="clear" w:color="auto" w:fill="CCEEFF"/>
          </w:tcPr>
          <w:p>
            <w:pPr>
              <w:spacing w:after="0" w:line="189" w:lineRule="exact"/>
              <w:rPr>
                <w:rFonts w:ascii="Arial" w:cs="Arial" w:eastAsia="Arial" w:hAnsi="Arial"/>
                <w:sz w:val="18"/>
                <w:szCs w:val="18"/>
                <w:color w:val="0000EE"/>
              </w:rPr>
            </w:pPr>
            <w:hyperlink w:anchor="page107">
              <w:r>
                <w:rPr>
                  <w:rFonts w:ascii="Arial" w:cs="Arial" w:eastAsia="Arial" w:hAnsi="Arial"/>
                  <w:sz w:val="18"/>
                  <w:szCs w:val="18"/>
                  <w:color w:val="0000EE"/>
                </w:rPr>
                <w:t>Report of Independent Registered Public Accounting Firm</w:t>
              </w:r>
            </w:hyperlink>
          </w:p>
        </w:tc>
        <w:tc>
          <w:tcPr>
            <w:tcW w:w="58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Balance Sheets</w:t>
              </w:r>
            </w:hyperlink>
          </w:p>
        </w:tc>
        <w:tc>
          <w:tcPr>
            <w:tcW w:w="440" w:type="dxa"/>
            <w:vAlign w:val="bottom"/>
            <w:tcBorders>
              <w:top w:val="single" w:sz="8" w:color="CCEEFF"/>
            </w:tcBorders>
            <w:gridSpan w:val="3"/>
          </w:tcPr>
          <w:p>
            <w:pPr>
              <w:spacing w:after="0"/>
              <w:rPr>
                <w:sz w:val="15"/>
                <w:szCs w:val="15"/>
                <w:color w:val="auto"/>
              </w:rPr>
            </w:pPr>
          </w:p>
        </w:tc>
        <w:tc>
          <w:tcPr>
            <w:tcW w:w="58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Consolidated Statements of Income and Comprehensive Income</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7"/>
          </w:tcPr>
          <w:p>
            <w:pPr>
              <w:spacing w:after="0" w:line="17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Consolidated Statements of Changes in Shareholders’ Equity</w:t>
              </w:r>
            </w:hyperlink>
          </w:p>
        </w:tc>
        <w:tc>
          <w:tcPr>
            <w:tcW w:w="58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Consolidated Statements of Cash Flows</w:t>
              </w:r>
            </w:hyperlink>
          </w:p>
        </w:tc>
        <w:tc>
          <w:tcPr>
            <w:tcW w:w="1780" w:type="dxa"/>
            <w:vAlign w:val="bottom"/>
            <w:tcBorders>
              <w:bottom w:val="single" w:sz="8" w:color="CCEEFF"/>
            </w:tcBorders>
            <w:gridSpan w:val="5"/>
            <w:shd w:val="clear" w:color="auto" w:fill="CCEEFF"/>
          </w:tcPr>
          <w:p>
            <w:pPr>
              <w:spacing w:after="0"/>
              <w:rPr>
                <w:sz w:val="17"/>
                <w:szCs w:val="17"/>
                <w:color w:val="auto"/>
              </w:rPr>
            </w:pPr>
          </w:p>
        </w:tc>
        <w:tc>
          <w:tcPr>
            <w:tcW w:w="58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7"/>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Notes to Consolidated Financial Statements</w:t>
              </w:r>
            </w:hyperlink>
          </w:p>
        </w:tc>
        <w:tc>
          <w:tcPr>
            <w:tcW w:w="58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2"/>
              </w:rPr>
              <w:t>F-8 - F-31</w:t>
            </w: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2"/>
          </w:tcPr>
          <w:p>
            <w:pPr>
              <w:jc w:val="center"/>
              <w:ind w:right="4570"/>
              <w:spacing w:after="0"/>
              <w:rPr>
                <w:sz w:val="20"/>
                <w:szCs w:val="20"/>
                <w:color w:val="auto"/>
              </w:rPr>
            </w:pPr>
            <w:r>
              <w:rPr>
                <w:rFonts w:ascii="Arial" w:cs="Arial" w:eastAsia="Arial" w:hAnsi="Arial"/>
                <w:sz w:val="22"/>
                <w:szCs w:val="22"/>
                <w:color w:val="auto"/>
                <w:w w:val="90"/>
              </w:rPr>
              <w:t>F-2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950210" cy="428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502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audited the accompanying consolidated balance sheets of CLPS Incorporation and Subsidiaries (collectively, the “Company”) as of June 30, 2017 and 2016, and the related consolidated statements of income and comprehensive income, changes in shareholders’ equity, and cash flows for the years then ended. The Company’s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CLPS Incorporation and Subsidiaries as of June 30, 2017 and 2016, and the consolidated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8, 2017, except for Notes 1,2,16 and 17 which are date January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142875</wp:posOffset>
            </wp:positionV>
            <wp:extent cx="5368290" cy="523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682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4,814,568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6,644,774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4,373,489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578,391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Prepaid income tax</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169,557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12,325,296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9,910,841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273,347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305,464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195,080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Long-term investment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298,953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13,521,923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10,471,529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239,165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640,864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110,631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5,392,434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4,578,928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1,729,791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8,210,625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6,264,005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share, $0.0001 par value; 100,000,000 shares authorized; 11,290,000 shares issued and outstanding as of June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30, 2017 and 2016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7,120,943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7,120,943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Statuary reserves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680,671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(2,521,285)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(2,984,943)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(447,270)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4,834,188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4,203,490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477,110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5,311,298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4,207,524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13,521,923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10,471,529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8" w:name="page109"/>
    <w:bookmarkEnd w:id="10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58623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1" w:lineRule="exact"/>
        <w:rPr>
          <w:sz w:val="20"/>
          <w:szCs w:val="20"/>
          <w:color w:val="auto"/>
        </w:rPr>
      </w:pPr>
    </w:p>
    <w:p>
      <w:pPr>
        <w:jc w:val="both"/>
        <w:ind w:left="9200"/>
        <w:spacing w:after="0"/>
        <w:tabs>
          <w:tab w:leader="none" w:pos="10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Cost of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Subsidies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Less: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CLPS Incorporation’s shareholders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47" w:hanging="347"/>
        <w:spacing w:after="0"/>
        <w:tabs>
          <w:tab w:leader="none" w:pos="3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31,361,976   $   29,024,178</w:t>
      </w:r>
    </w:p>
    <w:p>
      <w:pPr>
        <w:spacing w:after="0" w:line="23" w:lineRule="exact"/>
        <w:rPr>
          <w:rFonts w:ascii="Arial" w:cs="Arial" w:eastAsia="Arial" w:hAnsi="Arial"/>
          <w:sz w:val="18"/>
          <w:szCs w:val="18"/>
          <w:color w:val="auto"/>
        </w:rPr>
      </w:pPr>
    </w:p>
    <w:p>
      <w:pPr>
        <w:ind w:left="287"/>
        <w:spacing w:after="0"/>
        <w:rPr>
          <w:rFonts w:ascii="Arial" w:cs="Arial" w:eastAsia="Arial" w:hAnsi="Arial"/>
          <w:sz w:val="18"/>
          <w:szCs w:val="18"/>
          <w:color w:val="auto"/>
        </w:rPr>
      </w:pPr>
      <w:r>
        <w:rPr>
          <w:rFonts w:ascii="Arial" w:cs="Arial" w:eastAsia="Arial" w:hAnsi="Arial"/>
          <w:sz w:val="18"/>
          <w:szCs w:val="18"/>
          <w:color w:val="auto"/>
        </w:rPr>
        <w:t>(18,669,812)</w:t>
      </w:r>
      <w:r>
        <w:rPr>
          <w:rFonts w:ascii="Arial" w:cs="Arial" w:eastAsia="Arial" w:hAnsi="Arial"/>
          <w:sz w:val="16"/>
          <w:szCs w:val="16"/>
          <w:color w:val="auto"/>
        </w:rPr>
        <w:t>(17,463,416)</w:t>
      </w:r>
    </w:p>
    <w:p>
      <w:pPr>
        <w:spacing w:after="0" w:line="35" w:lineRule="exact"/>
        <w:rPr>
          <w:rFonts w:ascii="Arial" w:cs="Arial" w:eastAsia="Arial" w:hAnsi="Arial"/>
          <w:sz w:val="18"/>
          <w:szCs w:val="18"/>
          <w:color w:val="auto"/>
        </w:rPr>
      </w:pPr>
    </w:p>
    <w:p>
      <w:pPr>
        <w:ind w:left="347"/>
        <w:spacing w:after="0"/>
        <w:rPr>
          <w:rFonts w:ascii="Arial" w:cs="Arial" w:eastAsia="Arial" w:hAnsi="Arial"/>
          <w:sz w:val="18"/>
          <w:szCs w:val="18"/>
          <w:color w:val="auto"/>
        </w:rPr>
      </w:pPr>
      <w:r>
        <w:rPr>
          <w:rFonts w:ascii="Arial" w:cs="Arial" w:eastAsia="Arial" w:hAnsi="Arial"/>
          <w:sz w:val="18"/>
          <w:szCs w:val="18"/>
          <w:color w:val="auto"/>
        </w:rPr>
        <w:t>12,692,164</w:t>
      </w:r>
      <w:r>
        <w:rPr>
          <w:rFonts w:ascii="Arial" w:cs="Arial" w:eastAsia="Arial" w:hAnsi="Arial"/>
          <w:sz w:val="16"/>
          <w:szCs w:val="16"/>
          <w:color w:val="auto"/>
        </w:rPr>
        <w:t>11,560,762</w:t>
      </w:r>
    </w:p>
    <w:p>
      <w:pPr>
        <w:spacing w:after="0" w:line="200" w:lineRule="exact"/>
        <w:rPr>
          <w:sz w:val="20"/>
          <w:szCs w:val="20"/>
          <w:color w:val="auto"/>
        </w:rPr>
      </w:pPr>
    </w:p>
    <w:p>
      <w:pPr>
        <w:spacing w:after="0" w:line="268" w:lineRule="exact"/>
        <w:rPr>
          <w:sz w:val="20"/>
          <w:szCs w:val="20"/>
          <w:color w:val="auto"/>
        </w:rPr>
      </w:pPr>
    </w:p>
    <w:p>
      <w:pPr>
        <w:ind w:left="427"/>
        <w:spacing w:after="0"/>
        <w:tabs>
          <w:tab w:leader="none" w:pos="1886" w:val="left"/>
        </w:tabs>
        <w:rPr>
          <w:sz w:val="20"/>
          <w:szCs w:val="20"/>
          <w:color w:val="auto"/>
        </w:rPr>
      </w:pPr>
      <w:r>
        <w:rPr>
          <w:rFonts w:ascii="Arial" w:cs="Arial" w:eastAsia="Arial" w:hAnsi="Arial"/>
          <w:sz w:val="18"/>
          <w:szCs w:val="18"/>
          <w:color w:val="auto"/>
        </w:rPr>
        <w:t>1,206,493</w:t>
      </w:r>
      <w:r>
        <w:rPr>
          <w:sz w:val="20"/>
          <w:szCs w:val="20"/>
          <w:color w:val="auto"/>
        </w:rPr>
        <w:tab/>
      </w:r>
      <w:r>
        <w:rPr>
          <w:rFonts w:ascii="Arial" w:cs="Arial" w:eastAsia="Arial" w:hAnsi="Arial"/>
          <w:sz w:val="18"/>
          <w:szCs w:val="18"/>
          <w:color w:val="auto"/>
        </w:rPr>
        <w:t>413,016</w:t>
      </w:r>
    </w:p>
    <w:p>
      <w:pPr>
        <w:spacing w:after="0" w:line="23"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4,232,788</w:t>
      </w:r>
      <w:r>
        <w:rPr>
          <w:sz w:val="20"/>
          <w:szCs w:val="20"/>
          <w:color w:val="auto"/>
        </w:rPr>
        <w:tab/>
      </w:r>
      <w:r>
        <w:rPr>
          <w:rFonts w:ascii="Arial" w:cs="Arial" w:eastAsia="Arial" w:hAnsi="Arial"/>
          <w:sz w:val="17"/>
          <w:szCs w:val="17"/>
          <w:color w:val="auto"/>
        </w:rPr>
        <w:t>5,579,058</w:t>
      </w:r>
    </w:p>
    <w:p>
      <w:pPr>
        <w:spacing w:after="0" w:line="21"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5,647,790</w:t>
      </w:r>
      <w:r>
        <w:rPr>
          <w:sz w:val="20"/>
          <w:szCs w:val="20"/>
          <w:color w:val="auto"/>
        </w:rPr>
        <w:tab/>
      </w:r>
      <w:r>
        <w:rPr>
          <w:rFonts w:ascii="Arial" w:cs="Arial" w:eastAsia="Arial" w:hAnsi="Arial"/>
          <w:sz w:val="17"/>
          <w:szCs w:val="17"/>
          <w:color w:val="auto"/>
        </w:rPr>
        <w:t>4,955,037</w:t>
      </w:r>
    </w:p>
    <w:p>
      <w:pPr>
        <w:spacing w:after="0" w:line="47" w:lineRule="exact"/>
        <w:rPr>
          <w:sz w:val="20"/>
          <w:szCs w:val="20"/>
          <w:color w:val="auto"/>
        </w:rPr>
      </w:pPr>
    </w:p>
    <w:p>
      <w:pPr>
        <w:ind w:left="347"/>
        <w:spacing w:after="0"/>
        <w:tabs>
          <w:tab w:leader="none" w:pos="1686" w:val="left"/>
        </w:tabs>
        <w:rPr>
          <w:sz w:val="20"/>
          <w:szCs w:val="20"/>
          <w:color w:val="auto"/>
        </w:rPr>
      </w:pPr>
      <w:r>
        <w:rPr>
          <w:rFonts w:ascii="Arial" w:cs="Arial" w:eastAsia="Arial" w:hAnsi="Arial"/>
          <w:sz w:val="17"/>
          <w:szCs w:val="17"/>
          <w:color w:val="auto"/>
        </w:rPr>
        <w:t>11,087,071</w:t>
      </w:r>
      <w:r>
        <w:rPr>
          <w:sz w:val="20"/>
          <w:szCs w:val="20"/>
          <w:color w:val="auto"/>
        </w:rPr>
        <w:tab/>
      </w:r>
      <w:r>
        <w:rPr>
          <w:rFonts w:ascii="Arial" w:cs="Arial" w:eastAsia="Arial" w:hAnsi="Arial"/>
          <w:sz w:val="17"/>
          <w:szCs w:val="17"/>
          <w:color w:val="auto"/>
        </w:rPr>
        <w:t>10,947,111</w:t>
      </w:r>
    </w:p>
    <w:p>
      <w:pPr>
        <w:spacing w:after="0" w:line="48" w:lineRule="exact"/>
        <w:rPr>
          <w:sz w:val="20"/>
          <w:szCs w:val="20"/>
          <w:color w:val="auto"/>
        </w:rPr>
      </w:pPr>
    </w:p>
    <w:p>
      <w:pPr>
        <w:ind w:left="427"/>
        <w:spacing w:after="0"/>
        <w:tabs>
          <w:tab w:leader="none" w:pos="1886" w:val="left"/>
        </w:tabs>
        <w:rPr>
          <w:sz w:val="20"/>
          <w:szCs w:val="20"/>
          <w:color w:val="auto"/>
        </w:rPr>
      </w:pPr>
      <w:r>
        <w:rPr>
          <w:rFonts w:ascii="Arial" w:cs="Arial" w:eastAsia="Arial" w:hAnsi="Arial"/>
          <w:sz w:val="18"/>
          <w:szCs w:val="18"/>
          <w:color w:val="auto"/>
        </w:rPr>
        <w:t>1,605,093</w:t>
      </w:r>
      <w:r>
        <w:rPr>
          <w:sz w:val="20"/>
          <w:szCs w:val="20"/>
          <w:color w:val="auto"/>
        </w:rPr>
        <w:tab/>
      </w:r>
      <w:r>
        <w:rPr>
          <w:rFonts w:ascii="Arial" w:cs="Arial" w:eastAsia="Arial" w:hAnsi="Arial"/>
          <w:sz w:val="18"/>
          <w:szCs w:val="18"/>
          <w:color w:val="auto"/>
        </w:rPr>
        <w:t>613,651</w:t>
      </w:r>
    </w:p>
    <w:p>
      <w:pPr>
        <w:spacing w:after="0" w:line="23" w:lineRule="exact"/>
        <w:rPr>
          <w:sz w:val="20"/>
          <w:szCs w:val="20"/>
          <w:color w:val="auto"/>
        </w:rPr>
      </w:pPr>
    </w:p>
    <w:p>
      <w:pPr>
        <w:ind w:left="567"/>
        <w:spacing w:after="0"/>
        <w:tabs>
          <w:tab w:leader="none" w:pos="1766" w:val="left"/>
        </w:tabs>
        <w:rPr>
          <w:sz w:val="20"/>
          <w:szCs w:val="20"/>
          <w:color w:val="auto"/>
        </w:rPr>
      </w:pPr>
      <w:r>
        <w:rPr>
          <w:rFonts w:ascii="Arial" w:cs="Arial" w:eastAsia="Arial" w:hAnsi="Arial"/>
          <w:sz w:val="17"/>
          <w:szCs w:val="17"/>
          <w:color w:val="auto"/>
        </w:rPr>
        <w:t>508,187</w:t>
      </w:r>
      <w:r>
        <w:rPr>
          <w:sz w:val="20"/>
          <w:szCs w:val="20"/>
          <w:color w:val="auto"/>
        </w:rPr>
        <w:tab/>
      </w:r>
      <w:r>
        <w:rPr>
          <w:rFonts w:ascii="Arial" w:cs="Arial" w:eastAsia="Arial" w:hAnsi="Arial"/>
          <w:sz w:val="17"/>
          <w:szCs w:val="17"/>
          <w:color w:val="auto"/>
        </w:rPr>
        <w:t>1,446,408</w:t>
      </w:r>
    </w:p>
    <w:p>
      <w:pPr>
        <w:spacing w:after="0" w:line="21" w:lineRule="exact"/>
        <w:rPr>
          <w:sz w:val="20"/>
          <w:szCs w:val="20"/>
          <w:color w:val="auto"/>
        </w:rPr>
      </w:pPr>
    </w:p>
    <w:p>
      <w:pPr>
        <w:jc w:val="right"/>
        <w:ind w:right="40"/>
        <w:spacing w:after="0"/>
        <w:tabs>
          <w:tab w:leader="none" w:pos="520" w:val="left"/>
        </w:tabs>
        <w:rPr>
          <w:sz w:val="20"/>
          <w:szCs w:val="20"/>
          <w:color w:val="auto"/>
        </w:rPr>
      </w:pPr>
      <w:r>
        <w:rPr>
          <w:rFonts w:ascii="Arial" w:cs="Arial" w:eastAsia="Arial" w:hAnsi="Arial"/>
          <w:sz w:val="18"/>
          <w:szCs w:val="18"/>
          <w:color w:val="auto"/>
        </w:rPr>
        <w:t>(10,469)</w:t>
      </w:r>
      <w:r>
        <w:rPr>
          <w:sz w:val="20"/>
          <w:szCs w:val="20"/>
          <w:color w:val="auto"/>
        </w:rPr>
        <w:tab/>
      </w:r>
      <w:r>
        <w:rPr>
          <w:rFonts w:ascii="Arial" w:cs="Arial" w:eastAsia="Arial" w:hAnsi="Arial"/>
          <w:sz w:val="17"/>
          <w:szCs w:val="17"/>
          <w:color w:val="auto"/>
        </w:rPr>
        <w:t>(5,935)</w:t>
      </w:r>
    </w:p>
    <w:p>
      <w:pPr>
        <w:spacing w:after="0" w:line="251"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2,102,811</w:t>
      </w:r>
      <w:r>
        <w:rPr>
          <w:sz w:val="20"/>
          <w:szCs w:val="20"/>
          <w:color w:val="auto"/>
        </w:rPr>
        <w:tab/>
      </w:r>
      <w:r>
        <w:rPr>
          <w:rFonts w:ascii="Arial" w:cs="Arial" w:eastAsia="Arial" w:hAnsi="Arial"/>
          <w:sz w:val="17"/>
          <w:szCs w:val="17"/>
          <w:color w:val="auto"/>
        </w:rPr>
        <w:t>2,054,124</w:t>
      </w:r>
    </w:p>
    <w:p>
      <w:pPr>
        <w:spacing w:after="0" w:line="35" w:lineRule="exact"/>
        <w:rPr>
          <w:sz w:val="20"/>
          <w:szCs w:val="20"/>
          <w:color w:val="auto"/>
        </w:rPr>
      </w:pPr>
    </w:p>
    <w:p>
      <w:pPr>
        <w:ind w:left="507"/>
        <w:spacing w:after="0"/>
        <w:tabs>
          <w:tab w:leader="none" w:pos="1886" w:val="left"/>
        </w:tabs>
        <w:rPr>
          <w:sz w:val="20"/>
          <w:szCs w:val="20"/>
          <w:color w:val="auto"/>
        </w:rPr>
      </w:pPr>
      <w:r>
        <w:rPr>
          <w:rFonts w:ascii="Arial" w:cs="Arial" w:eastAsia="Arial" w:hAnsi="Arial"/>
          <w:sz w:val="18"/>
          <w:szCs w:val="18"/>
          <w:color w:val="auto"/>
        </w:rPr>
        <w:t>(118,546)</w:t>
      </w:r>
      <w:r>
        <w:rPr>
          <w:sz w:val="20"/>
          <w:szCs w:val="20"/>
          <w:color w:val="auto"/>
        </w:rPr>
        <w:tab/>
      </w:r>
      <w:r>
        <w:rPr>
          <w:rFonts w:ascii="Arial" w:cs="Arial" w:eastAsia="Arial" w:hAnsi="Arial"/>
          <w:sz w:val="16"/>
          <w:szCs w:val="16"/>
          <w:color w:val="auto"/>
        </w:rPr>
        <w:t>269,153</w:t>
      </w:r>
    </w:p>
    <w:p>
      <w:pPr>
        <w:spacing w:after="0" w:line="35"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2,221,357</w:t>
      </w:r>
      <w:r>
        <w:rPr>
          <w:sz w:val="20"/>
          <w:szCs w:val="20"/>
          <w:color w:val="auto"/>
        </w:rPr>
        <w:tab/>
      </w:r>
      <w:r>
        <w:rPr>
          <w:rFonts w:ascii="Arial" w:cs="Arial" w:eastAsia="Arial" w:hAnsi="Arial"/>
          <w:sz w:val="17"/>
          <w:szCs w:val="17"/>
          <w:color w:val="auto"/>
        </w:rPr>
        <w:t>1,784,971</w:t>
      </w:r>
    </w:p>
    <w:p>
      <w:pPr>
        <w:spacing w:after="0" w:line="35" w:lineRule="exact"/>
        <w:rPr>
          <w:sz w:val="20"/>
          <w:szCs w:val="20"/>
          <w:color w:val="auto"/>
        </w:rPr>
      </w:pPr>
    </w:p>
    <w:p>
      <w:pPr>
        <w:jc w:val="both"/>
        <w:ind w:left="567"/>
        <w:spacing w:after="0"/>
        <w:tabs>
          <w:tab w:leader="none" w:pos="1926" w:val="left"/>
        </w:tabs>
        <w:rPr>
          <w:sz w:val="20"/>
          <w:szCs w:val="20"/>
          <w:color w:val="auto"/>
        </w:rPr>
      </w:pPr>
      <w:r>
        <w:rPr>
          <w:rFonts w:ascii="Arial" w:cs="Arial" w:eastAsia="Arial" w:hAnsi="Arial"/>
          <w:sz w:val="18"/>
          <w:szCs w:val="18"/>
          <w:color w:val="auto"/>
        </w:rPr>
        <w:t>173,912</w:t>
      </w:r>
      <w:r>
        <w:rPr>
          <w:sz w:val="20"/>
          <w:szCs w:val="20"/>
          <w:color w:val="auto"/>
        </w:rPr>
        <w:tab/>
      </w:r>
      <w:r>
        <w:rPr>
          <w:rFonts w:ascii="Arial" w:cs="Arial" w:eastAsia="Arial" w:hAnsi="Arial"/>
          <w:sz w:val="18"/>
          <w:szCs w:val="18"/>
          <w:color w:val="auto"/>
        </w:rPr>
        <w:t>(41,141)</w:t>
      </w:r>
    </w:p>
    <w:p>
      <w:pPr>
        <w:spacing w:after="0" w:line="58" w:lineRule="exact"/>
        <w:rPr>
          <w:sz w:val="20"/>
          <w:szCs w:val="20"/>
          <w:color w:val="auto"/>
        </w:rPr>
      </w:pPr>
    </w:p>
    <w:p>
      <w:pPr>
        <w:ind w:left="7"/>
        <w:spacing w:after="0"/>
        <w:tabs>
          <w:tab w:leader="none" w:pos="406" w:val="left"/>
          <w:tab w:leader="none" w:pos="1346" w:val="left"/>
          <w:tab w:leader="none" w:pos="1766"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2,047,445</w:t>
        <w:tab/>
        <w:t>$</w:t>
      </w:r>
      <w:r>
        <w:rPr>
          <w:sz w:val="20"/>
          <w:szCs w:val="20"/>
          <w:color w:val="auto"/>
        </w:rPr>
        <w:tab/>
      </w:r>
      <w:r>
        <w:rPr>
          <w:rFonts w:ascii="Arial" w:cs="Arial" w:eastAsia="Arial" w:hAnsi="Arial"/>
          <w:sz w:val="16"/>
          <w:szCs w:val="16"/>
          <w:b w:val="1"/>
          <w:bCs w:val="1"/>
          <w:color w:val="auto"/>
        </w:rPr>
        <w:t>1,826,112</w:t>
      </w:r>
    </w:p>
    <w:p>
      <w:pPr>
        <w:spacing w:after="0" w:line="27" w:lineRule="exact"/>
        <w:rPr>
          <w:sz w:val="20"/>
          <w:szCs w:val="20"/>
          <w:color w:val="auto"/>
        </w:rPr>
      </w:pPr>
    </w:p>
    <w:p>
      <w:pPr>
        <w:sectPr>
          <w:pgSz w:w="11900" w:h="16838" w:orient="portrait"/>
          <w:cols w:equalWidth="0" w:num="2">
            <w:col w:w="8093" w:space="720"/>
            <w:col w:w="2607"/>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74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foreign currency translation (loss) gain attributable to Non-controlling interest</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comprehensive loss attributable to CLPS Incorporation’s shareholders</w:t>
            </w:r>
          </w:p>
        </w:tc>
        <w:tc>
          <w:tcPr>
            <w:tcW w:w="13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vMerge w:val="continue"/>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1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(385,629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1,952,536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1,440,483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175,644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2,128,180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1,397,871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9" w:name="page110"/>
    <w:bookmarkEnd w:id="10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Retained</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22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rPr>
              <w:t>Common Share</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Earnings</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222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Statutory</w:t>
            </w:r>
          </w:p>
        </w:tc>
        <w:tc>
          <w:tcPr>
            <w:tcW w:w="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Surplus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Deficit)</w:t>
            </w: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(Loss)</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interest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2015</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2,696,377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2,639,885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5,913,141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Shareholder’s contribution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3,377,813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3,377,813</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Recapitalization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Shanghai CLPS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1,051,952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(551,684)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(500,268)</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Non-controlling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contribution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46,919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Non-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Dividends declared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(6,521,233)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(6,521,233)</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1,826,112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1,784,971</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Appropriation of statutory</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reserve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429,439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(429,439)</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(385,629)</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03"/>
        </w:trPr>
        <w:tc>
          <w:tcPr>
            <w:tcW w:w="2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June 30, 2016</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11,290,000</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1,129</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7,120,943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418,722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(2,984,943)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(352,361)</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4,034</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4,207,524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rPr>
              <w:t>Non-controlling interest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through acquisition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290,994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(1,321,838)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(1,321,838)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2,047,445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173,912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2,221,357</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Appropriation of statutory</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261,949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(261,949)</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40" w:type="dxa"/>
            <w:vAlign w:val="bottom"/>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14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(94,909)</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(93,177)</w:t>
            </w:r>
          </w:p>
        </w:tc>
        <w:tc>
          <w:tcPr>
            <w:tcW w:w="0" w:type="dxa"/>
            <w:vAlign w:val="bottom"/>
          </w:tcPr>
          <w:p>
            <w:pPr>
              <w:spacing w:after="0"/>
              <w:rPr>
                <w:sz w:val="1"/>
                <w:szCs w:val="1"/>
                <w:color w:val="auto"/>
              </w:rPr>
            </w:pPr>
          </w:p>
        </w:tc>
      </w:tr>
      <w:tr>
        <w:trPr>
          <w:trHeight w:val="188"/>
        </w:trPr>
        <w:tc>
          <w:tcPr>
            <w:tcW w:w="2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11,290,000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7,120,943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680,671</w:t>
            </w:r>
          </w:p>
        </w:tc>
        <w:tc>
          <w:tcPr>
            <w:tcW w:w="1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271" w:lineRule="exact"/>
              <w:rPr>
                <w:sz w:val="20"/>
                <w:szCs w:val="20"/>
                <w:color w:val="auto"/>
              </w:rPr>
            </w:pPr>
            <w:r>
              <w:rPr>
                <w:rFonts w:ascii="Arial" w:cs="Arial" w:eastAsia="Arial" w:hAnsi="Arial"/>
                <w:sz w:val="16"/>
                <w:szCs w:val="16"/>
                <w:color w:val="auto"/>
              </w:rPr>
              <w:t>(2,521,285</w:t>
            </w:r>
            <w:r>
              <w:rPr>
                <w:rFonts w:ascii="Arial" w:cs="Arial" w:eastAsia="Arial" w:hAnsi="Arial"/>
                <w:sz w:val="31"/>
                <w:szCs w:val="31"/>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line="271" w:lineRule="exact"/>
              <w:rPr>
                <w:sz w:val="20"/>
                <w:szCs w:val="20"/>
                <w:color w:val="auto"/>
              </w:rPr>
            </w:pPr>
            <w:r>
              <w:rPr>
                <w:rFonts w:ascii="Arial" w:cs="Arial" w:eastAsia="Arial" w:hAnsi="Arial"/>
                <w:sz w:val="16"/>
                <w:szCs w:val="16"/>
                <w:color w:val="auto"/>
              </w:rPr>
              <w:t>(447,270</w:t>
            </w:r>
            <w:r>
              <w:rPr>
                <w:rFonts w:ascii="Arial" w:cs="Arial" w:eastAsia="Arial" w:hAnsi="Arial"/>
                <w:sz w:val="31"/>
                <w:szCs w:val="31"/>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5,311,298</w:t>
            </w:r>
          </w:p>
        </w:tc>
        <w:tc>
          <w:tcPr>
            <w:tcW w:w="0" w:type="dxa"/>
            <w:vAlign w:val="bottom"/>
          </w:tcPr>
          <w:p>
            <w:pPr>
              <w:spacing w:after="0"/>
              <w:rPr>
                <w:sz w:val="1"/>
                <w:szCs w:val="1"/>
                <w:color w:val="auto"/>
              </w:rPr>
            </w:pPr>
          </w:p>
        </w:tc>
      </w:tr>
      <w:tr>
        <w:trPr>
          <w:trHeight w:val="21"/>
        </w:trPr>
        <w:tc>
          <w:tcPr>
            <w:tcW w:w="2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0" w:name="page111"/>
    <w:bookmarkEnd w:id="1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2,221,357</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tax benefit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Changes in assets and liabilities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(2,410,155)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Prepayment, deposits and other assets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(357,761)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income tax</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payable and other current liabilities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52,574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Customer deposits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Salaries and benefits payable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899,462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Taxes payable</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219,672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208,772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(62,518)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for business acquisition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acquired from acquisition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266,856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 (acquisition) of long term investment</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44,061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3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(101,218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(374,348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contribution by shareholders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Non-controlling interest shareholder’s contribution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non-controlling interest</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from related parties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Amounts due to related parties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(102,754)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77,590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paid</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(736,436)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3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(832,752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(378,837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(153,002)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in cash</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(462,628)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3,481,312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5,277,196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1,795,884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4,814,568</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 paid</w:t>
            </w:r>
          </w:p>
        </w:tc>
        <w:tc>
          <w:tcPr>
            <w:tcW w:w="1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335,143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Transactions of Investing and Financing Activities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 included in due to related parties</w:t>
            </w:r>
          </w:p>
        </w:tc>
        <w:tc>
          <w:tcPr>
            <w:tcW w:w="1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585,402</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Payable for business acquisition</w:t>
            </w: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128,371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Dividend contributed to capital</w:t>
            </w:r>
          </w:p>
        </w:tc>
        <w:tc>
          <w:tcPr>
            <w:tcW w:w="1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1" w:name="page112"/>
    <w:bookmarkEnd w:id="1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and president, together with Mr. Raymond Ming Hui Lin, the Company’s Chief Executive Officer (“CEO”) are the controlling shareholders of the Company. (the “controlling shareholder”).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together with Mr. Raymond Ming Hui Lin, the Company’s Chief Executive Officer (“CEO”) are the controlling shareholders of the Company (the “Controlling shareholders”).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reorganization of the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Prior to the reorganization, CLPS Shanghai’s equity interests were 100% controlled by the same group of the controlling shareholders of CLPS.</w:t>
      </w:r>
    </w:p>
    <w:p>
      <w:pPr>
        <w:spacing w:after="0" w:line="23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the Company and its subsidiaries are effectively controlled by the same group of the shareholders before and after the reorganization, they are considered under common control. The above 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12" w:name="page113"/>
    <w:bookmarkEnd w:id="1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 continued</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Upon the reorganization, the Company has subsidiaries in PRC, Hong Kong, Taiwan, British Virgin Islands, Australia and Singapore. Details of the subsidiaries of the Company are set out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 of Incorporation/</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6"/>
                <w:szCs w:val="16"/>
                <w:b w:val="1"/>
                <w:bCs w:val="1"/>
                <w:color w:val="auto"/>
              </w:rPr>
              <w:t>Name of Entity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acquisition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Place of Incorporation</w:t>
            </w:r>
          </w:p>
        </w:tc>
        <w:tc>
          <w:tcPr>
            <w:tcW w:w="3620" w:type="dxa"/>
            <w:vAlign w:val="bottom"/>
            <w:gridSpan w:val="3"/>
          </w:tcPr>
          <w:p>
            <w:pPr>
              <w:ind w:left="920"/>
              <w:spacing w:after="0"/>
              <w:rPr>
                <w:sz w:val="20"/>
                <w:szCs w:val="20"/>
                <w:color w:val="auto"/>
              </w:rPr>
            </w:pPr>
            <w:r>
              <w:rPr>
                <w:rFonts w:ascii="Arial" w:cs="Arial" w:eastAsia="Arial" w:hAnsi="Arial"/>
                <w:sz w:val="16"/>
                <w:szCs w:val="16"/>
                <w:b w:val="1"/>
                <w:bCs w:val="1"/>
                <w:color w:val="auto"/>
              </w:rPr>
              <w:t>% of Equity Ownership</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3"/>
              </w:rPr>
              <w:t>Principal Activities</w:t>
            </w:r>
          </w:p>
        </w:tc>
      </w:tr>
      <w:tr>
        <w:trPr>
          <w:trHeight w:val="193"/>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CLPS Incorporation (“CLPS” or</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Incorporated on</w:t>
            </w: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Cayman Islands</w:t>
            </w:r>
          </w:p>
        </w:tc>
        <w:tc>
          <w:tcPr>
            <w:tcW w:w="1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Parent</w:t>
            </w: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“Company”)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May 11,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Qinheng Co., Limited (“Qinheng”)</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9,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Qiner Co., Limited (“Qiner”)</w:t>
            </w:r>
          </w:p>
        </w:tc>
        <w:tc>
          <w:tcPr>
            <w:tcW w:w="1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21,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Shanghai Qincheng Information</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Technology Co., Ltd (“CLPS QC”</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August 4,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480" w:type="dxa"/>
            <w:vAlign w:val="bottom"/>
            <w:gridSpan w:val="2"/>
          </w:tcPr>
          <w:p>
            <w:pPr>
              <w:spacing w:after="0"/>
              <w:rPr>
                <w:sz w:val="20"/>
                <w:szCs w:val="20"/>
                <w:color w:val="auto"/>
              </w:rPr>
            </w:pPr>
            <w:r>
              <w:rPr>
                <w:rFonts w:ascii="Arial" w:cs="Arial" w:eastAsia="Arial" w:hAnsi="Arial"/>
                <w:sz w:val="16"/>
                <w:szCs w:val="16"/>
                <w:color w:val="auto"/>
              </w:rPr>
              <w:t>or “WOFE”)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ChinaLink Professional Service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Incorporated on August</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 Ltd (“CLPS Shanghai”)</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30, 2005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CLPS Dalian Co., Ltd (“CLPS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Incorporated on May 25,</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Dalian,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6"/>
        </w:trPr>
        <w:tc>
          <w:tcPr>
            <w:tcW w:w="2480" w:type="dxa"/>
            <w:vAlign w:val="bottom"/>
            <w:gridSpan w:val="2"/>
          </w:tcPr>
          <w:p>
            <w:pPr>
              <w:spacing w:after="0"/>
              <w:rPr>
                <w:sz w:val="20"/>
                <w:szCs w:val="20"/>
                <w:color w:val="auto"/>
              </w:rPr>
            </w:pPr>
            <w:r>
              <w:rPr>
                <w:rFonts w:ascii="Arial" w:cs="Arial" w:eastAsia="Arial" w:hAnsi="Arial"/>
                <w:sz w:val="16"/>
                <w:szCs w:val="16"/>
                <w:color w:val="auto"/>
              </w:rPr>
              <w:t>Dalian”)</w:t>
            </w:r>
          </w:p>
        </w:tc>
        <w:tc>
          <w:tcPr>
            <w:tcW w:w="1700" w:type="dxa"/>
            <w:vAlign w:val="bottom"/>
          </w:tcPr>
          <w:p>
            <w:pPr>
              <w:jc w:val="center"/>
              <w:spacing w:after="0"/>
              <w:rPr>
                <w:sz w:val="20"/>
                <w:szCs w:val="20"/>
                <w:color w:val="auto"/>
              </w:rPr>
            </w:pPr>
            <w:r>
              <w:rPr>
                <w:rFonts w:ascii="Arial" w:cs="Arial" w:eastAsia="Arial" w:hAnsi="Arial"/>
                <w:sz w:val="16"/>
                <w:szCs w:val="16"/>
                <w:color w:val="auto"/>
                <w:w w:val="84"/>
              </w:rPr>
              <w:t>2011</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CLPS Ruicheng Co., Ltd (“CLPS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RC”)</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26, 2013</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CLPS Beijing Hengtong Co., Ltd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Beijing, China</w:t>
            </w:r>
          </w:p>
        </w:tc>
        <w:tc>
          <w:tcPr>
            <w:tcW w:w="1780" w:type="dxa"/>
            <w:vAlign w:val="bottom"/>
          </w:tcPr>
          <w:p>
            <w:pPr>
              <w:jc w:val="center"/>
              <w:ind w:right="19"/>
              <w:spacing w:after="0"/>
              <w:rPr>
                <w:sz w:val="20"/>
                <w:szCs w:val="20"/>
                <w:color w:val="auto"/>
              </w:rPr>
            </w:pPr>
            <w:r>
              <w:rPr>
                <w:rFonts w:ascii="Arial" w:cs="Arial" w:eastAsia="Arial" w:hAnsi="Arial"/>
                <w:sz w:val="16"/>
                <w:szCs w:val="16"/>
                <w:color w:val="auto"/>
                <w:w w:val="92"/>
              </w:rPr>
              <w:t>70% owned by CLPS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(“CLPS Beijing”)</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March 30, 2015</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Shanghai and 30% owned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by unrelated individual</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shareholders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CLPS TECHNOLOGY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Incorporated on August</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Singapore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(SINGAPORE) PTE.LTD (“CLPS</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18, 2015</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SG”)</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CLPS TECHNOLOGY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Incorporated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Australia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(AUSTRALIA) PTY LTD (“CLPS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on November 10, 2015</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480" w:type="dxa"/>
            <w:vAlign w:val="bottom"/>
            <w:gridSpan w:val="2"/>
          </w:tcPr>
          <w:p>
            <w:pPr>
              <w:spacing w:after="0"/>
              <w:rPr>
                <w:sz w:val="20"/>
                <w:szCs w:val="20"/>
                <w:color w:val="auto"/>
              </w:rPr>
            </w:pPr>
            <w:r>
              <w:rPr>
                <w:rFonts w:ascii="Arial" w:cs="Arial" w:eastAsia="Arial" w:hAnsi="Arial"/>
                <w:sz w:val="16"/>
                <w:szCs w:val="16"/>
                <w:color w:val="auto"/>
              </w:rPr>
              <w:t>AU”)</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CLPS Technology (Hong Kong)</w:t>
            </w:r>
          </w:p>
        </w:tc>
        <w:tc>
          <w:tcPr>
            <w:tcW w:w="18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1"/>
              </w:rPr>
              <w:t>Incorporated on January</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80% owned by CLPS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 Limited (“CLPS Hong Kong”)</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7, 2016</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Shanghai and 20% owned</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by unrelated individual</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shareholders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Judge (Shanghai) Co., Ltd (“Judge</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Acquired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tcPr>
          <w:p>
            <w:pPr>
              <w:jc w:val="center"/>
              <w:ind w:right="19"/>
              <w:spacing w:after="0"/>
              <w:rPr>
                <w:sz w:val="20"/>
                <w:szCs w:val="20"/>
                <w:color w:val="auto"/>
              </w:rPr>
            </w:pPr>
            <w:r>
              <w:rPr>
                <w:rFonts w:ascii="Arial" w:cs="Arial" w:eastAsia="Arial" w:hAnsi="Arial"/>
                <w:sz w:val="16"/>
                <w:szCs w:val="16"/>
                <w:color w:val="auto"/>
                <w:w w:val="92"/>
              </w:rPr>
              <w:t>60% owned by CLPS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November 9, 2016</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Shanghai and 40% owned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by an unrelated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Judge (Shanghai) Human Resource</w:t>
            </w:r>
          </w:p>
        </w:tc>
        <w:tc>
          <w:tcPr>
            <w:tcW w:w="1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Acquired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Shanghai,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70% owned by Judge</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 Ltd (“Judge HR”)</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November 9, 2016</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China and 30% owned by</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an unrelated company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CLPS Shenzhen Co., Ltd (“CLPS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Shenzhen, China</w:t>
            </w:r>
          </w:p>
        </w:tc>
        <w:tc>
          <w:tcPr>
            <w:tcW w:w="1780" w:type="dxa"/>
            <w:vAlign w:val="bottom"/>
          </w:tcPr>
          <w:p>
            <w:pPr>
              <w:jc w:val="center"/>
              <w:ind w:right="19"/>
              <w:spacing w:after="0"/>
              <w:rPr>
                <w:sz w:val="20"/>
                <w:szCs w:val="20"/>
                <w:color w:val="auto"/>
              </w:rPr>
            </w:pPr>
            <w:r>
              <w:rPr>
                <w:rFonts w:ascii="Arial" w:cs="Arial" w:eastAsia="Arial" w:hAnsi="Arial"/>
                <w:sz w:val="16"/>
                <w:szCs w:val="16"/>
                <w:color w:val="auto"/>
                <w:w w:val="92"/>
              </w:rPr>
              <w:t>70% owned by CLPS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Shenzhen”)</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7,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Shanghai and 30% owned</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by CLPS Hong Kong</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CLPS Guangzhou Co., Ltd(“CLPS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Guangzhou,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12"/>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Guangzhou”) *</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Tianjin Huanyu Qinshang Network</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Tianjin,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30%</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Equity investment</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Network technology</w:t>
            </w:r>
          </w:p>
        </w:tc>
      </w:tr>
      <w:tr>
        <w:trPr>
          <w:trHeight w:val="206"/>
        </w:trPr>
        <w:tc>
          <w:tcPr>
            <w:tcW w:w="2480" w:type="dxa"/>
            <w:vAlign w:val="bottom"/>
            <w:gridSpan w:val="2"/>
          </w:tcPr>
          <w:p>
            <w:pPr>
              <w:spacing w:after="0"/>
              <w:rPr>
                <w:sz w:val="20"/>
                <w:szCs w:val="20"/>
                <w:color w:val="auto"/>
              </w:rPr>
            </w:pPr>
            <w:r>
              <w:rPr>
                <w:rFonts w:ascii="Arial" w:cs="Arial" w:eastAsia="Arial" w:hAnsi="Arial"/>
                <w:sz w:val="16"/>
                <w:szCs w:val="16"/>
                <w:color w:val="auto"/>
              </w:rPr>
              <w:t>Technology Co., Ltd (“Huan Yu”) *</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CLIVST Ltd. (“CLIVST”) *</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British Virgin Islands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Holding Company</w:t>
            </w: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July 25,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FDT-CL Financial Technology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Incorporated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tcPr>
          <w:p>
            <w:pPr>
              <w:jc w:val="center"/>
              <w:spacing w:after="0"/>
              <w:rPr>
                <w:sz w:val="20"/>
                <w:szCs w:val="20"/>
                <w:color w:val="auto"/>
              </w:rPr>
            </w:pPr>
            <w:r>
              <w:rPr>
                <w:rFonts w:ascii="Arial" w:cs="Arial" w:eastAsia="Arial" w:hAnsi="Arial"/>
                <w:sz w:val="16"/>
                <w:szCs w:val="16"/>
                <w:color w:val="auto"/>
                <w:w w:val="95"/>
              </w:rPr>
              <w:t>52% owned by CLIVST,</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480" w:type="dxa"/>
            <w:vAlign w:val="bottom"/>
            <w:gridSpan w:val="2"/>
          </w:tcPr>
          <w:p>
            <w:pPr>
              <w:spacing w:after="0"/>
              <w:rPr>
                <w:sz w:val="20"/>
                <w:szCs w:val="20"/>
                <w:color w:val="auto"/>
              </w:rPr>
            </w:pPr>
            <w:r>
              <w:rPr>
                <w:rFonts w:ascii="Arial" w:cs="Arial" w:eastAsia="Arial" w:hAnsi="Arial"/>
                <w:sz w:val="16"/>
                <w:szCs w:val="16"/>
                <w:color w:val="auto"/>
              </w:rPr>
              <w:t>Services Limited (“FDT-CL”) *</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24,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48% owned by an</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unrelated individual</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spacing w:after="0"/>
              <w:rPr>
                <w:sz w:val="17"/>
                <w:szCs w:val="17"/>
                <w:color w:val="auto"/>
              </w:rPr>
            </w:pPr>
          </w:p>
        </w:tc>
      </w:tr>
      <w:tr>
        <w:trPr>
          <w:trHeight w:val="199"/>
        </w:trPr>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JQ Technology Co., Limited(“JQ”)</w:t>
            </w:r>
          </w:p>
        </w:tc>
        <w:tc>
          <w:tcPr>
            <w:tcW w:w="1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Acquired on</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Hong Kong, China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55% owned by Qiner,</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3"/>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17, 2017</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45% owned by an</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unrelated individuals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shd w:val="clear" w:color="auto" w:fill="CCEEFF"/>
          </w:tcPr>
          <w:p>
            <w:pPr>
              <w:spacing w:after="0"/>
              <w:rPr>
                <w:sz w:val="18"/>
                <w:szCs w:val="18"/>
                <w:color w:val="auto"/>
              </w:rPr>
            </w:pPr>
          </w:p>
        </w:tc>
      </w:tr>
      <w:tr>
        <w:trPr>
          <w:trHeight w:val="193"/>
        </w:trPr>
        <w:tc>
          <w:tcPr>
            <w:tcW w:w="2480" w:type="dxa"/>
            <w:vAlign w:val="bottom"/>
            <w:gridSpan w:val="2"/>
          </w:tcPr>
          <w:p>
            <w:pPr>
              <w:spacing w:after="0"/>
              <w:rPr>
                <w:sz w:val="20"/>
                <w:szCs w:val="20"/>
                <w:color w:val="auto"/>
              </w:rPr>
            </w:pPr>
            <w:r>
              <w:rPr>
                <w:rFonts w:ascii="Arial" w:cs="Arial" w:eastAsia="Arial" w:hAnsi="Arial"/>
                <w:sz w:val="16"/>
                <w:szCs w:val="16"/>
                <w:color w:val="auto"/>
              </w:rPr>
              <w:t>JIALIN Technology Limited (“JL”)</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Acquired on</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Taiwan</w:t>
            </w:r>
          </w:p>
        </w:tc>
        <w:tc>
          <w:tcPr>
            <w:tcW w:w="1780" w:type="dxa"/>
            <w:vAlign w:val="bottom"/>
          </w:tcPr>
          <w:p>
            <w:pPr>
              <w:jc w:val="center"/>
              <w:spacing w:after="0"/>
              <w:rPr>
                <w:sz w:val="20"/>
                <w:szCs w:val="20"/>
                <w:color w:val="auto"/>
              </w:rPr>
            </w:pPr>
            <w:r>
              <w:rPr>
                <w:rFonts w:ascii="Arial" w:cs="Arial" w:eastAsia="Arial" w:hAnsi="Arial"/>
                <w:sz w:val="16"/>
                <w:szCs w:val="16"/>
                <w:color w:val="auto"/>
                <w:w w:val="90"/>
              </w:rPr>
              <w:t>100% owned by JQ</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Software development</w:t>
            </w:r>
          </w:p>
        </w:tc>
      </w:t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17, 2017</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Consolidated subsidiary</w:t>
            </w:r>
          </w:p>
        </w:tc>
        <w:tc>
          <w:tcPr>
            <w:tcW w:w="1700" w:type="dxa"/>
            <w:vAlign w:val="bottom"/>
          </w:tcPr>
          <w:p>
            <w:pPr>
              <w:spacing w:after="0"/>
              <w:rPr>
                <w:sz w:val="17"/>
                <w:szCs w:val="17"/>
                <w:color w:val="auto"/>
              </w:rPr>
            </w:pPr>
          </w:p>
        </w:tc>
      </w:tr>
    </w:tbl>
    <w:p>
      <w:pPr>
        <w:spacing w:after="0" w:line="208" w:lineRule="exact"/>
        <w:rPr>
          <w:sz w:val="20"/>
          <w:szCs w:val="20"/>
          <w:color w:val="auto"/>
        </w:rPr>
      </w:pPr>
    </w:p>
    <w:p>
      <w:pPr>
        <w:ind w:left="460" w:right="26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Entities incorporated or acquired subsequent to June 30, 2017 are not included in the Company’s consolidated financial statement for years end June 30, 2017 and 2016.</w:t>
      </w:r>
    </w:p>
    <w:p>
      <w:pPr>
        <w:sectPr>
          <w:pgSz w:w="11900" w:h="16838" w:orient="portrait"/>
          <w:cols w:equalWidth="0" w:num="1">
            <w:col w:w="11420"/>
          </w:cols>
          <w:pgMar w:left="240" w:top="226" w:right="239" w:bottom="782"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782" w:gutter="0" w:footer="0" w:header="0"/>
          <w:type w:val="continuous"/>
        </w:sectPr>
      </w:pPr>
    </w:p>
    <w:bookmarkStart w:id="113" w:name="page114"/>
    <w:bookmarkEnd w:id="1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requirements of the Securities Exchange Commission (“SEC”).</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accompanying consolidated financial statements include the financial statements of CLPS, Qinheng, Qiner, CLPS QC, CLPS Shanghai, CLPS Beijing, CLPS RC, CLPS Dalian, CLPS AU, CLPS SG, CLPS Hong Kong, CLPS Shenzhen, Judge China and Judge HR. All inter-company balances and transactions have been eliminated upon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7"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225" w:lineRule="exact"/>
        <w:rPr>
          <w:rFonts w:ascii="Arial" w:cs="Arial" w:eastAsia="Arial" w:hAnsi="Arial"/>
          <w:sz w:val="18"/>
          <w:szCs w:val="18"/>
          <w:color w:val="auto"/>
        </w:rPr>
      </w:pPr>
    </w:p>
    <w:p>
      <w:pPr>
        <w:ind w:left="580" w:hanging="572"/>
        <w:spacing w:after="0" w:line="264"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Unless otherwise disclosed, the fair value of the Company’s financial instruments including cash and cash equivalents, accounts receivable, other receivables and other current assets, accounts payable, customer deposits, accrued expenses and other current liabilities approximates their recorded values due to their short-term maturities.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deposit and other assets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Prepayment, deposit and other assets primarily consists of advances to suppliers for purchasing goods or services that have not been received or provided and advances to employees. These advances are interest free, unsecured and short-term in nature and are reviewed periodically to determine whether their carrying value has become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contract costs represent costs incurred in advance of revenue recognition arising from direct and incremental staff costs in respect of the fixed fee contracts according to the customer’s requirements prior to the delivery of services, and such deferred costs will be recognized upon the recognition of the related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investment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Investee companies over which the Company has the ability to exercise significant influence, but does not have a controlling interest are accounted for using the equity method. Significant influence is generally considered to exist when the Company has an ownership interest in the voting shares of the investee between 20% and 50%, and other factors, such as representation in the investee’s Board of Directors, voting rights and the impact of commercial arrangements, are considered in determining whether the equity method of accounting is appropriate.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income and comprehensive income as an allocation of the total income or loss for the year between non-controlling interest holders and the shareholders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and amortization. The straight-line method is used to compute depreciation and amortization over the estimated useful lives of the assets,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w:t>
            </w:r>
          </w:p>
        </w:tc>
      </w:tr>
      <w:tr>
        <w:trPr>
          <w:trHeight w:val="202"/>
        </w:trPr>
        <w:tc>
          <w:tcPr>
            <w:tcW w:w="7440" w:type="dxa"/>
            <w:vAlign w:val="bottom"/>
            <w:shd w:val="clear" w:color="auto" w:fill="CCEEFF"/>
          </w:tcPr>
          <w:p>
            <w:pPr>
              <w:spacing w:after="0"/>
              <w:rPr>
                <w:sz w:val="17"/>
                <w:szCs w:val="17"/>
                <w:color w:val="auto"/>
              </w:rPr>
            </w:pPr>
          </w:p>
        </w:tc>
        <w:tc>
          <w:tcPr>
            <w:tcW w:w="398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rPr>
              <w:t>the shorter of lease terms or</w:t>
            </w: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estimated useful lives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Machinery equipment</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5–10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vehicles</w:t>
            </w: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980" w:type="dxa"/>
            <w:vAlign w:val="bottom"/>
          </w:tcPr>
          <w:p>
            <w:pPr>
              <w:jc w:val="center"/>
              <w:spacing w:after="0"/>
              <w:rPr>
                <w:sz w:val="20"/>
                <w:szCs w:val="20"/>
                <w:color w:val="auto"/>
              </w:rPr>
            </w:pPr>
            <w:r>
              <w:rPr>
                <w:rFonts w:ascii="Arial" w:cs="Arial" w:eastAsia="Arial" w:hAnsi="Arial"/>
                <w:sz w:val="18"/>
                <w:szCs w:val="18"/>
                <w:color w:val="auto"/>
                <w:w w:val="84"/>
              </w:rPr>
              <w:t>5 years</w:t>
            </w:r>
          </w:p>
        </w:tc>
      </w:tr>
    </w:tbl>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There was only one reporting unit (that also represented the operating segment) as of June 30, 2017. Goodwill was allocated to the one reporting unit as of June 30,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a comprehensive range of IT services and solutions, which primarily are on a time-and-expense basis, or fixed-price basis</w:t>
      </w:r>
    </w:p>
    <w:p>
      <w:pPr>
        <w:spacing w:after="0" w:line="23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Time-and-expense basis contracts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Fixed-price basis contracts</w:t>
      </w:r>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there are following separated service elements in the fixed-fee customized solution contract:</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Solution development service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multiple-element arrangements that include application customized services and PCS as well as specific service component,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w:t>
      </w:r>
    </w:p>
    <w:p>
      <w:pPr>
        <w:ind w:firstLine="8"/>
        <w:spacing w:after="0" w:line="269" w:lineRule="auto"/>
        <w:tabs>
          <w:tab w:leader="none" w:pos="3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best estimate of the selling price (“BESP”). The Company uses VSOE of selling price in the selling price allocation in all instances where it exists. VSOE of selling price for products and services is determined when a substantial majority of the selling prices fall within a reasonable range when sold separately. Otherwise, BESP is used because the Company’s customized application differs substantially from that of competitors, it is difficult to obtain the reliable standalone competitive pricing necessary to establish TPE. Accordingly, the Company uses its best estimate of selling prices of solution development service and PCS (and specific service if applicable) as the basis of revenue allocation. In estimating its selling price for solution development service and PCS (and specific service if applicable), the Company considers the internal estimated cost to provide such services adjusted by reasonable profit margin for similar arrangements, customer demand, and the historical pricing as significant factors to determine the BESP.</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8" w:name="page119"/>
    <w:bookmarkEnd w:id="1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Revenue allocates to solution development service component is recognized using contract accounting in accordance with Accounting Standards Codification (“ASC”) 605-35-25. The revenue recognition for these contracts varies depending on the terms of the individual contracts, and may be recognized proportionally over the term of the contract or deferred until the end of the contract term and recognized when our obligations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The Company has a long history of providing these services resulting in its ability to reasonably estimate the service hours expected to be incurred and the progress toward completion on each fixed-price customized contract based on the proportion of service hours incurred to date relative to total estimated service hours at completion. Estimated contract costs are based on the budgeted service hours, which are updated based on the progress toward completion on a monthly basis. Pursuant to the contract terms, the Company has enforceable right on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Differences between the timing of billings and the recognition of revenue based on various methods of accounting are recorded as deferred revenue.</w:t>
      </w:r>
    </w:p>
    <w:p>
      <w:pPr>
        <w:spacing w:after="0" w:line="23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9" w:name="page120"/>
    <w:bookmarkEnd w:id="1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Research and development incur in the development of new software modules and products, either as part of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and were included in other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expenditures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Advertising expenditures are expensed as incurred and such expenses were minimal for the periods presented. Advertising expenditures have been included as part of selling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was expensed as incurred.</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120" w:name="page121"/>
    <w:bookmarkEnd w:id="1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All of the tax returns of the Company’s subsidiaries in China remain subject to examination by the tax authorities for five years from the date of filing through year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added tax (“VAT”)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 represents the invoiced value of service, net of VAT. The VAT is based on gross sales price and VAT rates range up to 17%, depending on the type of service provided. Entities that are VAT general taxpayers are allowed to offset qualified input VAT paid to suppliers against their output VAT liabilities. Net VAT balance between input VAT and output VAT is recorded in tax payable. All of the VAT returns filed by the company’s subsidiaries in China, have been and remain subject to examination by the tax authorities for five years from the date of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computes earnings per share (“EPS”) in accordance with ASC 260, “Earnings per Share”. ASC 260 requires companies to present basic and diluted EPS. Basic EPS is measured as net income divided by the weighted average common share outstanding for the period. Diluted EPS presents the dilutive effect on a per share basis of the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21" w:name="page122"/>
    <w:bookmarkEnd w:id="1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functional currencies of the Company are the local currency of the county in which the subsidiary operates. The Company’s financial statements are reported using U.S. Dollars. The results of operations and the consolidated statements of cash flows denominated in foreign currencies are translated at the average rates of exchange during the reporting period. Assets and liabilities denominated in foreign currencies at the balance sheet date are translated at the applicable rates of exchange in effect at that date. The equity denominated in the functional currencies is translated at the historical rates of exchange at the time of capital contributions. Because cash flows are translated based on the average translation rates,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consolidated statement of income and comprehensive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Comprehensive income (loss) consists of two components, net income (loss) and other comprehensive income (loss). Other comprehensive income (loss) refers to revenue, expenses, gains and losses that under GAAP are recorded as an element of shareholders’ equity but are excluded from net income. Other comprehensive income (loss) consists of a foreign currency translation adjustment resulting from the Company not using the U.S. dollar as its functional currencies.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7.2% in fiscal year 2016 and further depreciated by 2.0% in fiscal 2017.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4"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Concentration of credit risk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2017 and 2016, $4,199,905 and $4,890,214 of the Company’s cash and cash equivalents was on deposit at financial institutions in the PRC where there currently is no rule or regulation requiring such financial institutions to maintain insurance to cover bank deposits in the event of bank failure. As of June 30, 2017, the Company had $130,614, $130,413 and $353,636 of cash and cash equivalents on deposit at financial institutions in Singapore, Australia and Hong Kong, respectively. As of June 30, 2016, the Company had $224,292, $136,914 and $25,776 of cash and cash equivalents on deposit at financial institutions in Singapore, Australia and Hong Kong, respectively.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22" w:name="page123"/>
    <w:bookmarkEnd w:id="1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9" w:lineRule="exact"/>
        <w:rPr>
          <w:sz w:val="20"/>
          <w:szCs w:val="20"/>
          <w:color w:val="auto"/>
        </w:rPr>
      </w:pPr>
    </w:p>
    <w:p>
      <w:pPr>
        <w:ind w:left="300" w:hanging="292"/>
        <w:spacing w:after="0"/>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June 30, 2017 and 2016, one customer with its affiliates accounted for 38.6% and 59.2% of the Company’s total revenues,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June 30, 2017, one customer and its affiliates accounted for 39.1% of the Company’s total accounts receivable balance.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2016, two customers and its affiliates accounted for 47.3% and 10.0% of the Company’s total accounts receivable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123" w:name="page124"/>
    <w:bookmarkEnd w:id="1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We are planning to adopt Topic 606 in the first quarter of our fiscal 2019 using the retrospective transition method, and are continuing to evaluate the impact our pending adoption of Topic 606 will have on our unaudited condensed consolidated financial statements. The Company’s current revenue recognition policies are generally consistent with the new revenue recognition standards set forth in ASU 2014-</w:t>
      </w:r>
    </w:p>
    <w:p>
      <w:pPr>
        <w:spacing w:after="0" w:line="10" w:lineRule="exact"/>
        <w:rPr>
          <w:sz w:val="20"/>
          <w:szCs w:val="20"/>
          <w:color w:val="auto"/>
        </w:rPr>
      </w:pPr>
    </w:p>
    <w:p>
      <w:pPr>
        <w:ind w:right="460" w:firstLine="8"/>
        <w:spacing w:after="0" w:line="255" w:lineRule="auto"/>
        <w:tabs>
          <w:tab w:leader="none" w:pos="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adjustments to input measures are not expected to be pervasive to the majority of the Company’s contracts. While no significant impact is expected upon adoption of the new guidance, the Company will not be able to make that determination until the time of adoption based upon outstanding contracts at that time.</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The Company has not early adopted this update and it will become effective on July 1, 2019. The Company is currently evaluating the impact of this new standard on its consolidated financial statements and related disclosures.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4" w:name="page125"/>
    <w:bookmarkEnd w:id="1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5" w:name="page126"/>
    <w:bookmarkEnd w:id="1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8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6" w:name="page127"/>
    <w:bookmarkEnd w:id="1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November 9, 2016, CLPS Shanghai acquired 60% of Judge China and its 70% owned subsidiary Judge HR from Judge Company Asia Limited (“Judge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Asia”) with the final purchase price of $480,061 (RMB 3.25 million). The Company funded the acquisition with cash and a payable to Judge Asia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$128,928 (RMB 0.9 million), of which $103,255 was subsequently offset with the Company’s receivables from Judge Asia. The Company believes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will allow it to better manage opportunities and capitalize on the growth potential in the human resource related industries.</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Intangible – customer relationship, net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Wages payable and accruals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intangible assets include customer contacts of $339,883, which was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 (a) the assembled work force and (b) the expected but unidentifiable business growth as a result of the synergy resulting from the acquisition.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6,753,891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(109,117)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(46,774)</w:t>
            </w:r>
          </w:p>
        </w:tc>
        <w:tc>
          <w:tcPr>
            <w:tcW w:w="0" w:type="dxa"/>
            <w:vAlign w:val="bottom"/>
          </w:tcPr>
          <w:p>
            <w:pPr>
              <w:spacing w:after="0"/>
              <w:rPr>
                <w:sz w:val="1"/>
                <w:szCs w:val="1"/>
                <w:color w:val="auto"/>
              </w:rPr>
            </w:pPr>
          </w:p>
        </w:tc>
      </w:tr>
      <w:tr>
        <w:trPr>
          <w:trHeight w:val="27"/>
        </w:trPr>
        <w:tc>
          <w:tcPr>
            <w:tcW w:w="6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vMerge w:val="continue"/>
            <w:shd w:val="clear" w:color="auto" w:fill="CCEEFF"/>
          </w:tcPr>
          <w:p>
            <w:pPr>
              <w:spacing w:after="0"/>
              <w:rPr>
                <w:sz w:val="21"/>
                <w:szCs w:val="21"/>
                <w:color w:val="auto"/>
              </w:rPr>
            </w:pPr>
          </w:p>
        </w:tc>
        <w:tc>
          <w:tcPr>
            <w:tcW w:w="29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6,644,774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4,373,489</w:t>
            </w:r>
          </w:p>
        </w:tc>
        <w:tc>
          <w:tcPr>
            <w:tcW w:w="0" w:type="dxa"/>
            <w:vAlign w:val="bottom"/>
          </w:tcPr>
          <w:p>
            <w:pPr>
              <w:spacing w:after="0"/>
              <w:rPr>
                <w:sz w:val="1"/>
                <w:szCs w:val="1"/>
                <w:color w:val="auto"/>
              </w:rPr>
            </w:pPr>
          </w:p>
        </w:tc>
      </w:tr>
      <w:tr>
        <w:trPr>
          <w:trHeight w:val="21"/>
        </w:trPr>
        <w:tc>
          <w:tcPr>
            <w:tcW w:w="61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Unbilled accounts receivable included in trade accounts receivable above amounted to $263,434 and $0 as of June 30, 2017 and 2016,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Movement of the allowance for doubtful accounts is as follows: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46,774</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62,990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vMerge w:val="continue"/>
          </w:tcPr>
          <w:p>
            <w:pPr>
              <w:spacing w:after="0"/>
              <w:rPr>
                <w:sz w:val="20"/>
                <w:szCs w:val="20"/>
                <w:color w:val="auto"/>
              </w:rPr>
            </w:pPr>
          </w:p>
        </w:tc>
        <w:tc>
          <w:tcPr>
            <w:tcW w:w="1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109,117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NOTE 5 – PREPAYMENTS, DEPOSITS AND OTHER ASSETS, NET</w:t>
            </w: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Prepayments, deposits and other assets consisted of the following:</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Advances and deposits to suppliers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231,731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179,384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Note receivable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21,813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47,783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(41,602)</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(18,390)</w:t>
            </w:r>
          </w:p>
        </w:tc>
        <w:tc>
          <w:tcPr>
            <w:tcW w:w="0" w:type="dxa"/>
            <w:vAlign w:val="bottom"/>
          </w:tcPr>
          <w:p>
            <w:pPr>
              <w:spacing w:after="0"/>
              <w:rPr>
                <w:sz w:val="1"/>
                <w:szCs w:val="1"/>
                <w:color w:val="auto"/>
              </w:rPr>
            </w:pPr>
          </w:p>
        </w:tc>
      </w:tr>
      <w:tr>
        <w:trPr>
          <w:trHeight w:val="216"/>
        </w:trPr>
        <w:tc>
          <w:tcPr>
            <w:tcW w:w="7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702,174</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374,404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Less: Long term portion</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(123,783)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(114,248)</w:t>
            </w:r>
          </w:p>
        </w:tc>
        <w:tc>
          <w:tcPr>
            <w:tcW w:w="0" w:type="dxa"/>
            <w:vAlign w:val="bottom"/>
          </w:tcPr>
          <w:p>
            <w:pPr>
              <w:spacing w:after="0"/>
              <w:rPr>
                <w:sz w:val="1"/>
                <w:szCs w:val="1"/>
                <w:color w:val="auto"/>
              </w:rPr>
            </w:pPr>
          </w:p>
        </w:tc>
      </w:tr>
      <w:tr>
        <w:trPr>
          <w:trHeight w:val="27"/>
        </w:trPr>
        <w:tc>
          <w:tcPr>
            <w:tcW w:w="7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1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vMerge w:val="continue"/>
            <w:shd w:val="clear" w:color="auto" w:fill="CCEEFF"/>
          </w:tcPr>
          <w:p>
            <w:pPr>
              <w:spacing w:after="0"/>
              <w:rPr>
                <w:sz w:val="21"/>
                <w:szCs w:val="21"/>
                <w:color w:val="auto"/>
              </w:rPr>
            </w:pPr>
          </w:p>
        </w:tc>
        <w:tc>
          <w:tcPr>
            <w:tcW w:w="19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578,391</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260,156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Movement of the allowance for doubtful accounts is as follows:</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23,473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vMerge w:val="continue"/>
          </w:tcPr>
          <w:p>
            <w:pPr>
              <w:spacing w:after="0"/>
              <w:rPr>
                <w:sz w:val="20"/>
                <w:szCs w:val="20"/>
                <w:color w:val="auto"/>
              </w:rPr>
            </w:pPr>
          </w:p>
        </w:tc>
        <w:tc>
          <w:tcPr>
            <w:tcW w:w="1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41,602</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 TERM INVESTMENT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2016, the Company’s subsidiary CLPS Shanghai invested $45,141 (or RMB 300,000) in Guangzhou Rongzhuan Technology Co., Ltd (“Guangzhou Rongzhuan”) to acquire a 30% equity interest in Guangzhou Rongzhuan. The balance of 70% of the equity of Guangzhou Rongzhuan was held by three independent shareholders. Rongzhuan provides system training and software development business in Guangzhou, PRC. As the Company has the ability to exercise significant influence over the operating and financial decisions, the equity method was used to account for the investment. Due to Guangzhou Ronghuan’s slow business development, CLPS Shanghai in March 2017 sold its investment to the other existing shareholders of Guangzhou Rongzhuan at cost.</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8" w:name="page129"/>
    <w:bookmarkEnd w:id="1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Office Furniture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100,524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104,817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Leasehold improvement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66,157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67,485</w:t>
            </w:r>
          </w:p>
        </w:tc>
        <w:tc>
          <w:tcPr>
            <w:tcW w:w="0" w:type="dxa"/>
            <w:vAlign w:val="bottom"/>
          </w:tcPr>
          <w:p>
            <w:pPr>
              <w:spacing w:after="0"/>
              <w:rPr>
                <w:sz w:val="1"/>
                <w:szCs w:val="1"/>
                <w:color w:val="auto"/>
              </w:rPr>
            </w:pPr>
          </w:p>
        </w:tc>
      </w:tr>
      <w:tr>
        <w:trPr>
          <w:trHeight w:val="216"/>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(315,630)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(209,929)</w:t>
            </w:r>
          </w:p>
        </w:tc>
        <w:tc>
          <w:tcPr>
            <w:tcW w:w="0" w:type="dxa"/>
            <w:vAlign w:val="bottom"/>
          </w:tcPr>
          <w:p>
            <w:pPr>
              <w:spacing w:after="0"/>
              <w:rPr>
                <w:sz w:val="1"/>
                <w:szCs w:val="1"/>
                <w:color w:val="auto"/>
              </w:rPr>
            </w:pPr>
          </w:p>
        </w:tc>
      </w:tr>
      <w:tr>
        <w:trPr>
          <w:trHeight w:val="27"/>
        </w:trPr>
        <w:tc>
          <w:tcPr>
            <w:tcW w:w="6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vMerge w:val="continue"/>
            <w:shd w:val="clear" w:color="auto" w:fill="CCEEFF"/>
          </w:tcPr>
          <w:p>
            <w:pPr>
              <w:spacing w:after="0"/>
              <w:rPr>
                <w:sz w:val="21"/>
                <w:szCs w:val="21"/>
                <w:color w:val="auto"/>
              </w:rPr>
            </w:pPr>
          </w:p>
        </w:tc>
        <w:tc>
          <w:tcPr>
            <w:tcW w:w="2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273,347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326,820</w:t>
            </w:r>
          </w:p>
        </w:tc>
        <w:tc>
          <w:tcPr>
            <w:tcW w:w="0" w:type="dxa"/>
            <w:vAlign w:val="bottom"/>
          </w:tcPr>
          <w:p>
            <w:pPr>
              <w:spacing w:after="0"/>
              <w:rPr>
                <w:sz w:val="1"/>
                <w:szCs w:val="1"/>
                <w:color w:val="auto"/>
              </w:rPr>
            </w:pPr>
          </w:p>
        </w:tc>
      </w:tr>
      <w:tr>
        <w:trPr>
          <w:trHeight w:val="21"/>
        </w:trPr>
        <w:tc>
          <w:tcPr>
            <w:tcW w:w="63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$109,356 and $54,105 for the years ended June 30,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consisted of customer contacts acquired by Judge China. Judge China was acquired by the Company on November 9, 2016 (Note 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contacts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right w:val="single" w:sz="8" w:color="CCEEFF"/>
            </w:tcBorders>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0"/>
              </w:rPr>
              <w:t>Amortization expense was $34,270 for the year ended June 30, 2017. Estimated future amortization expense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expense</w:t>
            </w:r>
          </w:p>
        </w:tc>
        <w:tc>
          <w:tcPr>
            <w:tcW w:w="0" w:type="dxa"/>
            <w:vAlign w:val="bottom"/>
          </w:tcPr>
          <w:p>
            <w:pPr>
              <w:spacing w:after="0"/>
              <w:rPr>
                <w:sz w:val="1"/>
                <w:szCs w:val="1"/>
                <w:color w:val="auto"/>
              </w:rPr>
            </w:pPr>
          </w:p>
        </w:tc>
      </w:tr>
      <w:tr>
        <w:trPr>
          <w:trHeight w:val="216"/>
        </w:trPr>
        <w:tc>
          <w:tcPr>
            <w:tcW w:w="88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Remaining</w:t>
            </w: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305,464</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bottom w:val="single" w:sz="8" w:color="CCEEFF"/>
            </w:tcBorders>
            <w:vMerge w:val="restart"/>
          </w:tcPr>
          <w:p>
            <w:pPr>
              <w:ind w:left="5560"/>
              <w:spacing w:after="0"/>
              <w:rPr>
                <w:sz w:val="20"/>
                <w:szCs w:val="20"/>
                <w:color w:val="auto"/>
              </w:rPr>
            </w:pPr>
            <w:r>
              <w:rPr>
                <w:rFonts w:ascii="Arial" w:cs="Arial" w:eastAsia="Arial" w:hAnsi="Arial"/>
                <w:sz w:val="18"/>
                <w:szCs w:val="18"/>
                <w:color w:val="auto"/>
              </w:rPr>
              <w:t>F-25</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8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29" w:name="page130"/>
    <w:bookmarkEnd w:id="1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 ended June 30, 2017 were as follows:</w:t>
      </w:r>
    </w:p>
    <w:p>
      <w:pPr>
        <w:spacing w:after="0" w:line="221"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2017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2016</w:t>
            </w: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Goodwill arising from acquisition of Judge China (Note 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194,237</w:t>
            </w:r>
          </w:p>
        </w:tc>
        <w:tc>
          <w:tcPr>
            <w:tcW w:w="100" w:type="dxa"/>
            <w:vAlign w:val="bottom"/>
          </w:tcPr>
          <w:p>
            <w:pPr>
              <w:spacing w:after="0"/>
              <w:rPr>
                <w:sz w:val="18"/>
                <w:szCs w:val="18"/>
                <w:color w:val="auto"/>
              </w:rPr>
            </w:pPr>
          </w:p>
        </w:tc>
      </w:tr>
      <w:tr>
        <w:trPr>
          <w:trHeight w:val="237"/>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10180" w:type="dxa"/>
            <w:vAlign w:val="bottom"/>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195,080</w:t>
            </w:r>
          </w:p>
        </w:tc>
        <w:tc>
          <w:tcPr>
            <w:tcW w:w="100" w:type="dxa"/>
            <w:vAlign w:val="bottom"/>
          </w:tcPr>
          <w:p>
            <w:pPr>
              <w:spacing w:after="0"/>
              <w:rPr>
                <w:sz w:val="21"/>
                <w:szCs w:val="21"/>
                <w:color w:val="auto"/>
              </w:rPr>
            </w:pP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performed its annual goodwill impairment review for the year ended June 30, 2017 and determined there was no impairment as of June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SALARIES AND BENEFITS PAYABLE</w:t>
      </w:r>
    </w:p>
    <w:p>
      <w:pPr>
        <w:spacing w:after="0" w:line="23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tabs>
          <w:tab w:leader="none" w:pos="8800" w:val="left"/>
          <w:tab w:leader="none" w:pos="9220" w:val="left"/>
          <w:tab w:leader="none" w:pos="10160" w:val="left"/>
          <w:tab w:leader="none" w:pos="10580" w:val="left"/>
        </w:tabs>
        <w:rPr>
          <w:sz w:val="20"/>
          <w:szCs w:val="20"/>
          <w:color w:val="auto"/>
        </w:rPr>
      </w:pPr>
      <w:r>
        <w:rPr>
          <w:rFonts w:ascii="Arial" w:cs="Arial" w:eastAsia="Arial" w:hAnsi="Arial"/>
          <w:sz w:val="18"/>
          <w:szCs w:val="18"/>
          <w:color w:val="auto"/>
        </w:rPr>
        <w:t>Salaries and benefits payable</w:t>
      </w:r>
      <w:r>
        <w:rPr>
          <w:sz w:val="20"/>
          <w:szCs w:val="20"/>
          <w:color w:val="auto"/>
        </w:rPr>
        <w:tab/>
      </w:r>
      <w:r>
        <w:rPr>
          <w:rFonts w:ascii="Arial" w:cs="Arial" w:eastAsia="Arial" w:hAnsi="Arial"/>
          <w:sz w:val="34"/>
          <w:szCs w:val="34"/>
          <w:color w:val="auto"/>
          <w:vertAlign w:val="subscript"/>
        </w:rPr>
        <w:t>$</w:t>
      </w:r>
      <w:r>
        <w:rPr>
          <w:rFonts w:ascii="Arial" w:cs="Arial" w:eastAsia="Arial" w:hAnsi="Arial"/>
          <w:sz w:val="34"/>
          <w:szCs w:val="34"/>
          <w:color w:val="auto"/>
        </w:rPr>
        <w:tab/>
      </w:r>
      <w:r>
        <w:rPr>
          <w:rFonts w:ascii="Arial" w:cs="Arial" w:eastAsia="Arial" w:hAnsi="Arial"/>
          <w:sz w:val="34"/>
          <w:szCs w:val="34"/>
          <w:color w:val="auto"/>
          <w:vertAlign w:val="subscript"/>
        </w:rPr>
        <w:t>5,392,434</w:t>
      </w:r>
      <w:r>
        <w:rPr>
          <w:rFonts w:ascii="Arial" w:cs="Arial" w:eastAsia="Arial" w:hAnsi="Arial"/>
          <w:sz w:val="34"/>
          <w:szCs w:val="34"/>
          <w:color w:val="auto"/>
        </w:rPr>
        <w:tab/>
      </w:r>
      <w:r>
        <w:rPr>
          <w:rFonts w:ascii="Arial" w:cs="Arial" w:eastAsia="Arial" w:hAnsi="Arial"/>
          <w:sz w:val="34"/>
          <w:szCs w:val="34"/>
          <w:color w:val="auto"/>
          <w:vertAlign w:val="subscript"/>
        </w:rPr>
        <w:t>$</w:t>
      </w:r>
      <w:r>
        <w:rPr>
          <w:sz w:val="20"/>
          <w:szCs w:val="20"/>
          <w:color w:val="auto"/>
        </w:rPr>
        <w:tab/>
      </w:r>
      <w:r>
        <w:rPr>
          <w:rFonts w:ascii="Arial" w:cs="Arial" w:eastAsia="Arial" w:hAnsi="Arial"/>
          <w:sz w:val="24"/>
          <w:szCs w:val="24"/>
          <w:color w:val="auto"/>
          <w:vertAlign w:val="subscript"/>
        </w:rPr>
        <w:t>4,578,928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Wages and benefits payable included $2,349,795 and $2,360,272 accrued employer portion of social benefit payable to local government for the years ended June 30, 2017 and 2016,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NOTE 11 – RELATED PARTY TRANSACTIONS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rPr>
              <w:t>The balances due to and due from related parties were as follows: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CLPS Beijing</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color w:val="auto"/>
              </w:rPr>
              <w:t>Affiliates of non-controlling interest shareholder of Judge China*</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103,255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vMerge w:val="continue"/>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The amount was subsequently offset with the acquisition payable (Note 3)</w:t>
            </w: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74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Mr. Raymond Ming Hui Lin, CEO of the Company (i)</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1,722,711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1,140,975</w:t>
            </w:r>
          </w:p>
        </w:tc>
        <w:tc>
          <w:tcPr>
            <w:tcW w:w="0" w:type="dxa"/>
            <w:vAlign w:val="bottom"/>
          </w:tcPr>
          <w:p>
            <w:pPr>
              <w:spacing w:after="0"/>
              <w:rPr>
                <w:sz w:val="1"/>
                <w:szCs w:val="1"/>
                <w:color w:val="auto"/>
              </w:rPr>
            </w:pPr>
          </w:p>
        </w:tc>
      </w:tr>
      <w:tr>
        <w:trPr>
          <w:trHeight w:val="27"/>
        </w:trPr>
        <w:tc>
          <w:tcPr>
            <w:tcW w:w="7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vMerge w:val="continue"/>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1,729,791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1,148,197</w:t>
            </w:r>
          </w:p>
        </w:tc>
        <w:tc>
          <w:tcPr>
            <w:tcW w:w="0" w:type="dxa"/>
            <w:vAlign w:val="bottom"/>
          </w:tcPr>
          <w:p>
            <w:pPr>
              <w:spacing w:after="0"/>
              <w:rPr>
                <w:sz w:val="1"/>
                <w:szCs w:val="1"/>
                <w:color w:val="auto"/>
              </w:rPr>
            </w:pPr>
          </w:p>
        </w:tc>
      </w:tr>
      <w:tr>
        <w:trPr>
          <w:trHeight w:val="21"/>
        </w:trPr>
        <w:tc>
          <w:tcPr>
            <w:tcW w:w="7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60" w:right="2200" w:hanging="5552"/>
        <w:spacing w:after="0" w:line="810" w:lineRule="auto"/>
        <w:tabs>
          <w:tab w:leader="none" w:pos="3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bonus, dividends, wages and other benefit to the Company’s executives. 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0" w:name="page131"/>
    <w:bookmarkEnd w:id="1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w:t>
      </w:r>
    </w:p>
    <w:p>
      <w:pPr>
        <w:spacing w:after="0" w:line="225"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CLPS Hong Kong was established in Hong Kong and is subject to statutory income tax rate at 16.5%. CLPS SG are subject to Singapore income taxes at the rate of 17%. CLPS AU was established in Australia and subject to corporate income tax at 30%.</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Enterprise Income Tax (“EIT”) Law of PRC, domestic enterprises and Foreign Investment Enterprises (the “FIE”) are usually subject to a unified 25% enterprise income tax rate while preferential tax rates, tax holidays and even tax exemption may be granted on case-by-case basis. EIT grants preferential tax treatment to certain High and New Technology Enterprises (“HNTEs”). Under this preferential tax treatment, HNTEs are entitled to an income tax rate of 15%, subject to a requirement that they re-apply for HNTE status every three years. CLPS Shanghai, the Company’s main operating subsidiary in PRC, has been approved as HNTEs in 2013 and reapproved in 2016. The Company is entitled to a reduced income tax rate of 15% through November 2019. In addition, CLPS Dalian has qualified as a Software Enterprise company and enjoys a two-year income tax exemption starting from their first profitable year, followed by a reduced income tax rate of 12.5% for the subsequent three years.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EIT is typically governed by the local tax authority in China. Each local tax authority at times may grant tax holidays to local enterprises as a way to encourage entrepreneurship and stimulate local economy. The impact of the tax holidays noted above decreased income taxes by $317,488 and $290,159 for the fiscal year 2017 and 2016, respectively. The benefit of the tax holidays on net income per share (basic and diluted) was $0.03 and $0.03 for the years ended June 30,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2,516,211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2,297,424</w:t>
            </w:r>
          </w:p>
        </w:tc>
        <w:tc>
          <w:tcPr>
            <w:tcW w:w="100" w:type="dxa"/>
            <w:vAlign w:val="bottom"/>
            <w:shd w:val="clear" w:color="auto" w:fill="CCEEFF"/>
          </w:tcPr>
          <w:p>
            <w:pPr>
              <w:spacing w:after="0"/>
              <w:rPr>
                <w:sz w:val="18"/>
                <w:szCs w:val="18"/>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Non-PRC</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(413,400)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(243,300)</w:t>
            </w:r>
          </w:p>
        </w:tc>
      </w:tr>
      <w:tr>
        <w:trPr>
          <w:trHeight w:val="27"/>
        </w:trPr>
        <w:tc>
          <w:tcPr>
            <w:tcW w:w="88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8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2,102,811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2,054,124</w:t>
            </w: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statutory rate to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PRC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Effect of income tax rate difference in other jurisdictions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PRC preferential tax rate and tax holidays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R&amp;D credits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Permanent difference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2"/>
        </w:trPr>
        <w:tc>
          <w:tcPr>
            <w:tcW w:w="144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25%</w:t>
            </w:r>
          </w:p>
        </w:tc>
        <w:tc>
          <w:tcPr>
            <w:tcW w:w="13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25%</w:t>
            </w:r>
          </w:p>
        </w:tc>
      </w:tr>
      <w:tr>
        <w:trPr>
          <w:trHeight w:val="216"/>
        </w:trPr>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(15.1)%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(14.3)%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(11.9)%</w:t>
            </w:r>
          </w:p>
        </w:tc>
      </w:tr>
      <w:tr>
        <w:trPr>
          <w:trHeight w:val="251"/>
        </w:trPr>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0"/>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00" w:space="720"/>
            <w:col w:w="2800"/>
          </w:cols>
          <w:pgMar w:left="240" w:top="226" w:right="239" w:bottom="1440" w:gutter="0" w:footer="0" w:header="0"/>
          <w:type w:val="continuous"/>
        </w:sectPr>
      </w:pPr>
    </w:p>
    <w:p>
      <w:pPr>
        <w:spacing w:after="0" w:line="2" w:lineRule="exact"/>
        <w:rPr>
          <w:sz w:val="20"/>
          <w:szCs w:val="20"/>
          <w:color w:val="auto"/>
        </w:rPr>
      </w:pPr>
    </w:p>
    <w:p>
      <w:pPr>
        <w:ind w:left="5560" w:right="4240" w:hanging="5552"/>
        <w:spacing w:after="0" w:line="778" w:lineRule="auto"/>
        <w:tabs>
          <w:tab w:leader="none" w:pos="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Permanent difference and other primarily represented tax effect on the intercompany transactions.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1" w:name="page132"/>
    <w:bookmarkEnd w:id="1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 - continued</w:t>
      </w:r>
    </w:p>
    <w:p>
      <w:pPr>
        <w:spacing w:after="0" w:line="225"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 consists of the following:</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8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7"/>
        </w:trPr>
        <w:tc>
          <w:tcPr>
            <w:tcW w:w="6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provision (benefit) for income tax expenses</w:t>
            </w: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vMerge w:val="continue"/>
            <w:shd w:val="clear" w:color="auto" w:fill="CCEEFF"/>
          </w:tcPr>
          <w:p>
            <w:pPr>
              <w:spacing w:after="0"/>
              <w:rPr>
                <w:sz w:val="21"/>
                <w:szCs w:val="21"/>
                <w:color w:val="auto"/>
              </w:rPr>
            </w:pPr>
          </w:p>
        </w:tc>
        <w:tc>
          <w:tcPr>
            <w:tcW w:w="27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14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1"/>
        </w:trPr>
        <w:tc>
          <w:tcPr>
            <w:tcW w:w="62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As of June 30, 2017, the tax years ended December 31, 2011 through December 31, 2016 for the Company’s PRC entities remain open for statutory examination by PRC tax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the amounts used for income tax purposes. As of June 30, 2017 and 2016, the Company had net operating loss carry forwards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$1,234,500 and $131,500, respectively, from the Company’s PRC subsidiaries, which will expire by December 31, 2021. As of June 30, 2017,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net operating loss carry forwards of approximately $415,800, $40,600 and $200,200 from its operations in Singapore, Australia and Hong Kong,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net operating losses in Singapore, Australia and Hong Kong will be carried forward indefinitely.</w:t>
      </w: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components of the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operating loss carry 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expenses and other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r>
      <w:tr>
        <w:trPr>
          <w:trHeight w:val="241"/>
        </w:trPr>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431"/>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423,543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81,839</w:t>
            </w:r>
          </w:p>
        </w:tc>
      </w:tr>
      <w:tr>
        <w:trPr>
          <w:trHeight w:val="237"/>
        </w:trPr>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81,839</w:t>
            </w:r>
          </w:p>
        </w:tc>
      </w:tr>
    </w:tbl>
    <w:p>
      <w:pPr>
        <w:spacing w:after="0" w:line="20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Unbilled accounts receivables</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(62,855)</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contract cost</w:t>
            </w:r>
          </w:p>
        </w:tc>
        <w:tc>
          <w:tcPr>
            <w:tcW w:w="3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(71,346)</w:t>
            </w:r>
          </w:p>
        </w:tc>
        <w:tc>
          <w:tcPr>
            <w:tcW w:w="3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(7,360)</w:t>
            </w:r>
          </w:p>
        </w:tc>
      </w:tr>
      <w:tr>
        <w:trPr>
          <w:trHeight w:val="210"/>
        </w:trPr>
        <w:tc>
          <w:tcPr>
            <w:tcW w:w="558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(134,201</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(7,360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55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5580" w:type="dxa"/>
            <w:vAlign w:val="bottom"/>
          </w:tcPr>
          <w:p>
            <w:pPr>
              <w:ind w:left="180"/>
              <w:spacing w:after="0"/>
              <w:rPr>
                <w:sz w:val="20"/>
                <w:szCs w:val="20"/>
                <w:color w:val="auto"/>
              </w:rPr>
            </w:pPr>
            <w:r>
              <w:rPr>
                <w:rFonts w:ascii="Arial" w:cs="Arial" w:eastAsia="Arial" w:hAnsi="Arial"/>
                <w:sz w:val="18"/>
                <w:szCs w:val="18"/>
                <w:color w:val="auto"/>
              </w:rPr>
              <w:t>Total deferred tax assets, net</w:t>
            </w:r>
          </w:p>
        </w:tc>
        <w:tc>
          <w:tcPr>
            <w:tcW w:w="3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298,953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74,479</w:t>
            </w:r>
          </w:p>
        </w:tc>
        <w:tc>
          <w:tcPr>
            <w:tcW w:w="80" w:type="dxa"/>
            <w:vAlign w:val="bottom"/>
          </w:tcPr>
          <w:p>
            <w:pPr>
              <w:spacing w:after="0"/>
              <w:rPr>
                <w:sz w:val="22"/>
                <w:szCs w:val="22"/>
                <w:color w:val="auto"/>
              </w:rPr>
            </w:pPr>
          </w:p>
        </w:tc>
      </w:tr>
      <w:tr>
        <w:trPr>
          <w:trHeight w:val="21"/>
        </w:trPr>
        <w:tc>
          <w:tcPr>
            <w:tcW w:w="5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group’s deferred tax assets is dependent upon the generation of future income, exclusive of reversing taxable temporary differences. Based upon the level of historical taxable income and projections for future taxable income over the periods in which the deferred tax assets are recoverable, management believes that it is more likely than not that the results of future operations will generate sufficient taxable income to realize the deferred tax assets as at June 30, 2017 and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32" w:name="page133"/>
    <w:bookmarkEnd w:id="1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Taxes Payable</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color w:val="auto"/>
              </w:rPr>
              <w:t>The Company’s taxes payable consists of the following:</w:t>
            </w: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tax payable</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Corporate income tax payable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2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458,828</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taxes payable</w:t>
            </w:r>
          </w:p>
        </w:tc>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gridSpan w:val="2"/>
            <w:vMerge w:val="continue"/>
          </w:tcPr>
          <w:p>
            <w:pPr>
              <w:spacing w:after="0"/>
              <w:rPr>
                <w:sz w:val="20"/>
                <w:szCs w:val="20"/>
                <w:color w:val="auto"/>
              </w:rPr>
            </w:pP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640,864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 the unrecognized benefits associated with the tax positions. As of June 30, 2017 and 2016, the Company did not have any significant unrecognized uncertain tax positions. The Company did not incur any interest and penalties related to potential underpaid income tax expenses for the years ended June 30, 2017 and 2016, respectively, and also does not anticipate any significant increases or decreases in unrecognized tax benefits in the next 12 months from June 30,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Company’s subsidiaries lease administrative office space under various operating leases. Rent expense amounted to $565,328 and $431,043 for the years ended June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operating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r>
              <w:rPr>
                <w:rFonts w:ascii="Arial" w:cs="Arial" w:eastAsia="Arial" w:hAnsi="Arial"/>
                <w:sz w:val="18"/>
                <w:szCs w:val="18"/>
                <w:b w:val="1"/>
                <w:bCs w:val="1"/>
                <w:color w:val="auto"/>
              </w:rPr>
              <w:t>Twelve months ending June 30,</w:t>
            </w:r>
          </w:p>
        </w:tc>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Lease expense</w:t>
            </w:r>
          </w:p>
        </w:tc>
      </w:tr>
      <w:tr>
        <w:trPr>
          <w:trHeight w:val="216"/>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2019</w:t>
            </w: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374,234</w:t>
            </w:r>
          </w:p>
        </w:tc>
      </w:tr>
      <w:tr>
        <w:trPr>
          <w:trHeight w:val="25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6520" w:type="dxa"/>
            <w:vAlign w:val="bottom"/>
            <w:gridSpan w:val="3"/>
          </w:tcPr>
          <w:p>
            <w:pPr>
              <w:jc w:val="right"/>
              <w:ind w:right="15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931,047</w:t>
            </w:r>
          </w:p>
        </w:tc>
      </w:tr>
      <w:tr>
        <w:trPr>
          <w:trHeight w:val="21"/>
        </w:trPr>
        <w:tc>
          <w:tcPr>
            <w:tcW w:w="39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3"/>
          </w:tcPr>
          <w:p>
            <w:pPr>
              <w:jc w:val="right"/>
              <w:ind w:right="4517"/>
              <w:spacing w:after="0"/>
              <w:rPr>
                <w:sz w:val="20"/>
                <w:szCs w:val="20"/>
                <w:color w:val="auto"/>
              </w:rPr>
            </w:pPr>
            <w:r>
              <w:rPr>
                <w:rFonts w:ascii="Arial" w:cs="Arial" w:eastAsia="Arial" w:hAnsi="Arial"/>
                <w:sz w:val="18"/>
                <w:szCs w:val="18"/>
                <w:color w:val="auto"/>
              </w:rPr>
              <w:t>F-29</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33" w:name="page134"/>
    <w:bookmarkEnd w:id="1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CLPS was established under the laws of Cayman Islands on May 11, 2017. The original authorized number of common shares was 1 share with a par value of $1. After an amendment on December 7, 2017, the authorized number of common shares became 100,000,000 shares with a par value of $0.0001 each. As of June 30, 2017 and 2016, 11,290,000 shares were issued at par value, the equivalent to share capital of $1,129 for each of the year ended 2017 and 2016. The shares are presented on a retroactive basis to reflect the nominal share issuance discussed below.</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paid-in capital</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June 30, 2017 and 2016, additional paid-in capital in the consolidated balance sheet represented the combined contributed capital of the Company’s subsidiaries.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 ended June 30, 2016, the Company’s controlling shareholders contributed additional capital in the aggregate of $3,377,813 to CLPS Shanghai, which was included in additional paid-in capital.</w:t>
      </w:r>
    </w:p>
    <w:p>
      <w:pPr>
        <w:spacing w:after="0" w:line="17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For the year ended June 30, 2016, CLPS Shanghai had a recapitalization. CLPS Shanghai’s accumulated retained earnings and statutory reserve in the aggregate was $1,051,952 which was reclassified to additional paid – in capital in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$261,949 and $429,439 to statutory reserves during the years ended June 30, 2017 and 2016, respectively in accordance with PRC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CLPS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CLPS</w:t>
            </w:r>
          </w:p>
        </w:tc>
        <w:tc>
          <w:tcPr>
            <w:tcW w:w="140" w:type="dxa"/>
            <w:vAlign w:val="bottom"/>
          </w:tcPr>
          <w:p>
            <w:pPr>
              <w:spacing w:after="0"/>
              <w:rPr>
                <w:sz w:val="18"/>
                <w:szCs w:val="18"/>
                <w:color w:val="auto"/>
              </w:rPr>
            </w:pPr>
          </w:p>
        </w:tc>
        <w:tc>
          <w:tcPr>
            <w:tcW w:w="1320" w:type="dxa"/>
            <w:vAlign w:val="bottom"/>
            <w:gridSpan w:val="3"/>
          </w:tcPr>
          <w:p>
            <w:pPr>
              <w:jc w:val="right"/>
              <w:ind w:right="605"/>
              <w:spacing w:after="0"/>
              <w:rPr>
                <w:sz w:val="20"/>
                <w:szCs w:val="20"/>
                <w:color w:val="auto"/>
              </w:rPr>
            </w:pPr>
            <w:r>
              <w:rPr>
                <w:rFonts w:ascii="Arial" w:cs="Arial" w:eastAsia="Arial" w:hAnsi="Arial"/>
                <w:sz w:val="18"/>
                <w:szCs w:val="18"/>
                <w:b w:val="1"/>
                <w:bCs w:val="1"/>
                <w:color w:val="auto"/>
              </w:rPr>
              <w:t>CLPS</w:t>
            </w:r>
          </w:p>
        </w:tc>
        <w:tc>
          <w:tcPr>
            <w:tcW w:w="14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CLPS</w:t>
            </w:r>
          </w:p>
        </w:tc>
        <w:tc>
          <w:tcPr>
            <w:tcW w:w="1380" w:type="dxa"/>
            <w:vAlign w:val="bottom"/>
            <w:gridSpan w:val="3"/>
          </w:tcPr>
          <w:p>
            <w:pPr>
              <w:ind w:left="120"/>
              <w:spacing w:after="0"/>
              <w:rPr>
                <w:sz w:val="20"/>
                <w:szCs w:val="20"/>
                <w:color w:val="auto"/>
              </w:rPr>
            </w:pPr>
            <w:r>
              <w:rPr>
                <w:rFonts w:ascii="Arial" w:cs="Arial" w:eastAsia="Arial" w:hAnsi="Arial"/>
                <w:sz w:val="18"/>
                <w:szCs w:val="18"/>
                <w:b w:val="1"/>
                <w:bCs w:val="1"/>
                <w:color w:val="auto"/>
              </w:rPr>
              <w:t>Judge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RC</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Beijing</w:t>
            </w:r>
          </w:p>
        </w:tc>
        <w:tc>
          <w:tcPr>
            <w:tcW w:w="140" w:type="dxa"/>
            <w:vAlign w:val="bottom"/>
          </w:tcPr>
          <w:p>
            <w:pPr>
              <w:spacing w:after="0"/>
              <w:rPr>
                <w:sz w:val="20"/>
                <w:szCs w:val="20"/>
                <w:color w:val="auto"/>
              </w:rPr>
            </w:pPr>
          </w:p>
        </w:tc>
        <w:tc>
          <w:tcPr>
            <w:tcW w:w="1320" w:type="dxa"/>
            <w:vAlign w:val="bottom"/>
            <w:gridSpan w:val="3"/>
          </w:tcPr>
          <w:p>
            <w:pPr>
              <w:jc w:val="right"/>
              <w:ind w:right="445"/>
              <w:spacing w:after="0"/>
              <w:rPr>
                <w:sz w:val="20"/>
                <w:szCs w:val="20"/>
                <w:color w:val="auto"/>
              </w:rPr>
            </w:pPr>
            <w:r>
              <w:rPr>
                <w:rFonts w:ascii="Arial" w:cs="Arial" w:eastAsia="Arial" w:hAnsi="Arial"/>
                <w:sz w:val="18"/>
                <w:szCs w:val="18"/>
                <w:b w:val="1"/>
                <w:bCs w:val="1"/>
                <w:color w:val="auto"/>
                <w:w w:val="91"/>
              </w:rPr>
              <w:t>Shenzhen</w:t>
            </w:r>
          </w:p>
        </w:tc>
        <w:tc>
          <w:tcPr>
            <w:tcW w:w="14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0"/>
              </w:rPr>
              <w:t>Hong Kong</w:t>
            </w: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rPr>
              <w:t>China</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2015</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(41,141)</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(i)</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46,919</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Repurchase of non-controlling interest (ii)</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2016</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shareholders (iii)</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6,438</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290,994</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297,432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2017</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(13,648</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449,453</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477,110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year ended June 30, 2016, the non-controlling shareholder of CLPS Beijing contributed $46,919 to CLPS Beijing.</w:t>
      </w:r>
    </w:p>
    <w:p>
      <w:pPr>
        <w:spacing w:after="0" w:line="225" w:lineRule="exact"/>
        <w:rPr>
          <w:rFonts w:ascii="Arial" w:cs="Arial" w:eastAsia="Arial" w:hAnsi="Arial"/>
          <w:sz w:val="18"/>
          <w:szCs w:val="18"/>
          <w:color w:val="auto"/>
        </w:rPr>
      </w:pPr>
    </w:p>
    <w:p>
      <w:pPr>
        <w:ind w:left="580" w:right="380" w:hanging="572"/>
        <w:spacing w:after="0" w:line="264"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year ended June 30, 2016, the Company paid $6,987 to acquire a non-controlling interest in CLPS RC. After the acquisition, CLPS RC became a wholly owned subsidiary of the Company. The payment in excess of carrying value of the non-controlling interest amounted to $5,199, which was charge to additional paid in capital.</w:t>
      </w:r>
    </w:p>
    <w:p>
      <w:pPr>
        <w:sectPr>
          <w:pgSz w:w="11900" w:h="16838" w:orient="portrait"/>
          <w:cols w:equalWidth="0" w:num="1">
            <w:col w:w="11420"/>
          </w:cols>
          <w:pgMar w:left="240" w:top="226" w:right="239" w:bottom="838"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838" w:gutter="0" w:footer="0" w:header="0"/>
          <w:type w:val="continuous"/>
        </w:sectPr>
      </w:pPr>
    </w:p>
    <w:bookmarkStart w:id="134" w:name="page135"/>
    <w:bookmarkEnd w:id="1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INTERESTS - continued</w:t>
      </w:r>
    </w:p>
    <w:p>
      <w:pPr>
        <w:spacing w:after="0" w:line="229"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the year ended June 30, 2017, the non-controlling shareholder of CLPS Hong Kong contributed $6,438 as capital.</w:t>
      </w:r>
    </w:p>
    <w:p>
      <w:pPr>
        <w:spacing w:after="0" w:line="225" w:lineRule="exact"/>
        <w:rPr>
          <w:rFonts w:ascii="Arial" w:cs="Arial" w:eastAsia="Arial" w:hAnsi="Arial"/>
          <w:sz w:val="18"/>
          <w:szCs w:val="18"/>
          <w:color w:val="auto"/>
        </w:rPr>
      </w:pPr>
    </w:p>
    <w:p>
      <w:pPr>
        <w:ind w:left="580" w:right="160" w:hanging="572"/>
        <w:spacing w:after="0" w:line="277"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November 9, 2016, CLPS Shanghai acquired 60% of Judge China and its 70% owned subsidiary Judge HR from Judge Asia. As a result, the fair value of non-controlling interests was $290,994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 AND REVENUE ANALYSIS</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 has one operating segment. The Company’s revenue and net income are substantially derived from enterprise application services and financial industry IT services.</w:t>
      </w:r>
    </w:p>
    <w:p>
      <w:pPr>
        <w:spacing w:after="0" w:line="18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Company’s operations are primarily based in China, where the Company derives a substantial portion of their revenues. For the year ended June 30, 2017, revenues generated in mainland China, Hong Kong and Australia were $30,822,390, $362,892 and $176,694, respectively. For year ended June 30, 2016, all revenues were generated in mainland China.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the service lines for the years ended June 30, 2017 and 2016.</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4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Fintech IT consulting service</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29,146,470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28,015,173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1,846,423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927,185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369,083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3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31,361,976</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29,024,178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On July 25, 2017, the Company incorporated CLIVST as a holding company in BVI. On September 27, 2017 and October 24, 2017, the Company incorporated CLPS Guangzhou in Guangzhou, PRC and FDT-CL in Hong Kong to develop business in the related area.</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 Yu”). The Company subscribed 30% of equity interest in Huan Yu for $0.4 million. The Company planned to complete the capital injection of $0.4 million by the end of 2017.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17, 2017, the Company invested approximately $0.07 million in JQ for its 55% equity interest. JQ and its 100% owned subsidiary – JL operates a software consulting business in Taiwan. The Company believes that these investments could offer new opportunities for operational synergies in the related markets.</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November 18, 2017, the Board of Directors (“Board”) approved the 2017 Stock Incentive Plan (“Plan”), subject to approval by the Company’s shareholders.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The Board authorized up to 2,210,000 shares for grants under the terms of the Plan. The grants under the Plan generally have a maximum contractual term of ten years from the date of grant. Stock awards granted under the plan at the determination of the Board shall be effective and exercisable upon the Company’ completion of an initial public offering of its securities. The terms of individual agreements for various grants under the Plan will be determined by the Board (or its Compensation Committee) and might contain both service and performance conditions.</w:t>
      </w:r>
    </w:p>
    <w:p>
      <w:pPr>
        <w:spacing w:after="0" w:line="17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 is five years starting on December 9, 2017. Mr. Xiao Feng Yang, Mr. Raymond Ming Hui Lin and Ms. Tian van Acken’s basic annual compensations are approximately $94,100, $71,400 and $93,010, respectively, with annual bonuses determined based on the sole direction of the Compensation Committee of the Board of Directors in accordance with criteria established by the Compensation Committee of the Board.</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accompanying consolidated financial statements were approved by management and available for issuance on January 19, 2018. The Company evaluated subsequent events through the date these consolidated financial statements were available for issuance.</w:t>
      </w:r>
    </w:p>
    <w:p>
      <w:pPr>
        <w:sectPr>
          <w:pgSz w:w="11900" w:h="16838" w:orient="portrait"/>
          <w:cols w:equalWidth="0" w:num="1">
            <w:col w:w="11420"/>
          </w:cols>
          <w:pgMar w:left="240" w:top="226" w:right="239" w:bottom="1149"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149" w:gutter="0" w:footer="0" w:header="0"/>
          <w:type w:val="continuous"/>
        </w:sectPr>
      </w:pPr>
    </w:p>
    <w:bookmarkStart w:id="135" w:name="page136"/>
    <w:bookmarkEnd w:id="1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556260</wp:posOffset>
            </wp:positionV>
            <wp:extent cx="2358390" cy="11747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583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[_]</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Until [_], [_] (25 days after commencement of our initial public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240" w:top="226" w:right="699" w:bottom="1440" w:gutter="0" w:footer="0" w:header="0"/>
        </w:sectPr>
      </w:pPr>
    </w:p>
    <w:bookmarkStart w:id="136" w:name="page137"/>
    <w:bookmarkEnd w:id="1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Since our inception, we issued [●] shares in the aggregate to [●] shareholders upon the reorganization of our company and in transactions that were not required to be registered under the Securities Act. All such share issuances were deemed to be exempt under the Securities Act by virtue of Section 4(2) thereof as transactions not involving any public offering. In addition, certain share issuances were deemed not to fall within Section 5 under the Securities Act and to be further exempt under Rule 901 and 903 of Regulation S promulgated thereunder by virtue of being issuances of securities by non-U.S. companies to non-U.S. citizens or residents, conducted outside the United States and not using any element of interstate commerce.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below lists all of the securities related to CLPS Shanghai since CLPS Shanghai was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30, 2005, Jingsu Pan and Xiaochun Deng agreed to establish ChinaLink Professional Services Co., Ltd. (“CLPS Shanghai”) and signed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CLPS Shanghai’s Articles of Association. Pursuant to the Articles of Association, Jingsu Pan and Xiaochun Deng agreed to invested RMB250,000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US$30,881) in cash for 50% of equity interests in CLPS Shanghai, and the total registered capital of CLPS Shanghai was RMB500,000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US$61,763).</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December 5, 2005, Jingsu Pan and Xiaochun Deng signed the Resolution of the Board of Shareholders and agreed to increase CLPS Shanghai’s registered capital to RMB1,000,000 (approximately US$123,671). Jingsu Pan and Xiaochun Deng respectively made full payment for their subscribed capital to RMB500,000 (approximately US$61,835).</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March 29, 2010, Yan Pan entered into a Share Purchase Agreement with Jingsu Pan pursuant to which Yan Pan purchased all of Jingsu Pan’s shares in CLPS Shanghai.</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October 19, 2010, Raymond Ming Hui Lin entered into a Share Purchase Agreement with Xiaochun Deng pursuant to which Raymond Ming Hui Lin purchased all of Xiaochun Deng’s shares in CLPS Shanghai.</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October 31, 2012, CLPS Shanghai increased its registered capital to RMB5,000,000 (approximately US$799,987). Yan Pan and Raymond Ming Hui Lin respectively made full payment for their subscribed capital to RMB2,500,000 (approximately US$399,993).</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October 30, 2013, Xiao Feng Yang entered into a Share Purchase Agreement with Yan Pan pursuant to which Xiao Feng Yang purchased all of Yan Pan’s shares in CLPS Shanghai.</w:t>
      </w:r>
    </w:p>
    <w:p>
      <w:pPr>
        <w:spacing w:after="0" w:line="170"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On June 24, 2014, CLPS Shanghai increased its registered capital to RMB30,000,000 (approximately US$4,759,004). Xiao Feng Yang and Raymond Ming Hui Lin respectively made full payment for their subscribed capital to RMB15,000,000 (approximately US$2,379,502).</w:t>
      </w:r>
    </w:p>
    <w:p>
      <w:pPr>
        <w:spacing w:after="0" w:line="124"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 Xiao Feng Yang and Raymond Ming Hui Lin respectively held 15,000,000 shares of CLPS Shanghai.</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May 16, 2016, CLPS Shanghai issued 3,870,000 shares to three limited partnerships (hereinto: 1,700,000 shares to Shanghai Qinyao Investment Partnership, 1,270,000 shares to Shanghai Qinzhi Investment Partnership, and 900,000 shares to Shanghai Qinshang Software Technology Counsel Partnership) of RMB1.00 per share. CLPS Shanghai’s registered capital was increased to RMB33,870,000.</w:t>
      </w:r>
    </w:p>
    <w:p>
      <w:pPr>
        <w:sectPr>
          <w:pgSz w:w="11900" w:h="16838" w:orient="portrait"/>
          <w:cols w:equalWidth="0" w:num="1">
            <w:col w:w="11400"/>
          </w:cols>
          <w:pgMar w:left="240" w:top="226" w:right="25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37" w:name="page138"/>
    <w:bookmarkEnd w:id="137"/>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July 18, 2017, three abovementioned limited partnerships transferred all their shares of CLPS Shanghai to their individual partners according to the proportion of each partner’s capital contribution. Total 47 individuals became shareholders of CLPS Shanghai.</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August 2017, Qiner Co., Ltd. (“Qiner”) entered into three Share Purchase Agreement with three non-Chinese individual shareholders of CLPS Shanghai pursuant to which the three non-Chinese individual shareholders of CLPS Shanghai were to sell all their shares of CLPS Shanghai to Qiner. The share transfer price was RMB1.00 per share.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November 2017, Shanghai Qincheng Information Technology Co., Ltd(“WOFE”) entered into 46 Share Purchase Agreement with all 46 Chinese individual shareholders of CLPS Shanghai pursuant to which the 46 non-Chinese individual shareholders of CLPS Shanghai were to sell all their shares of CLPS Shanghai to WOFE. The share transfer price was RMB1.00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Ruicheng Co., Ltd.</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On May 10, 2013, CLPS Ruicheng Co., Ltd. (“CLPS RC”) was established by Wenbin Li and CLPS Shanghai. Wenbin Li invested RMB45,000 (US$7,321) in cash for 45% of equity interests in CLPS RC, and CLPS Shanghai invested RMB55,000 (US$8,948) in cash for 55% of equity interests in CLPS RC. The total registered capital of CLPS RC was RMB100,000 (US$16,269).</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On April 2, 2014, Wenbin Li and CLPS Shanghai signed/sealed the Resolution of the Board of Shareholders and agreed to increase CLPS RC’s registered capital to RMB10,000,000 (US$1,611,500). Wenbin Li increased his subscribed capital to RMB4,500,000 (US$725,175), and CLPS Shanghai increased its subscribed capital to RMB5,500,000 (US$886,325).</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17, 2015, Wenbin Li entered into a Share Purchase Agreement with CLPS Shanghai pursuant to which CLPS Shanghai purchased all of Wenbin Li’s shares in CLPS RC.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Dalian Co., Ltd.</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May 28, 2011, CLPS Shanghai decided to establish CLPS Dalian Co., Ltd. (“CLPS Dalian”) and sealed its Articles of Association. CLPS Shanghai invested RMB100,000 (US$15,234) in cash for 100% of equity interests in CLPS Dalian, and the total registered capital of CLPS Dalian was RMB100,000 (US$15,234).</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June 13, 2012, CLPS Dalian increased its registered capital to RMB1,000,000 (US$157,023). CLPS Shanghai made full payment for its subscribed capital to RMB1,000,000 (US$157,023).</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March 5, 2014, CLPS Dalian increased its registered capital to RMB2,000,000 (US$326,371). CLPS Shanghai increased its subscribed capital from RMB1,000,000 to RMB2,000,000 (US$326,371).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Beijing Hengtong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30, 2015, CLPS Beijing Hengtong Co., Ltd. (“CLPS Beijing”) was established by Jingwei Sun and CLPS Shanghai. Jingwei Sun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subscribed RMB3,000,000 (US$483,364) in cash for 30% of equity interests in CLPS Beijing, and CLPS Shanghai subscribed RMB7,000,000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(US$1,127,850) in cash for 70% of equity interests in CLPS Beijing. The total registered capital of CLPS Beijing was RMB10,000,000 (US$1,611,214).</w:t>
      </w:r>
    </w:p>
    <w:p>
      <w:pPr>
        <w:spacing w:after="0" w:line="22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March 20, 2016, Jingwei Sun and CLPS Shanghai signed/sealed the Resolution of the Board of Shareholders and agreed to reduce CLPS Beijing’s registered capital to RMB1,000,000 (US$154,603). Jingwei Sun reduced his subscribed capitial to RMB300,000 (US$46,381) and CLPS Shanghai reduced its subscribed capital to RMB700,000 (US$108,222).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Judge China &amp; Judge HR</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November 9, 2016, CLPS Shanghai entered into a Share Purchase Agreement with JUDGE GROUP ASIA LIMITED pursuant to which CLPS Shanghai purchased 60% of JUDGE GROUP ASIA LIMITED’s shares in Judge (Shanghai) Co., Ltd. (“Judge China”) which is established by JUDGE GROUP ASIA LIMITED in November 23, 2010. The registered capital of Judge China was RMB18,630,000 (US$2,804,329).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20, 2012, Judge China and an unrelated company agreed to establish Judge (Shanghai) Human Resource Co., Ltd. (“Judge HR”).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Judge China subscribed RMB700,000 (US$111,048) for 70% of equity interests in Judge HR.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Shenzhen Co., Ltd.</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April 7, 2017, CLPS Shenzhen Co., Ltd. (“CLPS Shenzhen”) was established by CLPS Shanghai and CLPS Technology (HK) Co., Ltd. (“CLPS Hong Kong”). CLPS Shanghai subscribed RMB3,500,000 (US$507,408) for 70% of equity interests in CLPS Shenzhen, and CLPS Hong Kong subscribed RMB1,500,000 (US$217,461) for 30% of equity interests in CLPS Shenzhen. The total registered capital of CLPS Hong Kong was RMB5,000,000 (US$724,869).</w:t>
      </w:r>
    </w:p>
    <w:p>
      <w:pPr>
        <w:sectPr>
          <w:pgSz w:w="11900" w:h="16838" w:orient="portrait"/>
          <w:cols w:equalWidth="0" w:num="1">
            <w:col w:w="11300"/>
          </w:cols>
          <w:pgMar w:left="240" w:top="226"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type w:val="continuous"/>
        </w:sectPr>
      </w:pPr>
    </w:p>
    <w:bookmarkStart w:id="138" w:name="page139"/>
    <w:bookmarkEnd w:id="138"/>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Tianjin Huanyu Qinshang Network Technology Co., Ltd.</w:t>
      </w:r>
    </w:p>
    <w:p>
      <w:pPr>
        <w:spacing w:after="0" w:line="225"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On September 27, 2017, Tianjin Huanyu Qinshang Network Technology Co., Ltd. (“Huanyu”) was established by CLPS Shanghai and Jingwei Sun. CLPS Shanghai subscribed RMB3,000,000 (US$451,807) for 30% of equity interests in Huanyu, and Jingwei Sun subscribed RMB7,000,000 (US$1,054,217) for 70% of equity interests in Huanyu. The total registered capital of Huanyu was RMB10,000,000 (US$1,506,024).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Guangzhou Co., Ltd.</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September 27, 2017, CLPS Guangzhou Co., Ltd. (“CLPS Guangzhou”) was established by CLPS Shanghai and Qiner Co., Limited (“Qiner”). CLPS Shanghai subscribed RMB510,000 (US$76,807) for 51% of equity interests in CLPS Guangzhou, and Qiner subscribed RMB490,000 (US$73,795) for 49% of equity interests in CLPS Guangzhou. The total registered capital of CLPS Guangzhou was RMB1,000,000 (US$150,602).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(Australia) Pty. Ltd.</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November 10, 2015, CLPS Shanghai invested AUD200,000 (US$140,600) to establish CLPS Technology (Australia) Pty. Ltd. and CLPS held 100% of equity interests in CLPS AU.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(Singapore) Pte. Ltd.</w:t>
      </w:r>
    </w:p>
    <w:p>
      <w:pPr>
        <w:spacing w:after="0" w:line="225"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On August 18, 2015, CLPS Shanghai invested SGD100,000 (US$71,149) to establish CLPS Technology (Singapore) Pte. Ltd. and CLPS held 100% of equity interests in CLPS SG.</w:t>
      </w:r>
    </w:p>
    <w:p>
      <w:pPr>
        <w:spacing w:after="0" w:line="17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On June 21, 2016, CLPS Shanghai decided to increase investment to SGD500,000 (US$372,606) and CLPS kept holding 100% of equity interests in CLPS SG.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(HK) Co., Ltd.</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On January 7, 2016, CLPS Shanghai invested HKD200,000 (US$25,793) to establish CLPS Technology (HK) Co., Ltd. and CLPS held 100% of equity interests in CLPS Hong Kong.</w:t>
      </w:r>
    </w:p>
    <w:p>
      <w:pPr>
        <w:spacing w:after="0" w:line="170"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On November 24, 2016, Zhaolong Zhang invested HKD50,000 (US$6,447) in CLPS Hong Kong, and got 20% of equity interests in CLPS Hong Kong correspondingly. CLPS Shanghai held 80% of equity interests after the investment.</w:t>
      </w:r>
    </w:p>
    <w:p>
      <w:pPr>
        <w:spacing w:after="0" w:line="170"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On December 27, 2017, the Company entered into a one-year agreement with Ascent Investor Relations LLC (“Ascent”) pursuant to which Ascent was to provide certain investor relations consulting services to the Company. In addition to the cash fee of $6,000 per month, the Company agreed to issue to Ascent a five-year common share purchase warrant to purchase 107,000 shares of the Company’s common shares.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December 1, 2017, the Company entered into a financial advisory agreement with Gear Ltd. (“Gear”) pursuant to which Gear was to provide certain due diligence support, advisory, consulting, investor relations and other related services to the Company. In addition to the cash retainer fee of RMB 400,000 (US$59,003), the Company also agreed to issue to Gear a five-year common share purchase warrant to purchase 0.7% of the number of the common shares of the Company at closing of the contemplated IPO.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9" w:name="page140"/>
    <w:bookmarkEnd w:id="139"/>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in this prospectus: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500" w:type="dxa"/>
            <w:vAlign w:val="bottom"/>
            <w:gridSpan w:val="11"/>
          </w:tcPr>
          <w:p>
            <w:pPr>
              <w:ind w:left="120"/>
              <w:spacing w:after="0"/>
              <w:rPr>
                <w:sz w:val="20"/>
                <w:szCs w:val="20"/>
                <w:color w:val="auto"/>
              </w:rPr>
            </w:pPr>
            <w:r>
              <w:rPr>
                <w:rFonts w:ascii="Arial" w:cs="Arial" w:eastAsia="Arial" w:hAnsi="Arial"/>
                <w:sz w:val="18"/>
                <w:szCs w:val="18"/>
                <w:color w:val="auto"/>
              </w:rPr>
              <w:t>Exhibit title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Form of Underwriting Agreement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Memorandum and Articles of Association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Specimen Share Certificate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Opinion of Ogier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Opinion of Hansen &amp; Partners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Opinion of Schiff Hardin LLP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2017 Equity Incentive Plan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500" w:type="dxa"/>
            <w:vAlign w:val="bottom"/>
            <w:gridSpan w:val="11"/>
            <w:shd w:val="clear" w:color="auto" w:fill="CCEEFF"/>
          </w:tcPr>
          <w:p>
            <w:pPr>
              <w:ind w:left="120"/>
              <w:spacing w:after="0" w:line="176" w:lineRule="exact"/>
              <w:rPr>
                <w:sz w:val="20"/>
                <w:szCs w:val="20"/>
                <w:color w:val="auto"/>
              </w:rPr>
            </w:pPr>
            <w:r>
              <w:rPr>
                <w:rFonts w:ascii="Arial" w:cs="Arial" w:eastAsia="Arial" w:hAnsi="Arial"/>
                <w:sz w:val="18"/>
                <w:szCs w:val="18"/>
                <w:color w:val="0000EE"/>
              </w:rPr>
              <w:t>Form independent director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500" w:type="dxa"/>
            <w:vAlign w:val="bottom"/>
            <w:gridSpan w:val="11"/>
            <w:shd w:val="clear" w:color="auto" w:fill="CCEEFF"/>
          </w:tcPr>
          <w:p>
            <w:pPr>
              <w:ind w:left="120"/>
              <w:spacing w:after="0" w:line="176" w:lineRule="exact"/>
              <w:rPr>
                <w:sz w:val="20"/>
                <w:szCs w:val="20"/>
                <w:color w:val="auto"/>
              </w:rPr>
            </w:pPr>
            <w:r>
              <w:rPr>
                <w:rFonts w:ascii="Arial" w:cs="Arial" w:eastAsia="Arial" w:hAnsi="Arial"/>
                <w:sz w:val="18"/>
                <w:szCs w:val="18"/>
                <w:color w:val="0000EE"/>
              </w:rPr>
              <w:t>Employment Agreement between the Company and Xiao Feng Yang.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500" w:type="dxa"/>
            <w:vAlign w:val="bottom"/>
            <w:gridSpan w:val="11"/>
            <w:shd w:val="clear" w:color="auto" w:fill="CCEEFF"/>
          </w:tcPr>
          <w:p>
            <w:pPr>
              <w:ind w:left="120"/>
              <w:spacing w:after="0" w:line="176" w:lineRule="exact"/>
              <w:rPr>
                <w:sz w:val="20"/>
                <w:szCs w:val="20"/>
                <w:color w:val="auto"/>
              </w:rPr>
            </w:pPr>
            <w:r>
              <w:rPr>
                <w:rFonts w:ascii="Arial" w:cs="Arial" w:eastAsia="Arial" w:hAnsi="Arial"/>
                <w:sz w:val="18"/>
                <w:szCs w:val="18"/>
                <w:color w:val="0000EE"/>
              </w:rPr>
              <w:t>Employment Agreement between the Company and Raymond Ming Hui Lin.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500" w:type="dxa"/>
            <w:vAlign w:val="bottom"/>
            <w:gridSpan w:val="11"/>
            <w:shd w:val="clear" w:color="auto" w:fill="CCEEFF"/>
          </w:tcPr>
          <w:p>
            <w:pPr>
              <w:ind w:left="120"/>
              <w:spacing w:after="0" w:line="176" w:lineRule="exact"/>
              <w:rPr>
                <w:sz w:val="20"/>
                <w:szCs w:val="20"/>
                <w:color w:val="auto"/>
              </w:rPr>
            </w:pPr>
            <w:r>
              <w:rPr>
                <w:rFonts w:ascii="Arial" w:cs="Arial" w:eastAsia="Arial" w:hAnsi="Arial"/>
                <w:sz w:val="18"/>
                <w:szCs w:val="18"/>
                <w:color w:val="0000EE"/>
              </w:rPr>
              <w:t>Employment Agreement between the Company and Tian van Acken.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0500" w:type="dxa"/>
            <w:vAlign w:val="bottom"/>
            <w:gridSpan w:val="11"/>
            <w:shd w:val="clear" w:color="auto" w:fill="CCEEFF"/>
          </w:tcPr>
          <w:p>
            <w:pPr>
              <w:ind w:left="120"/>
              <w:spacing w:after="0" w:line="176" w:lineRule="exact"/>
              <w:rPr>
                <w:sz w:val="20"/>
                <w:szCs w:val="20"/>
                <w:color w:val="auto"/>
              </w:rPr>
            </w:pPr>
            <w:r>
              <w:rPr>
                <w:rFonts w:ascii="Arial" w:cs="Arial" w:eastAsia="Arial" w:hAnsi="Arial"/>
                <w:sz w:val="18"/>
                <w:szCs w:val="18"/>
                <w:color w:val="0000EE"/>
              </w:rPr>
              <w:t>ANZ Global Services and Operations (Chengdu) Company Limited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500" w:type="dxa"/>
            <w:vAlign w:val="bottom"/>
            <w:gridSpan w:val="11"/>
            <w:shd w:val="clear" w:color="auto" w:fill="CCEEFF"/>
          </w:tcPr>
          <w:p>
            <w:pPr>
              <w:ind w:left="120"/>
              <w:spacing w:after="0" w:line="176" w:lineRule="exact"/>
              <w:rPr>
                <w:sz w:val="20"/>
                <w:szCs w:val="20"/>
                <w:color w:val="auto"/>
              </w:rPr>
            </w:pPr>
            <w:r>
              <w:rPr>
                <w:rFonts w:ascii="Arial" w:cs="Arial" w:eastAsia="Arial" w:hAnsi="Arial"/>
                <w:sz w:val="18"/>
                <w:szCs w:val="18"/>
                <w:color w:val="0000EE"/>
              </w:rPr>
              <w:t>Master Lease Agreement - Shanghai Pudong Software Park Co., Ltd.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0500" w:type="dxa"/>
            <w:vAlign w:val="bottom"/>
            <w:gridSpan w:val="11"/>
            <w:shd w:val="clear" w:color="auto" w:fill="CCEEFF"/>
          </w:tcPr>
          <w:p>
            <w:pPr>
              <w:ind w:left="120"/>
              <w:spacing w:after="0" w:line="176" w:lineRule="exact"/>
              <w:rPr>
                <w:sz w:val="20"/>
                <w:szCs w:val="20"/>
                <w:color w:val="auto"/>
              </w:rPr>
            </w:pPr>
            <w:r>
              <w:rPr>
                <w:rFonts w:ascii="Arial" w:cs="Arial" w:eastAsia="Arial" w:hAnsi="Arial"/>
                <w:sz w:val="18"/>
                <w:szCs w:val="18"/>
                <w:color w:val="0000EE"/>
              </w:rPr>
              <w:t>Form of Framework Contract for Subcontracting.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14.1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Code of Conduct and Ethics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List of Subsidiaries of the Registrant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500" w:type="dxa"/>
            <w:vAlign w:val="bottom"/>
            <w:gridSpan w:val="11"/>
            <w:shd w:val="clear" w:color="auto" w:fill="CCEEFF"/>
          </w:tcPr>
          <w:p>
            <w:pPr>
              <w:ind w:left="120"/>
              <w:spacing w:after="0" w:line="176" w:lineRule="exact"/>
              <w:rPr>
                <w:sz w:val="20"/>
                <w:szCs w:val="20"/>
                <w:color w:val="auto"/>
              </w:rPr>
            </w:pPr>
            <w:r>
              <w:rPr>
                <w:rFonts w:ascii="Arial" w:cs="Arial" w:eastAsia="Arial" w:hAnsi="Arial"/>
                <w:sz w:val="18"/>
                <w:szCs w:val="18"/>
                <w:color w:val="0000EE"/>
              </w:rPr>
              <w:t>Consent of Friedman LLP</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Consent of Ogier (included in Exhibit 5.1)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Consent of Hansen &amp; Partners (included in Exhibit 8.1)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23.4</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Consent of Schiff Hardin LLP (included in Exhibit 8.2)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500" w:type="dxa"/>
            <w:vAlign w:val="bottom"/>
            <w:gridSpan w:val="11"/>
            <w:shd w:val="clear" w:color="auto" w:fill="CCEEFF"/>
          </w:tcPr>
          <w:p>
            <w:pPr>
              <w:ind w:left="120"/>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Charter of the Audit Committee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99.2</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Charter of the Compensation Committee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99.3</w:t>
            </w:r>
          </w:p>
        </w:tc>
        <w:tc>
          <w:tcPr>
            <w:tcW w:w="10500" w:type="dxa"/>
            <w:vAlign w:val="bottom"/>
            <w:gridSpan w:val="11"/>
            <w:shd w:val="clear" w:color="auto" w:fill="CCEEFF"/>
          </w:tcPr>
          <w:p>
            <w:pPr>
              <w:ind w:left="120"/>
              <w:spacing w:after="0"/>
              <w:rPr>
                <w:sz w:val="20"/>
                <w:szCs w:val="20"/>
                <w:color w:val="auto"/>
              </w:rPr>
            </w:pPr>
            <w:r>
              <w:rPr>
                <w:rFonts w:ascii="Arial" w:cs="Arial" w:eastAsia="Arial" w:hAnsi="Arial"/>
                <w:sz w:val="18"/>
                <w:szCs w:val="18"/>
                <w:color w:val="auto"/>
              </w:rPr>
              <w:t>Charter of the Nominating Committee (1).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11" w:lineRule="exact"/>
        <w:rPr>
          <w:sz w:val="20"/>
          <w:szCs w:val="20"/>
          <w:color w:val="auto"/>
        </w:rPr>
      </w:pPr>
    </w:p>
    <w:p>
      <w:pPr>
        <w:ind w:left="660" w:right="8840" w:hanging="652"/>
        <w:spacing w:after="0" w:line="528" w:lineRule="auto"/>
        <w:tabs>
          <w:tab w:leader="none" w:pos="267"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None.</w:t>
      </w:r>
    </w:p>
    <w:p>
      <w:pPr>
        <w:sectPr>
          <w:pgSz w:w="11900" w:h="16838" w:orient="portrait"/>
          <w:cols w:equalWidth="0" w:num="1">
            <w:col w:w="11420"/>
          </w:cols>
          <w:pgMar w:left="240" w:top="226" w:right="2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0" w:name="page141"/>
    <w:bookmarkEnd w:id="140"/>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firstLine="8"/>
        <w:spacing w:after="0" w:line="293" w:lineRule="auto"/>
        <w:tabs>
          <w:tab w:leader="none" w:pos="26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140" w:firstLine="8"/>
        <w:spacing w:after="0" w:line="277"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right="120" w:firstLine="8"/>
        <w:spacing w:after="0" w:line="277" w:lineRule="auto"/>
        <w:tabs>
          <w:tab w:leader="none" w:pos="2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right="540" w:firstLine="8"/>
        <w:spacing w:after="0" w:line="277"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100" w:firstLine="8"/>
        <w:spacing w:after="0" w:line="277" w:lineRule="auto"/>
        <w:tabs>
          <w:tab w:leader="none" w:pos="3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380"/>
          </w:cols>
          <w:pgMar w:left="240" w:top="226" w:right="2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141" w:name="page142"/>
    <w:bookmarkEnd w:id="141"/>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People’s Republic of China, on [_], 2018.</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 [_], 2018</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40" w:type="dxa"/>
            <w:vAlign w:val="bottom"/>
          </w:tcPr>
          <w:p>
            <w:pPr>
              <w:spacing w:after="0"/>
              <w:rPr>
                <w:sz w:val="22"/>
                <w:szCs w:val="22"/>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Chairman, President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Xiao Feng Yang</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0"/>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24"/>
        </w:trPr>
        <w:tc>
          <w:tcPr>
            <w:tcW w:w="4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19"/>
                <w:szCs w:val="19"/>
                <w:color w:val="auto"/>
              </w:rPr>
            </w:pP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5"/>
              </w:rPr>
              <w:t>Raymond Ming Hui Lin</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0"/>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24"/>
        </w:trPr>
        <w:tc>
          <w:tcPr>
            <w:tcW w:w="4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(Principal Accounting and Financial Officer)</w:t>
            </w:r>
          </w:p>
        </w:tc>
        <w:tc>
          <w:tcPr>
            <w:tcW w:w="1820" w:type="dxa"/>
            <w:vAlign w:val="bottom"/>
          </w:tcPr>
          <w:p>
            <w:pPr>
              <w:spacing w:after="0"/>
              <w:rPr>
                <w:sz w:val="19"/>
                <w:szCs w:val="19"/>
                <w:color w:val="auto"/>
              </w:rPr>
            </w:pP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Tian van Acken</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9"/>
              </w:rPr>
              <w:t>Jin He Shao</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8"/>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1"/>
              </w:rPr>
              <w:t>Kewei Huang</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8"/>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[_], 2018</w:t>
            </w:r>
          </w:p>
        </w:tc>
      </w:tr>
      <w:tr>
        <w:trPr>
          <w:trHeight w:val="234"/>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4"/>
              </w:rPr>
              <w:t>Kathryn Amooi</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2" w:name="page143"/>
    <w:bookmarkEnd w:id="142"/>
    <w:p>
      <w:pPr>
        <w:ind w:left="6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the Company has signed this registration statement or amendment thereto in New York on [_], 2018.</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VCorp Services,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25 Robert Pitt Drive, Suite 204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Monsey, NY 10952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(888) 528-2677</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226" w:right="71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INDEPENDENT DIRECTOR AGREEMENT</w:t>
      </w:r>
    </w:p>
    <w:p>
      <w:pPr>
        <w:spacing w:after="0" w:line="2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as of 2018, and is by and between CLPS Incorporation, a Cayman Islands corporation (hereinafter referred to as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__________________ (hereinafter referred to as the “</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of Directors of the Company desires to appoint or to ensure the continued appointment of the Director and to have or to continue to have the Director perform the duties of an independent director and the Director desires to be so appointed for or to remain appointed for such position and to perform or to continue to perform the duties required of such position in accordance with the terms and conditions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for the above recited promises and the mutual promises contained herein, the adequacy and sufficiency of which are hereby acknowledged, the Company and the Director hereby agree as follows:</w:t>
      </w:r>
    </w:p>
    <w:p>
      <w:pPr>
        <w:spacing w:after="0" w:line="170" w:lineRule="exact"/>
        <w:rPr>
          <w:sz w:val="20"/>
          <w:szCs w:val="20"/>
          <w:color w:val="auto"/>
        </w:rPr>
      </w:pPr>
    </w:p>
    <w:p>
      <w:pPr>
        <w:jc w:val="both"/>
        <w:ind w:firstLine="656"/>
        <w:spacing w:after="0" w:line="293" w:lineRule="auto"/>
        <w:tabs>
          <w:tab w:leader="none" w:pos="1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DUTIES. The Company requires that the Director be available to perform the duties of an independent director customarily related to this function as may be determined and assigned by the Board of Directors of the Company and as may be required by the Company’s constituent instruments, including its Articles of Incorporation/Association, Bylaws and its corporate governance and board committee charters, each as amended or modified from time to time, and any applicable governing law, rule, regulation or statute (the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The Director agrees to devote as much time as is necessary to perform completely the duties as the Director of the Company, including duties as a member of such committees as the Director may hereafter be appointed to. The Director will perform such duties described herein in accordance with the general fiduciary duty of directors arising under the Law.</w:t>
      </w:r>
    </w:p>
    <w:p>
      <w:pPr>
        <w:spacing w:after="0" w:line="164" w:lineRule="exact"/>
        <w:rPr>
          <w:rFonts w:ascii="Arial" w:cs="Arial" w:eastAsia="Arial" w:hAnsi="Arial"/>
          <w:sz w:val="16"/>
          <w:szCs w:val="16"/>
          <w:color w:val="auto"/>
        </w:rPr>
      </w:pPr>
    </w:p>
    <w:p>
      <w:pPr>
        <w:ind w:left="1100" w:hanging="444"/>
        <w:spacing w:after="0"/>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TERM. The term of this Agreement shall commence on the effective date of the IPO shall continue until the Director’s removal or resignation.</w:t>
      </w:r>
    </w:p>
    <w:p>
      <w:pPr>
        <w:spacing w:after="0" w:line="248" w:lineRule="exact"/>
        <w:rPr>
          <w:rFonts w:ascii="Arial" w:cs="Arial" w:eastAsia="Arial" w:hAnsi="Arial"/>
          <w:sz w:val="16"/>
          <w:szCs w:val="16"/>
          <w:color w:val="auto"/>
        </w:rPr>
      </w:pPr>
    </w:p>
    <w:p>
      <w:pPr>
        <w:ind w:firstLine="656"/>
        <w:spacing w:after="0" w:line="308" w:lineRule="auto"/>
        <w:tabs>
          <w:tab w:leader="none" w:pos="1117"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COMPENSATION. For all services to be rendered by the Director in any capacity hereunder, the Company agrees to pay the Director a fee of $1,500 per month. Such fee may be adjusted, up or down, from time to time as determined by the Company’s Board of Directors.</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227"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In addition to the compensation provided in paragraph 3 hereof, the Company will reimburse the Director for pre-approved reasonable business-related expenses incurred in good faith in the performance of the Director’s duties for the Company. Such payments shall be made by the Company upon submission by the Director of a signed statement itemizing the expenses incurred. Such statement shall be accompanied by sufficient documentary matter to support the expenditures.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CONFIDENTIALITY. The Company and the Director each acknowledge that, in order for the intents and purposes of this Agreement to be accomplished, the Director shall necessarily be obtaining access to certain confidential information concerning the Company and its affairs, including, but not limited to business methods, information systems, financial data and strategic plans which are unique assets of the Company (“</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The Director covenants not to, either directly or indirectly, in any manner, utilize or disclose to any person, firm, corporation, association or other entity any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4" w:name="page145"/>
    <w:bookmarkEnd w:id="144"/>
    <w:p>
      <w:pPr>
        <w:jc w:val="both"/>
        <w:ind w:firstLine="656"/>
        <w:spacing w:after="0" w:line="312" w:lineRule="auto"/>
        <w:tabs>
          <w:tab w:leader="none" w:pos="1183"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ASSIGNMENT. The rights and benefits of the Company under this Agreement shall be transferable, and all the covenants and agreements hereunder shall inure to the benefit of, and be enforceable by or against, its successors and assigns. The duties and obligations of the Director under this Agreement are personal and therefore the Director may not assign any right or duty under this Agreement without the prior written consent of the Company.</w:t>
      </w:r>
    </w:p>
    <w:p>
      <w:pPr>
        <w:spacing w:after="0" w:line="146" w:lineRule="exact"/>
        <w:rPr>
          <w:rFonts w:ascii="Arial" w:cs="Arial" w:eastAsia="Arial" w:hAnsi="Arial"/>
          <w:sz w:val="16"/>
          <w:szCs w:val="16"/>
          <w:color w:val="auto"/>
        </w:rPr>
      </w:pPr>
    </w:p>
    <w:p>
      <w:pPr>
        <w:jc w:val="both"/>
        <w:ind w:firstLine="656"/>
        <w:spacing w:after="0" w:line="264" w:lineRule="auto"/>
        <w:tabs>
          <w:tab w:leader="none" w:pos="1129" w:val="left"/>
        </w:tabs>
        <w:numPr>
          <w:ilvl w:val="0"/>
          <w:numId w:val="77"/>
        </w:numPr>
        <w:rPr>
          <w:rFonts w:ascii="Arial" w:cs="Arial" w:eastAsia="Arial" w:hAnsi="Arial"/>
          <w:sz w:val="18"/>
          <w:szCs w:val="18"/>
          <w:color w:val="auto"/>
        </w:rPr>
      </w:pPr>
      <w:r>
        <w:rPr>
          <w:rFonts w:ascii="Arial" w:cs="Arial" w:eastAsia="Arial" w:hAnsi="Arial"/>
          <w:sz w:val="18"/>
          <w:szCs w:val="18"/>
          <w:color w:val="auto"/>
        </w:rPr>
        <w:t>MISCELLANEOUS. If any provision of this Agreement shall be declared invalid or illegal, for any reason whatsoever, then, notwithstanding such invalidity or illegality, the remaining terms and provisions of this Agreement shall remain in full force and effect in the same manner as if the invalid or illegal provision had not been contained herein.</w:t>
      </w:r>
    </w:p>
    <w:p>
      <w:pPr>
        <w:spacing w:after="0" w:line="181" w:lineRule="exact"/>
        <w:rPr>
          <w:rFonts w:ascii="Arial" w:cs="Arial" w:eastAsia="Arial" w:hAnsi="Arial"/>
          <w:sz w:val="18"/>
          <w:szCs w:val="18"/>
          <w:color w:val="auto"/>
        </w:rPr>
      </w:pPr>
    </w:p>
    <w:p>
      <w:pPr>
        <w:ind w:firstLine="656"/>
        <w:spacing w:after="0" w:line="308" w:lineRule="auto"/>
        <w:tabs>
          <w:tab w:leader="none" w:pos="131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COUNTERPARTS. This Agreement may be executed in any number of counterparts, all of which taken together shall constitute one instrument. Facsimile or electronic .PDF (or similar format) execution and delivery of this Agreement is legal, valid and binding for all purposes.</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119" w:val="left"/>
        </w:tabs>
        <w:numPr>
          <w:ilvl w:val="0"/>
          <w:numId w:val="77"/>
        </w:numPr>
        <w:rPr>
          <w:rFonts w:ascii="Arial" w:cs="Arial" w:eastAsia="Arial" w:hAnsi="Arial"/>
          <w:sz w:val="17"/>
          <w:szCs w:val="17"/>
          <w:color w:val="auto"/>
        </w:rPr>
      </w:pPr>
      <w:r>
        <w:rPr>
          <w:rFonts w:ascii="Arial" w:cs="Arial" w:eastAsia="Arial" w:hAnsi="Arial"/>
          <w:sz w:val="17"/>
          <w:szCs w:val="17"/>
          <w:color w:val="auto"/>
        </w:rPr>
        <w:t>ENTIRE AGREEMENT. Except as provided elsewhere herein, this Agreement sets forth the entire agreement of the parties with respect to its subject matter and supersedes all prior agreements, promises, covenants, arrangements, communications, representations or warranties, whether oral or written, by any officer, employee or representative of any party to this Agreement with respect to such subject matter.</w:t>
      </w:r>
    </w:p>
    <w:p>
      <w:pPr>
        <w:spacing w:after="0" w:line="16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WITNESS WHEREOF, the parties hereto have caused this Independent Director Agreement to be duly executed and signed as of the day and year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25984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23495</wp:posOffset>
            </wp:positionV>
            <wp:extent cx="25984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9842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-130175</wp:posOffset>
            </wp:positionV>
            <wp:extent cx="25984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97561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56413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641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56413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641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EMPLOYMENT AGREEMENT (the “Agreement”) is entered into as of December 9,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CLPS INCORPORATION., a Cayman Islands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having its principal place of business at c/o 2nd Floor, Building 18, Shanghai Pudong Software Park, 498 Guoshoujin Road, Pudong, Shanghai 201203, People’s Republic of China, and Xiao Feng Yang (“</w:t>
      </w:r>
      <w:r>
        <w:rPr>
          <w:rFonts w:ascii="Arial" w:cs="Arial" w:eastAsia="Arial" w:hAnsi="Arial"/>
          <w:sz w:val="18"/>
          <w:szCs w:val="18"/>
          <w:u w:val="single" w:color="auto"/>
          <w:color w:val="auto"/>
        </w:rPr>
        <w:t>Executive</w:t>
      </w:r>
      <w:r>
        <w:rPr>
          <w:rFonts w:ascii="Arial" w:cs="Arial" w:eastAsia="Arial" w:hAnsi="Arial"/>
          <w:sz w:val="18"/>
          <w:szCs w:val="18"/>
          <w:color w:val="auto"/>
        </w:rPr>
        <w:t>”, and the Company and the Executive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hire Executive and to employ him as the Company’s Chairman &amp; President (“</w:t>
      </w:r>
      <w:r>
        <w:rPr>
          <w:rFonts w:ascii="Arial" w:cs="Arial" w:eastAsia="Arial" w:hAnsi="Arial"/>
          <w:sz w:val="18"/>
          <w:szCs w:val="18"/>
          <w:u w:val="single" w:color="auto"/>
          <w:color w:val="auto"/>
        </w:rPr>
        <w:t>Title</w:t>
      </w:r>
      <w:r>
        <w:rPr>
          <w:rFonts w:ascii="Arial" w:cs="Arial" w:eastAsia="Arial" w:hAnsi="Arial"/>
          <w:sz w:val="18"/>
          <w:szCs w:val="18"/>
          <w:color w:val="auto"/>
        </w:rPr>
        <w:t>”) commencing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and the Parties desire to enter into this Agreement embodying the terms of such employment;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and promises of the Parties contained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agree as follows:</w:t>
      </w:r>
    </w:p>
    <w:p>
      <w:pPr>
        <w:spacing w:after="0" w:line="166" w:lineRule="exact"/>
        <w:rPr>
          <w:sz w:val="20"/>
          <w:szCs w:val="20"/>
          <w:color w:val="auto"/>
        </w:rPr>
      </w:pPr>
    </w:p>
    <w:p>
      <w:pPr>
        <w:ind w:left="1340" w:hanging="684"/>
        <w:spacing w:after="0"/>
        <w:tabs>
          <w:tab w:leader="none" w:pos="13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Title and Job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the Company agrees to employ Executive as the Chairman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President.</w:t>
      </w:r>
    </w:p>
    <w:p>
      <w:pPr>
        <w:spacing w:after="0" w:line="210" w:lineRule="exact"/>
        <w:rPr>
          <w:rFonts w:ascii="Arial" w:cs="Arial" w:eastAsia="Arial" w:hAnsi="Arial"/>
          <w:sz w:val="16"/>
          <w:szCs w:val="16"/>
          <w:color w:val="auto"/>
        </w:rPr>
      </w:pPr>
    </w:p>
    <w:p>
      <w:pPr>
        <w:ind w:firstLine="1305"/>
        <w:spacing w:after="0" w:line="342" w:lineRule="auto"/>
        <w:tabs>
          <w:tab w:leader="none" w:pos="1825" w:val="left"/>
        </w:tabs>
        <w:numPr>
          <w:ilvl w:val="1"/>
          <w:numId w:val="78"/>
        </w:numPr>
        <w:rPr>
          <w:rFonts w:ascii="Arial" w:cs="Arial" w:eastAsia="Arial" w:hAnsi="Arial"/>
          <w:sz w:val="16"/>
          <w:szCs w:val="16"/>
          <w:color w:val="auto"/>
        </w:rPr>
      </w:pPr>
      <w:r>
        <w:rPr>
          <w:rFonts w:ascii="Arial" w:cs="Arial" w:eastAsia="Arial" w:hAnsi="Arial"/>
          <w:sz w:val="16"/>
          <w:szCs w:val="16"/>
          <w:color w:val="auto"/>
        </w:rPr>
        <w:t>Executive accepts such employment and agrees, during the term of his employment, to devote his full business and professional time and energy to the Company, and agrees faithfully to perform his duties and responsibilities in an efficient, trustworthy and business-like manner.</w:t>
      </w:r>
    </w:p>
    <w:p>
      <w:pPr>
        <w:spacing w:after="0" w:line="123" w:lineRule="exact"/>
        <w:rPr>
          <w:rFonts w:ascii="Arial" w:cs="Arial" w:eastAsia="Arial" w:hAnsi="Arial"/>
          <w:sz w:val="16"/>
          <w:szCs w:val="16"/>
          <w:color w:val="auto"/>
        </w:rPr>
      </w:pPr>
    </w:p>
    <w:p>
      <w:pPr>
        <w:jc w:val="both"/>
        <w:ind w:firstLine="1305"/>
        <w:spacing w:after="0" w:line="255" w:lineRule="auto"/>
        <w:tabs>
          <w:tab w:leader="none" w:pos="1808" w:val="left"/>
        </w:tabs>
        <w:numPr>
          <w:ilvl w:val="1"/>
          <w:numId w:val="7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Executive shall not, without the written approval of the Company, render services of a business or commercial nature on his own behalf or on behalf of any other person, firm, or corporation, whether for compensation or otherwise, during his employment hereunder; provided, however, the Company herby approves of the Executive’s limited activities, which shall not interfere with Executive’s ability to perform hereunder, in real estate and business to business lending in the automotive industry as they exist on the Effective Date.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89" w:lineRule="exact"/>
        <w:rPr>
          <w:rFonts w:ascii="Arial" w:cs="Arial" w:eastAsia="Arial" w:hAnsi="Arial"/>
          <w:sz w:val="18"/>
          <w:szCs w:val="18"/>
          <w:color w:val="auto"/>
        </w:rPr>
      </w:pPr>
    </w:p>
    <w:p>
      <w:pPr>
        <w:ind w:left="1340" w:hanging="684"/>
        <w:spacing w:after="0"/>
        <w:tabs>
          <w:tab w:leader="none" w:pos="13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Salary and Additional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852"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Executive an annual base salary (“</w:t>
      </w:r>
      <w:r>
        <w:rPr>
          <w:rFonts w:ascii="Arial" w:cs="Arial" w:eastAsia="Arial" w:hAnsi="Arial"/>
          <w:sz w:val="17"/>
          <w:szCs w:val="17"/>
          <w:u w:val="single" w:color="auto"/>
          <w:color w:val="auto"/>
        </w:rPr>
        <w:t>Base Salary</w:t>
      </w:r>
      <w:r>
        <w:rPr>
          <w:rFonts w:ascii="Arial" w:cs="Arial" w:eastAsia="Arial" w:hAnsi="Arial"/>
          <w:sz w:val="17"/>
          <w:szCs w:val="17"/>
          <w:color w:val="auto"/>
        </w:rPr>
        <w:t>”) of RMB144,000 and HK$566,472 (a total of approximately USD$94,100) in accordance with the Company’s normal payroll procedures.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jc w:val="both"/>
        <w:ind w:left="-8" w:firstLine="1305"/>
        <w:spacing w:after="0" w:line="255" w:lineRule="auto"/>
        <w:tabs>
          <w:tab w:leader="none" w:pos="1894"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Commencing with the year ending June 30, 2018, Executive will be entitled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89" w:lineRule="exact"/>
        <w:rPr>
          <w:rFonts w:ascii="Arial" w:cs="Arial" w:eastAsia="Arial" w:hAnsi="Arial"/>
          <w:sz w:val="18"/>
          <w:szCs w:val="18"/>
          <w:color w:val="auto"/>
        </w:rPr>
      </w:pPr>
    </w:p>
    <w:p>
      <w:pPr>
        <w:jc w:val="both"/>
        <w:ind w:left="-8" w:firstLine="656"/>
        <w:spacing w:after="0" w:line="273" w:lineRule="auto"/>
        <w:tabs>
          <w:tab w:leader="none" w:pos="1437"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his duties under this Agreement, including without limitation all travel expenses to and from his designated office as set forth in the opening paragraph of this Agreement, upon his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78" w:lineRule="exact"/>
        <w:rPr>
          <w:rFonts w:ascii="Arial" w:cs="Arial" w:eastAsia="Arial" w:hAnsi="Arial"/>
          <w:sz w:val="17"/>
          <w:szCs w:val="17"/>
          <w:color w:val="auto"/>
        </w:rPr>
      </w:pPr>
    </w:p>
    <w:p>
      <w:pPr>
        <w:ind w:left="1332" w:hanging="684"/>
        <w:spacing w:after="0"/>
        <w:tabs>
          <w:tab w:leader="none" w:pos="133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305"/>
        <w:spacing w:after="0" w:line="264" w:lineRule="auto"/>
        <w:tabs>
          <w:tab w:leader="none" w:pos="1857"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Vacation and Sick Leave</w:t>
      </w:r>
      <w:r>
        <w:rPr>
          <w:rFonts w:ascii="Arial" w:cs="Arial" w:eastAsia="Arial" w:hAnsi="Arial"/>
          <w:sz w:val="18"/>
          <w:szCs w:val="18"/>
          <w:color w:val="auto"/>
        </w:rPr>
        <w:t>. Executive shall be entitled to three weeks of vacation per year and 10 days of sick leave per year, which shall accrue at a pro rata rate per pay period. Vacation must be taken in the year in which it accrues and the dates of any vacation must be approved by the CEO.</w:t>
      </w:r>
    </w:p>
    <w:p>
      <w:pPr>
        <w:spacing w:after="0" w:line="181" w:lineRule="exact"/>
        <w:rPr>
          <w:rFonts w:ascii="Arial" w:cs="Arial" w:eastAsia="Arial" w:hAnsi="Arial"/>
          <w:sz w:val="18"/>
          <w:szCs w:val="18"/>
          <w:color w:val="auto"/>
        </w:rPr>
      </w:pPr>
    </w:p>
    <w:p>
      <w:pPr>
        <w:jc w:val="both"/>
        <w:ind w:left="-8" w:firstLine="1305"/>
        <w:spacing w:after="0" w:line="264" w:lineRule="auto"/>
        <w:tabs>
          <w:tab w:leader="none" w:pos="1881"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Health Insurance and Other Plans</w:t>
      </w:r>
      <w:r>
        <w:rPr>
          <w:rFonts w:ascii="Arial" w:cs="Arial" w:eastAsia="Arial" w:hAnsi="Arial"/>
          <w:sz w:val="18"/>
          <w:szCs w:val="18"/>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81" w:lineRule="exact"/>
        <w:rPr>
          <w:rFonts w:ascii="Arial" w:cs="Arial" w:eastAsia="Arial" w:hAnsi="Arial"/>
          <w:sz w:val="18"/>
          <w:szCs w:val="18"/>
          <w:color w:val="auto"/>
        </w:rPr>
      </w:pPr>
    </w:p>
    <w:p>
      <w:pPr>
        <w:jc w:val="both"/>
        <w:ind w:left="-8" w:firstLine="656"/>
        <w:spacing w:after="0" w:line="288" w:lineRule="auto"/>
        <w:tabs>
          <w:tab w:leader="none" w:pos="1423"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employment under this Agreement (the “Term) shall be for a five-year period commencing on the Effective Date and ending on May 10, 2022, and shall be automatically extended for an additional consecutive twelve (12)-month period on the fifth anniversary of the Effective Date and each subsequent anniversary thereof, unless and until the Company or Executive provides written notice to the other party not less than ninety</w:t>
      </w:r>
    </w:p>
    <w:p>
      <w:pPr>
        <w:jc w:val="both"/>
        <w:ind w:left="-8" w:firstLine="8"/>
        <w:spacing w:after="0" w:line="292" w:lineRule="auto"/>
        <w:tabs>
          <w:tab w:leader="none" w:pos="338" w:val="left"/>
        </w:tabs>
        <w:numPr>
          <w:ilvl w:val="0"/>
          <w:numId w:val="81"/>
        </w:numPr>
        <w:rPr>
          <w:rFonts w:ascii="Arial" w:cs="Arial" w:eastAsia="Arial" w:hAnsi="Arial"/>
          <w:sz w:val="16"/>
          <w:szCs w:val="16"/>
          <w:color w:val="auto"/>
        </w:rPr>
      </w:pPr>
      <w:r>
        <w:rPr>
          <w:rFonts w:ascii="Arial" w:cs="Arial" w:eastAsia="Arial" w:hAnsi="Arial"/>
          <w:sz w:val="16"/>
          <w:szCs w:val="16"/>
          <w:color w:val="auto"/>
        </w:rPr>
        <w:t>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his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47" w:name="page148"/>
    <w:bookmarkEnd w:id="147"/>
    <w:p>
      <w:pPr>
        <w:ind w:left="1320" w:hanging="684"/>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95"/>
        <w:spacing w:after="0"/>
        <w:tabs>
          <w:tab w:leader="none" w:pos="198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Termination at the Company’s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71" w:lineRule="auto"/>
        <w:tabs>
          <w:tab w:leader="none" w:pos="2464" w:val="left"/>
        </w:tabs>
        <w:numPr>
          <w:ilvl w:val="2"/>
          <w:numId w:val="82"/>
        </w:numPr>
        <w:rPr>
          <w:rFonts w:ascii="Arial" w:cs="Arial" w:eastAsia="Arial" w:hAnsi="Arial"/>
          <w:sz w:val="17"/>
          <w:szCs w:val="17"/>
          <w:color w:val="auto"/>
        </w:rPr>
      </w:pPr>
      <w:r>
        <w:rPr>
          <w:rFonts w:ascii="Arial" w:cs="Arial" w:eastAsia="Arial" w:hAnsi="Arial"/>
          <w:sz w:val="17"/>
          <w:szCs w:val="17"/>
          <w:u w:val="single" w:color="auto"/>
          <w:color w:val="auto"/>
        </w:rPr>
        <w:t>For Cause</w:t>
      </w:r>
      <w:r>
        <w:rPr>
          <w:rFonts w:ascii="Arial" w:cs="Arial" w:eastAsia="Arial" w:hAnsi="Arial"/>
          <w:sz w:val="17"/>
          <w:szCs w:val="17"/>
          <w:color w:val="auto"/>
        </w:rPr>
        <w:t>. At the election of the Company, Executive’s employment may be terminated at any time for Cause (as defined below) upon written notice to Executive given pursuant to Section 12 of this Agreement.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his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78" w:lineRule="exact"/>
        <w:rPr>
          <w:rFonts w:ascii="Arial" w:cs="Arial" w:eastAsia="Arial" w:hAnsi="Arial"/>
          <w:sz w:val="17"/>
          <w:szCs w:val="17"/>
          <w:color w:val="auto"/>
        </w:rPr>
      </w:pPr>
    </w:p>
    <w:p>
      <w:pPr>
        <w:jc w:val="both"/>
        <w:ind w:left="-20" w:firstLine="1953"/>
        <w:spacing w:after="0" w:line="259" w:lineRule="auto"/>
        <w:tabs>
          <w:tab w:leader="none" w:pos="2460"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Upon Disability, Death or Without Cause</w:t>
      </w:r>
      <w:r>
        <w:rPr>
          <w:rFonts w:ascii="Arial" w:cs="Arial" w:eastAsia="Arial" w:hAnsi="Arial"/>
          <w:sz w:val="18"/>
          <w:szCs w:val="18"/>
          <w:color w:val="auto"/>
        </w:rPr>
        <w:t>. At the election of the Company, Executive’s employment may be terminated: (A) should Executive have a physical or mental impairment that substantially limits a major life activity and Executive is unable to perform the essential functions of his job with or without reasonable accommodation (“</w:t>
      </w:r>
      <w:r>
        <w:rPr>
          <w:rFonts w:ascii="Arial" w:cs="Arial" w:eastAsia="Arial" w:hAnsi="Arial"/>
          <w:sz w:val="18"/>
          <w:szCs w:val="18"/>
          <w:u w:val="single" w:color="auto"/>
          <w:color w:val="auto"/>
        </w:rPr>
        <w:t>Disability</w:t>
      </w:r>
      <w:r>
        <w:rPr>
          <w:rFonts w:ascii="Arial" w:cs="Arial" w:eastAsia="Arial" w:hAnsi="Arial"/>
          <w:sz w:val="18"/>
          <w:szCs w:val="18"/>
          <w:color w:val="auto"/>
        </w:rPr>
        <w:t>”); (B) upon Executive’s death; or (C) with ninety (90) days prior written notice, at any time Without Cause for any or no reason.</w:t>
      </w:r>
    </w:p>
    <w:p>
      <w:pPr>
        <w:spacing w:after="0" w:line="186" w:lineRule="exact"/>
        <w:rPr>
          <w:rFonts w:ascii="Arial" w:cs="Arial" w:eastAsia="Arial" w:hAnsi="Arial"/>
          <w:sz w:val="18"/>
          <w:szCs w:val="18"/>
          <w:color w:val="auto"/>
        </w:rPr>
      </w:pPr>
    </w:p>
    <w:p>
      <w:pPr>
        <w:jc w:val="both"/>
        <w:ind w:left="-20" w:firstLine="1305"/>
        <w:spacing w:after="0" w:line="287" w:lineRule="auto"/>
        <w:tabs>
          <w:tab w:leader="none" w:pos="1963"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Termination at Executive’s Election; Good Reason Termination</w:t>
      </w:r>
      <w:r>
        <w:rPr>
          <w:rFonts w:ascii="Arial" w:cs="Arial" w:eastAsia="Arial" w:hAnsi="Arial"/>
          <w:sz w:val="16"/>
          <w:szCs w:val="16"/>
          <w:color w:val="auto"/>
        </w:rPr>
        <w:t>. Notwithstanding anything contained elsewhere in this Agreement to the contrary, Executive may terminate his employment hereunder at any time and for any reason, upon thirty (30) days’ prior written notice given pursuant to Section 12 of this Agreement (“</w:t>
      </w:r>
      <w:r>
        <w:rPr>
          <w:rFonts w:ascii="Arial" w:cs="Arial" w:eastAsia="Arial" w:hAnsi="Arial"/>
          <w:sz w:val="16"/>
          <w:szCs w:val="16"/>
          <w:u w:val="single" w:color="auto"/>
          <w:color w:val="auto"/>
        </w:rPr>
        <w:t>Voluntary Resignation</w:t>
      </w:r>
      <w:r>
        <w:rPr>
          <w:rFonts w:ascii="Arial" w:cs="Arial" w:eastAsia="Arial" w:hAnsi="Arial"/>
          <w:sz w:val="16"/>
          <w:szCs w:val="16"/>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6"/>
          <w:szCs w:val="16"/>
          <w:u w:val="single" w:color="auto"/>
          <w:color w:val="auto"/>
        </w:rPr>
        <w:t>Good Reason</w:t>
      </w:r>
      <w:r>
        <w:rPr>
          <w:rFonts w:ascii="Arial" w:cs="Arial" w:eastAsia="Arial" w:hAnsi="Arial"/>
          <w:sz w:val="16"/>
          <w:szCs w:val="16"/>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8" w:name="page149"/>
    <w:bookmarkEnd w:id="148"/>
    <w:p>
      <w:pPr>
        <w:ind w:left="2220" w:hanging="915"/>
        <w:spacing w:after="0"/>
        <w:tabs>
          <w:tab w:leader="none" w:pos="2220"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Termination in General</w:t>
      </w:r>
      <w:r>
        <w:rPr>
          <w:rFonts w:ascii="Arial" w:cs="Arial" w:eastAsia="Arial" w:hAnsi="Arial"/>
          <w:sz w:val="17"/>
          <w:szCs w:val="17"/>
          <w:color w:val="auto"/>
        </w:rPr>
        <w:t>. If Executive’s employment with the Company terminates for any reason, the Company will pay or</w:t>
      </w:r>
    </w:p>
    <w:p>
      <w:pPr>
        <w:spacing w:after="0" w:line="34" w:lineRule="exact"/>
        <w:rPr>
          <w:rFonts w:ascii="Arial" w:cs="Arial" w:eastAsia="Arial" w:hAnsi="Arial"/>
          <w:sz w:val="17"/>
          <w:szCs w:val="17"/>
          <w:color w:val="auto"/>
        </w:rPr>
      </w:pPr>
    </w:p>
    <w:p>
      <w:pPr>
        <w:jc w:val="both"/>
        <w:spacing w:after="0" w:line="253" w:lineRule="auto"/>
        <w:rPr>
          <w:rFonts w:ascii="Arial" w:cs="Arial" w:eastAsia="Arial" w:hAnsi="Arial"/>
          <w:sz w:val="17"/>
          <w:szCs w:val="17"/>
          <w:color w:val="auto"/>
        </w:rPr>
      </w:pPr>
      <w:r>
        <w:rPr>
          <w:rFonts w:ascii="Arial" w:cs="Arial" w:eastAsia="Arial" w:hAnsi="Arial"/>
          <w:sz w:val="18"/>
          <w:szCs w:val="18"/>
          <w:color w:val="auto"/>
        </w:rPr>
        <w:t>provide to 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191" w:lineRule="exact"/>
        <w:rPr>
          <w:rFonts w:ascii="Arial" w:cs="Arial" w:eastAsia="Arial" w:hAnsi="Arial"/>
          <w:sz w:val="17"/>
          <w:szCs w:val="17"/>
          <w:color w:val="auto"/>
        </w:rPr>
      </w:pPr>
    </w:p>
    <w:p>
      <w:pPr>
        <w:ind w:left="1340" w:hanging="684"/>
        <w:spacing w:after="0"/>
        <w:tabs>
          <w:tab w:leader="none" w:pos="13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21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Subject to Section 7(b) below, if Executive’s employment is terminated prior to the end of the Term by the Company without Cause or by Executive for Good Reason, Executive shall be entitled to receive a severance payment equal to (i) nine (9) months of Executive’s Base Salary, and (ii)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 (55) days of termination.</w:t>
      </w:r>
    </w:p>
    <w:p>
      <w:pPr>
        <w:spacing w:after="0" w:line="177" w:lineRule="exact"/>
        <w:rPr>
          <w:rFonts w:ascii="Arial" w:cs="Arial" w:eastAsia="Arial" w:hAnsi="Arial"/>
          <w:sz w:val="17"/>
          <w:szCs w:val="17"/>
          <w:color w:val="auto"/>
        </w:rPr>
      </w:pPr>
    </w:p>
    <w:p>
      <w:pPr>
        <w:jc w:val="both"/>
        <w:ind w:firstLine="1305"/>
        <w:spacing w:after="0" w:line="269" w:lineRule="auto"/>
        <w:tabs>
          <w:tab w:leader="none" w:pos="2085"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Stock Option Grant or, if the termination occurs after the Change of Control, the Substitute Grant, as applicable. For purposes of this Agreement, “</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7"/>
          <w:szCs w:val="17"/>
          <w:u w:val="single" w:color="auto"/>
          <w:color w:val="auto"/>
        </w:rPr>
        <w:t>Exchange Act</w:t>
      </w:r>
      <w:r>
        <w:rPr>
          <w:rFonts w:ascii="Arial" w:cs="Arial" w:eastAsia="Arial" w:hAnsi="Arial"/>
          <w:sz w:val="17"/>
          <w:szCs w:val="17"/>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79" w:lineRule="exact"/>
        <w:rPr>
          <w:rFonts w:ascii="Arial" w:cs="Arial" w:eastAsia="Arial" w:hAnsi="Arial"/>
          <w:sz w:val="17"/>
          <w:szCs w:val="17"/>
          <w:color w:val="auto"/>
        </w:rPr>
      </w:pPr>
    </w:p>
    <w:p>
      <w:pPr>
        <w:jc w:val="both"/>
        <w:ind w:firstLine="1305"/>
        <w:spacing w:after="0" w:line="257" w:lineRule="auto"/>
        <w:tabs>
          <w:tab w:leader="none" w:pos="2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ind w:left="1320" w:hanging="68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86" w:lineRule="auto"/>
        <w:tabs>
          <w:tab w:leader="none" w:pos="2038" w:val="left"/>
        </w:tabs>
        <w:numPr>
          <w:ilvl w:val="1"/>
          <w:numId w:val="85"/>
        </w:numPr>
        <w:rPr>
          <w:rFonts w:ascii="Arial" w:cs="Arial" w:eastAsia="Arial" w:hAnsi="Arial"/>
          <w:sz w:val="16"/>
          <w:szCs w:val="16"/>
          <w:color w:val="auto"/>
        </w:rPr>
      </w:pPr>
      <w:r>
        <w:rPr>
          <w:rFonts w:ascii="Arial" w:cs="Arial" w:eastAsia="Arial" w:hAnsi="Arial"/>
          <w:sz w:val="16"/>
          <w:szCs w:val="16"/>
          <w:color w:val="auto"/>
        </w:rPr>
        <w:t>Executive understands that during the Term 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6"/>
          <w:szCs w:val="16"/>
          <w:u w:val="single" w:color="auto"/>
          <w:color w:val="auto"/>
        </w:rPr>
        <w:t>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or clients,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others under agreements to hold such information confidential (collectively,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agrees to observe all Company policies and procedures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when necessary in the performance of his duties for the Company. Executive’s obligations under this Agreement will continue with respect to Confidential Information, whether or not his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he first notifies promptly the Company of such subpoena, order or other requirement and allows the Company the opportunity to obtain a protective order or other appropriate remedy.</w:t>
      </w:r>
    </w:p>
    <w:p>
      <w:pPr>
        <w:spacing w:after="0" w:line="171" w:lineRule="exact"/>
        <w:rPr>
          <w:rFonts w:ascii="Arial" w:cs="Arial" w:eastAsia="Arial" w:hAnsi="Arial"/>
          <w:sz w:val="16"/>
          <w:szCs w:val="16"/>
          <w:color w:val="auto"/>
        </w:rPr>
      </w:pPr>
    </w:p>
    <w:p>
      <w:pPr>
        <w:jc w:val="both"/>
        <w:ind w:left="-20" w:firstLine="1305"/>
        <w:spacing w:after="0" w:line="255" w:lineRule="auto"/>
        <w:tabs>
          <w:tab w:leader="none" w:pos="2235" w:val="left"/>
        </w:tabs>
        <w:numPr>
          <w:ilvl w:val="1"/>
          <w:numId w:val="85"/>
        </w:numPr>
        <w:rPr>
          <w:rFonts w:ascii="Arial" w:cs="Arial" w:eastAsia="Arial" w:hAnsi="Arial"/>
          <w:sz w:val="18"/>
          <w:szCs w:val="18"/>
          <w:color w:val="auto"/>
        </w:rPr>
      </w:pPr>
      <w:r>
        <w:rPr>
          <w:rFonts w:ascii="Arial" w:cs="Arial" w:eastAsia="Arial" w:hAnsi="Arial"/>
          <w:sz w:val="18"/>
          <w:szCs w:val="18"/>
          <w:color w:val="auto"/>
        </w:rPr>
        <w:t>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Executive’s possession, custody or control.</w:t>
      </w:r>
    </w:p>
    <w:p>
      <w:pPr>
        <w:spacing w:after="0" w:line="193" w:lineRule="exact"/>
        <w:rPr>
          <w:rFonts w:ascii="Arial" w:cs="Arial" w:eastAsia="Arial" w:hAnsi="Arial"/>
          <w:sz w:val="18"/>
          <w:szCs w:val="18"/>
          <w:color w:val="auto"/>
        </w:rPr>
      </w:pPr>
    </w:p>
    <w:p>
      <w:pPr>
        <w:jc w:val="both"/>
        <w:ind w:left="-20" w:firstLine="1305"/>
        <w:spacing w:after="0" w:line="270" w:lineRule="auto"/>
        <w:tabs>
          <w:tab w:leader="none" w:pos="21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Executive will promptly disclose to the Company any idea, invention, discovery or improvement, whether patentable or not (“</w:t>
      </w:r>
      <w:r>
        <w:rPr>
          <w:rFonts w:ascii="Arial" w:cs="Arial" w:eastAsia="Arial" w:hAnsi="Arial"/>
          <w:sz w:val="17"/>
          <w:szCs w:val="17"/>
          <w:u w:val="single" w:color="auto"/>
          <w:color w:val="auto"/>
        </w:rPr>
        <w:t>Creations</w:t>
      </w:r>
      <w:r>
        <w:rPr>
          <w:rFonts w:ascii="Arial" w:cs="Arial" w:eastAsia="Arial" w:hAnsi="Arial"/>
          <w:sz w:val="17"/>
          <w:szCs w:val="17"/>
          <w:color w:val="auto"/>
        </w:rPr>
        <w:t>”), conceived or made by him alone or with others at any time during his employment. Executive agrees that the Company owns all such Creations, conceived or made by Executive alone or with others at any time during his employment, and Executive hereby assigns and agrees to assign to the Company all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Executive understands that the obligation to assign Creations to the Company shall not apply to any Creation which is developed entirely on his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his work at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50" w:name="page151"/>
    <w:bookmarkEnd w:id="150"/>
    <w:p>
      <w:pPr>
        <w:ind w:left="-8" w:firstLine="1305"/>
        <w:spacing w:after="0" w:line="308" w:lineRule="auto"/>
        <w:tabs>
          <w:tab w:leader="none" w:pos="2061" w:val="left"/>
        </w:tabs>
        <w:numPr>
          <w:ilvl w:val="2"/>
          <w:numId w:val="86"/>
        </w:numPr>
        <w:rPr>
          <w:rFonts w:ascii="Arial" w:cs="Arial" w:eastAsia="Arial" w:hAnsi="Arial"/>
          <w:sz w:val="17"/>
          <w:szCs w:val="17"/>
          <w:color w:val="auto"/>
        </w:rPr>
      </w:pPr>
      <w:r>
        <w:rPr>
          <w:rFonts w:ascii="Arial" w:cs="Arial" w:eastAsia="Arial" w:hAnsi="Arial"/>
          <w:sz w:val="17"/>
          <w:szCs w:val="17"/>
          <w:color w:val="auto"/>
        </w:rPr>
        <w:t>Executive will not assert any rights to any invention, discovery, idea or improvement relating to the business of the Company or any of its Affiliated Entities or to his duties hereunder as having been made or acquired by Executive prior to his work for the Company.</w:t>
      </w:r>
    </w:p>
    <w:p>
      <w:pPr>
        <w:spacing w:after="0" w:line="146" w:lineRule="exact"/>
        <w:rPr>
          <w:rFonts w:ascii="Arial" w:cs="Arial" w:eastAsia="Arial" w:hAnsi="Arial"/>
          <w:sz w:val="17"/>
          <w:szCs w:val="17"/>
          <w:color w:val="auto"/>
        </w:rPr>
      </w:pPr>
    </w:p>
    <w:p>
      <w:pPr>
        <w:jc w:val="both"/>
        <w:ind w:left="-8" w:firstLine="1305"/>
        <w:spacing w:after="0" w:line="259" w:lineRule="auto"/>
        <w:tabs>
          <w:tab w:leader="none" w:pos="2049" w:val="left"/>
        </w:tabs>
        <w:numPr>
          <w:ilvl w:val="2"/>
          <w:numId w:val="86"/>
        </w:numPr>
        <w:rPr>
          <w:rFonts w:ascii="Arial" w:cs="Arial" w:eastAsia="Arial" w:hAnsi="Arial"/>
          <w:sz w:val="18"/>
          <w:szCs w:val="18"/>
          <w:color w:val="auto"/>
        </w:rPr>
      </w:pPr>
      <w:r>
        <w:rPr>
          <w:rFonts w:ascii="Arial" w:cs="Arial" w:eastAsia="Arial" w:hAnsi="Arial"/>
          <w:sz w:val="18"/>
          <w:szCs w:val="18"/>
          <w:color w:val="auto"/>
        </w:rPr>
        <w:t>During the Term, the Company is hereby granted and shall have a non-exclusive,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86" w:lineRule="exact"/>
        <w:rPr>
          <w:rFonts w:ascii="Arial" w:cs="Arial" w:eastAsia="Arial" w:hAnsi="Arial"/>
          <w:sz w:val="18"/>
          <w:szCs w:val="18"/>
          <w:color w:val="auto"/>
        </w:rPr>
      </w:pPr>
    </w:p>
    <w:p>
      <w:pPr>
        <w:jc w:val="both"/>
        <w:ind w:left="-8" w:firstLine="1305"/>
        <w:spacing w:after="0" w:line="290" w:lineRule="auto"/>
        <w:tabs>
          <w:tab w:leader="none" w:pos="2043" w:val="left"/>
        </w:tabs>
        <w:numPr>
          <w:ilvl w:val="2"/>
          <w:numId w:val="86"/>
        </w:numPr>
        <w:rPr>
          <w:rFonts w:ascii="Arial" w:cs="Arial" w:eastAsia="Arial" w:hAnsi="Arial"/>
          <w:sz w:val="16"/>
          <w:szCs w:val="16"/>
          <w:color w:val="auto"/>
        </w:rPr>
      </w:pPr>
      <w:r>
        <w:rPr>
          <w:rFonts w:ascii="Arial" w:cs="Arial" w:eastAsia="Arial" w:hAnsi="Arial"/>
          <w:sz w:val="16"/>
          <w:szCs w:val="16"/>
          <w:color w:val="auto"/>
        </w:rPr>
        <w:t>Executive agrees to cooperate fully with the Company,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w:t>
      </w:r>
    </w:p>
    <w:p>
      <w:pPr>
        <w:spacing w:after="0" w:line="166" w:lineRule="exact"/>
        <w:rPr>
          <w:rFonts w:ascii="Arial" w:cs="Arial" w:eastAsia="Arial" w:hAnsi="Arial"/>
          <w:sz w:val="16"/>
          <w:szCs w:val="16"/>
          <w:color w:val="auto"/>
        </w:rPr>
      </w:pPr>
    </w:p>
    <w:p>
      <w:pPr>
        <w:jc w:val="both"/>
        <w:ind w:left="-8" w:firstLine="656"/>
        <w:spacing w:after="0" w:line="271" w:lineRule="auto"/>
        <w:tabs>
          <w:tab w:leader="none" w:pos="1585"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Non-solicitation; non-competition</w:t>
      </w:r>
      <w:r>
        <w:rPr>
          <w:rFonts w:ascii="Arial" w:cs="Arial" w:eastAsia="Arial" w:hAnsi="Arial"/>
          <w:sz w:val="17"/>
          <w:szCs w:val="17"/>
          <w:color w:val="auto"/>
        </w:rPr>
        <w:t>. (a) Executive agrees that, during the Term and until nine (9) months after the termination of his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nine</w:t>
      </w:r>
    </w:p>
    <w:p>
      <w:pPr>
        <w:ind w:left="-8" w:firstLine="8"/>
        <w:spacing w:after="0" w:line="261" w:lineRule="auto"/>
        <w:tabs>
          <w:tab w:leader="none" w:pos="2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months prior to the termination of Executive’s employment, or induce any such employee to terminate his or her employment with the Company or any of its Affiliated Entities.</w:t>
      </w:r>
    </w:p>
    <w:p>
      <w:pPr>
        <w:spacing w:after="0" w:line="183" w:lineRule="exact"/>
        <w:rPr>
          <w:rFonts w:ascii="Arial" w:cs="Arial" w:eastAsia="Arial" w:hAnsi="Arial"/>
          <w:sz w:val="18"/>
          <w:szCs w:val="18"/>
          <w:color w:val="auto"/>
        </w:rPr>
      </w:pPr>
    </w:p>
    <w:p>
      <w:pPr>
        <w:jc w:val="both"/>
        <w:ind w:left="-8" w:firstLine="1305"/>
        <w:spacing w:after="0" w:line="255" w:lineRule="auto"/>
        <w:tabs>
          <w:tab w:leader="none" w:pos="2058" w:val="left"/>
        </w:tabs>
        <w:numPr>
          <w:ilvl w:val="2"/>
          <w:numId w:val="88"/>
        </w:numPr>
        <w:rPr>
          <w:rFonts w:ascii="Arial" w:cs="Arial" w:eastAsia="Arial" w:hAnsi="Arial"/>
          <w:sz w:val="18"/>
          <w:szCs w:val="18"/>
          <w:color w:val="auto"/>
        </w:rPr>
      </w:pPr>
      <w:r>
        <w:rPr>
          <w:rFonts w:ascii="Arial" w:cs="Arial" w:eastAsia="Arial" w:hAnsi="Arial"/>
          <w:sz w:val="18"/>
          <w:szCs w:val="18"/>
          <w:color w:val="auto"/>
        </w:rPr>
        <w:t>Executive further agrees that, during the Term and until nine (9) months after the termination of his employment,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51" w:name="page152"/>
    <w:bookmarkEnd w:id="151"/>
    <w:p>
      <w:pPr>
        <w:ind w:left="2072" w:hanging="775"/>
        <w:spacing w:after="0"/>
        <w:tabs>
          <w:tab w:leader="none" w:pos="2072" w:val="left"/>
        </w:tabs>
        <w:numPr>
          <w:ilvl w:val="2"/>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Business</w:t>
      </w:r>
      <w:r>
        <w:rPr>
          <w:rFonts w:ascii="Arial" w:cs="Arial" w:eastAsia="Arial" w:hAnsi="Arial"/>
          <w:sz w:val="16"/>
          <w:szCs w:val="16"/>
          <w:color w:val="auto"/>
        </w:rPr>
        <w:t>” means any corporation, partnership or other entity or person (other than the Company) which is engaged</w:t>
      </w:r>
    </w:p>
    <w:p>
      <w:pPr>
        <w:spacing w:after="0" w:line="46" w:lineRule="exact"/>
        <w:rPr>
          <w:rFonts w:ascii="Arial" w:cs="Arial" w:eastAsia="Arial" w:hAnsi="Arial"/>
          <w:sz w:val="16"/>
          <w:szCs w:val="16"/>
          <w:color w:val="auto"/>
        </w:rPr>
      </w:pPr>
    </w:p>
    <w:p>
      <w:pPr>
        <w:jc w:val="both"/>
        <w:ind w:left="-8" w:firstLine="8"/>
        <w:spacing w:after="0" w:line="255" w:lineRule="auto"/>
        <w:tabs>
          <w:tab w:leader="none" w:pos="2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190" w:lineRule="exact"/>
        <w:rPr>
          <w:rFonts w:ascii="Arial" w:cs="Arial" w:eastAsia="Arial" w:hAnsi="Arial"/>
          <w:sz w:val="18"/>
          <w:szCs w:val="18"/>
          <w:color w:val="auto"/>
        </w:rPr>
      </w:pPr>
    </w:p>
    <w:p>
      <w:pPr>
        <w:ind w:left="-8" w:right="20" w:firstLine="1305"/>
        <w:spacing w:after="0" w:line="277" w:lineRule="auto"/>
        <w:tabs>
          <w:tab w:leader="none" w:pos="2088" w:val="left"/>
        </w:tabs>
        <w:numPr>
          <w:ilvl w:val="2"/>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70" w:lineRule="exact"/>
        <w:rPr>
          <w:rFonts w:ascii="Arial" w:cs="Arial" w:eastAsia="Arial" w:hAnsi="Arial"/>
          <w:sz w:val="18"/>
          <w:szCs w:val="18"/>
          <w:color w:val="auto"/>
        </w:rPr>
      </w:pPr>
    </w:p>
    <w:p>
      <w:pPr>
        <w:jc w:val="both"/>
        <w:ind w:left="-8" w:firstLine="1305"/>
        <w:spacing w:after="0" w:line="255" w:lineRule="auto"/>
        <w:tabs>
          <w:tab w:leader="none" w:pos="2058" w:val="left"/>
        </w:tabs>
        <w:numPr>
          <w:ilvl w:val="2"/>
          <w:numId w:val="90"/>
        </w:numPr>
        <w:rPr>
          <w:rFonts w:ascii="Arial" w:cs="Arial" w:eastAsia="Arial" w:hAnsi="Arial"/>
          <w:sz w:val="18"/>
          <w:szCs w:val="18"/>
          <w:color w:val="auto"/>
        </w:rPr>
      </w:pPr>
      <w:r>
        <w:rPr>
          <w:rFonts w:ascii="Arial" w:cs="Arial" w:eastAsia="Arial" w:hAnsi="Arial"/>
          <w:sz w:val="18"/>
          <w:szCs w:val="18"/>
          <w:color w:val="auto"/>
        </w:rPr>
        <w:t>Executive agrees that in the event a court determines the length of time or the geographic area or activities prohibited under this Section 9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9 shall be deemed to be a series of separate covenants, one for each and every state, territory or jurisdiction of the United States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89" w:lineRule="exact"/>
        <w:rPr>
          <w:rFonts w:ascii="Arial" w:cs="Arial" w:eastAsia="Arial" w:hAnsi="Arial"/>
          <w:sz w:val="18"/>
          <w:szCs w:val="18"/>
          <w:color w:val="auto"/>
        </w:rPr>
      </w:pPr>
    </w:p>
    <w:p>
      <w:pPr>
        <w:jc w:val="both"/>
        <w:ind w:left="-8" w:firstLine="656"/>
        <w:spacing w:after="0" w:line="270" w:lineRule="auto"/>
        <w:tabs>
          <w:tab w:leader="none" w:pos="1495"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Representation and Warranty</w:t>
      </w:r>
      <w:r>
        <w:rPr>
          <w:rFonts w:ascii="Arial" w:cs="Arial" w:eastAsia="Arial" w:hAnsi="Arial"/>
          <w:sz w:val="17"/>
          <w:szCs w:val="17"/>
          <w:color w:val="auto"/>
        </w:rPr>
        <w:t>. The Executive hereby acknowledges and represents that he has had the opportunity to consult with legal counsel regarding his rights and obligations under this Agreement and that 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77" w:lineRule="exact"/>
        <w:rPr>
          <w:rFonts w:ascii="Arial" w:cs="Arial" w:eastAsia="Arial" w:hAnsi="Arial"/>
          <w:sz w:val="17"/>
          <w:szCs w:val="17"/>
          <w:color w:val="auto"/>
        </w:rPr>
      </w:pPr>
    </w:p>
    <w:p>
      <w:pPr>
        <w:jc w:val="both"/>
        <w:ind w:left="-8" w:firstLine="656"/>
        <w:spacing w:after="0" w:line="297" w:lineRule="auto"/>
        <w:tabs>
          <w:tab w:leader="none" w:pos="1408"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Without limiting the remedies available to the Company, Executive acknowledges that a breach of any of the covenants contained in Sections 8 and 9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8 and 9 of this Agreement.</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52" w:name="page153"/>
    <w:bookmarkEnd w:id="152"/>
    <w:p>
      <w:pPr>
        <w:ind w:firstLine="656"/>
        <w:spacing w:after="0" w:line="277" w:lineRule="auto"/>
        <w:tabs>
          <w:tab w:leader="none" w:pos="146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permitted to be given to the Parties shall be deemed to have been given if either personally delivered, or if sent for next-day delivery by nationally recognized overnight courier, and addressed as follows: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to Executive,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2nd Floor, Building 18, Shanghai Pudong Software Park, 498 Guoshoujin Road, Pudong, Shanghai 201203, People’s Republic of China</w:t>
      </w:r>
    </w:p>
    <w:p>
      <w:pPr>
        <w:spacing w:after="0" w:line="237" w:lineRule="exact"/>
        <w:rPr>
          <w:sz w:val="20"/>
          <w:szCs w:val="20"/>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2nd Floor, Building 18, Shanghai Pudong Software Park, 498 Guoshoujin Road, Pudong, Shanghai 201203, People’s Republic of China</w:t>
      </w:r>
    </w:p>
    <w:p>
      <w:pPr>
        <w:spacing w:after="0" w:line="237" w:lineRule="exact"/>
        <w:rPr>
          <w:sz w:val="20"/>
          <w:szCs w:val="20"/>
          <w:color w:val="auto"/>
        </w:rPr>
      </w:pPr>
    </w:p>
    <w:p>
      <w:pPr>
        <w:ind w:firstLine="656"/>
        <w:spacing w:after="0" w:line="277" w:lineRule="auto"/>
        <w:tabs>
          <w:tab w:leader="none" w:pos="138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declared void or unenforceable by a court of competent jurisdiction, all other provisions shall nonetheless remain in full force and effect.</w:t>
      </w:r>
    </w:p>
    <w:p>
      <w:pPr>
        <w:spacing w:after="0" w:line="170" w:lineRule="exact"/>
        <w:rPr>
          <w:rFonts w:ascii="Arial" w:cs="Arial" w:eastAsia="Arial" w:hAnsi="Arial"/>
          <w:sz w:val="18"/>
          <w:szCs w:val="18"/>
          <w:color w:val="auto"/>
        </w:rPr>
      </w:pPr>
    </w:p>
    <w:p>
      <w:pPr>
        <w:ind w:firstLine="656"/>
        <w:spacing w:after="0" w:line="277" w:lineRule="auto"/>
        <w:tabs>
          <w:tab w:leader="none" w:pos="138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payment that it is required to make under this Agreement amounts sufficient to satisfy applicable withholding requirements under any federal, state or local law.</w:t>
      </w:r>
    </w:p>
    <w:p>
      <w:pPr>
        <w:spacing w:after="0" w:line="170" w:lineRule="exact"/>
        <w:rPr>
          <w:rFonts w:ascii="Arial" w:cs="Arial" w:eastAsia="Arial" w:hAnsi="Arial"/>
          <w:sz w:val="18"/>
          <w:szCs w:val="18"/>
          <w:color w:val="auto"/>
        </w:rPr>
      </w:pPr>
    </w:p>
    <w:p>
      <w:pPr>
        <w:ind w:firstLine="656"/>
        <w:spacing w:after="0" w:line="277" w:lineRule="auto"/>
        <w:tabs>
          <w:tab w:leader="none" w:pos="13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that Executive will be covered by any “directors and officers” insurance policies then in effect with respect to Executive’s acts as an officer.</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enforced in accordance with, the laws of Hong Kong.</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58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186" w:lineRule="exact"/>
        <w:rPr>
          <w:rFonts w:ascii="Arial" w:cs="Arial" w:eastAsia="Arial" w:hAnsi="Arial"/>
          <w:sz w:val="18"/>
          <w:szCs w:val="18"/>
          <w:color w:val="auto"/>
        </w:rPr>
      </w:pPr>
    </w:p>
    <w:p>
      <w:pPr>
        <w:jc w:val="both"/>
        <w:ind w:firstLine="656"/>
        <w:spacing w:after="0" w:line="302" w:lineRule="auto"/>
        <w:tabs>
          <w:tab w:leader="none" w:pos="1409"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154" w:lineRule="exact"/>
        <w:rPr>
          <w:rFonts w:ascii="Arial" w:cs="Arial" w:eastAsia="Arial" w:hAnsi="Arial"/>
          <w:sz w:val="16"/>
          <w:szCs w:val="16"/>
          <w:color w:val="auto"/>
        </w:rPr>
      </w:pPr>
    </w:p>
    <w:p>
      <w:pPr>
        <w:jc w:val="both"/>
        <w:ind w:firstLine="656"/>
        <w:spacing w:after="0" w:line="279" w:lineRule="auto"/>
        <w:tabs>
          <w:tab w:leader="none" w:pos="1382"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3" w:name="page154"/>
    <w:bookmarkEnd w:id="153"/>
    <w:p>
      <w:pPr>
        <w:ind w:left="660"/>
        <w:spacing w:after="0"/>
        <w:rPr>
          <w:sz w:val="20"/>
          <w:szCs w:val="20"/>
          <w:color w:val="auto"/>
        </w:rPr>
      </w:pPr>
      <w:r>
        <w:rPr>
          <w:rFonts w:ascii="Arial" w:cs="Arial" w:eastAsia="Arial" w:hAnsi="Arial"/>
          <w:sz w:val="16"/>
          <w:szCs w:val="16"/>
          <w:color w:val="auto"/>
        </w:rPr>
        <w:t>IN WITNESS WHEREOF, the Parties have caused this Agreement to be duly executed and delivered on the date first written above.</w:t>
      </w: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ind w:left="6820"/>
        <w:spacing w:after="0"/>
        <w:tabs>
          <w:tab w:leader="none" w:pos="7300" w:val="left"/>
        </w:tabs>
        <w:rPr>
          <w:sz w:val="20"/>
          <w:szCs w:val="20"/>
          <w:color w:val="auto"/>
        </w:rPr>
      </w:pPr>
      <w:r>
        <w:rPr>
          <w:rFonts w:ascii="Arial" w:cs="Arial" w:eastAsia="Arial" w:hAnsi="Arial"/>
          <w:sz w:val="18"/>
          <w:szCs w:val="18"/>
          <w:color w:val="auto"/>
        </w:rPr>
        <w:t>By:</w:t>
        <w:tab/>
        <w:t>/s/ Raymond Ming Hui Lin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Xiao Feng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061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106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2017</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EMPLOYMENT AGREEMENT (the “Agreement”) is entered into as of December 9,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CLPS INCORPORATION, a Cayman Islands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having its principal place of business at c/o 2nd Floor, Building 18, Shanghai Pudong Software Park, 498 Guoshoujin Road, Pudong, Shanghai 201203, People’s Republic of China, and Raymond Ming Hui Lin (“</w:t>
      </w:r>
      <w:r>
        <w:rPr>
          <w:rFonts w:ascii="Arial" w:cs="Arial" w:eastAsia="Arial" w:hAnsi="Arial"/>
          <w:sz w:val="18"/>
          <w:szCs w:val="18"/>
          <w:u w:val="single" w:color="auto"/>
          <w:color w:val="auto"/>
        </w:rPr>
        <w:t>Executive</w:t>
      </w:r>
      <w:r>
        <w:rPr>
          <w:rFonts w:ascii="Arial" w:cs="Arial" w:eastAsia="Arial" w:hAnsi="Arial"/>
          <w:sz w:val="18"/>
          <w:szCs w:val="18"/>
          <w:color w:val="auto"/>
        </w:rPr>
        <w:t>”, and the Company and the Executive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hire Executive and to employ him as the Company’s Chief Executive Officer (“</w:t>
      </w:r>
      <w:r>
        <w:rPr>
          <w:rFonts w:ascii="Arial" w:cs="Arial" w:eastAsia="Arial" w:hAnsi="Arial"/>
          <w:sz w:val="18"/>
          <w:szCs w:val="18"/>
          <w:u w:val="single" w:color="auto"/>
          <w:color w:val="auto"/>
        </w:rPr>
        <w:t>Title</w:t>
      </w:r>
      <w:r>
        <w:rPr>
          <w:rFonts w:ascii="Arial" w:cs="Arial" w:eastAsia="Arial" w:hAnsi="Arial"/>
          <w:sz w:val="18"/>
          <w:szCs w:val="18"/>
          <w:color w:val="auto"/>
        </w:rPr>
        <w:t>”) commencing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and the Parties desire to enter into this Agreement embodying the terms of such employment;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and promises of the Parties contained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agree as follows:</w:t>
      </w:r>
    </w:p>
    <w:p>
      <w:pPr>
        <w:spacing w:after="0" w:line="166" w:lineRule="exact"/>
        <w:rPr>
          <w:sz w:val="20"/>
          <w:szCs w:val="20"/>
          <w:color w:val="auto"/>
        </w:rPr>
      </w:pPr>
    </w:p>
    <w:p>
      <w:pPr>
        <w:ind w:left="1280" w:hanging="62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Title and Job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the Company agrees to employ Executive as Chief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firstLine="1305"/>
        <w:spacing w:after="0" w:line="342" w:lineRule="auto"/>
        <w:tabs>
          <w:tab w:leader="none" w:pos="2078" w:val="left"/>
        </w:tabs>
        <w:numPr>
          <w:ilvl w:val="1"/>
          <w:numId w:val="95"/>
        </w:numPr>
        <w:rPr>
          <w:rFonts w:ascii="Arial" w:cs="Arial" w:eastAsia="Arial" w:hAnsi="Arial"/>
          <w:sz w:val="16"/>
          <w:szCs w:val="16"/>
          <w:color w:val="auto"/>
        </w:rPr>
      </w:pPr>
      <w:r>
        <w:rPr>
          <w:rFonts w:ascii="Arial" w:cs="Arial" w:eastAsia="Arial" w:hAnsi="Arial"/>
          <w:sz w:val="16"/>
          <w:szCs w:val="16"/>
          <w:color w:val="auto"/>
        </w:rPr>
        <w:t>Executive accepts such employment and agrees, during the term of his employment, to devote his full business and professional time and energy to the Company, and agrees faithfully to perform his duties and responsibilities in an efficient, trustworthy and business-like manner.</w:t>
      </w:r>
    </w:p>
    <w:p>
      <w:pPr>
        <w:spacing w:after="0" w:line="123" w:lineRule="exact"/>
        <w:rPr>
          <w:rFonts w:ascii="Arial" w:cs="Arial" w:eastAsia="Arial" w:hAnsi="Arial"/>
          <w:sz w:val="16"/>
          <w:szCs w:val="16"/>
          <w:color w:val="auto"/>
        </w:rPr>
      </w:pPr>
    </w:p>
    <w:p>
      <w:pPr>
        <w:jc w:val="both"/>
        <w:ind w:firstLine="1305"/>
        <w:spacing w:after="0" w:line="255" w:lineRule="auto"/>
        <w:tabs>
          <w:tab w:leader="none" w:pos="1993"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Executive shall not, without the written approval of the Company, render services of a business or commercial nature on his own behalf or on behalf of any other person, firm, or corporation, whether for compensation or otherwise, during his employment hereunder; provided, however, the Company herby approves of the Executive’s limited activities, which shall not interfere with Executive’s ability to perform hereunder, in real estate and business to business lending in the automotive industry as they exist on the Effective Date.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89" w:lineRule="exact"/>
        <w:rPr>
          <w:rFonts w:ascii="Arial" w:cs="Arial" w:eastAsia="Arial" w:hAnsi="Arial"/>
          <w:sz w:val="18"/>
          <w:szCs w:val="18"/>
          <w:color w:val="auto"/>
        </w:rPr>
      </w:pPr>
    </w:p>
    <w:p>
      <w:pPr>
        <w:ind w:left="1340" w:hanging="684"/>
        <w:spacing w:after="0"/>
        <w:tabs>
          <w:tab w:leader="none" w:pos="13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Salary and Additional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126"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Executive an annual base salary (“</w:t>
      </w:r>
      <w:r>
        <w:rPr>
          <w:rFonts w:ascii="Arial" w:cs="Arial" w:eastAsia="Arial" w:hAnsi="Arial"/>
          <w:sz w:val="17"/>
          <w:szCs w:val="17"/>
          <w:u w:val="single" w:color="auto"/>
          <w:color w:val="auto"/>
        </w:rPr>
        <w:t>Base Salary</w:t>
      </w:r>
      <w:r>
        <w:rPr>
          <w:rFonts w:ascii="Arial" w:cs="Arial" w:eastAsia="Arial" w:hAnsi="Arial"/>
          <w:sz w:val="17"/>
          <w:szCs w:val="17"/>
          <w:color w:val="auto"/>
        </w:rPr>
        <w:t>”) of RMB144,000 and HK$389,880 (a total of approximately US$71,400) in accordance with the Company’s normal payroll procedures.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5" w:name="page156"/>
    <w:bookmarkEnd w:id="155"/>
    <w:p>
      <w:pPr>
        <w:jc w:val="both"/>
        <w:ind w:left="-8" w:firstLine="1305"/>
        <w:spacing w:after="0" w:line="255" w:lineRule="auto"/>
        <w:tabs>
          <w:tab w:leader="none" w:pos="2047" w:val="left"/>
        </w:tabs>
        <w:numPr>
          <w:ilvl w:val="2"/>
          <w:numId w:val="97"/>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Commencing with the year ending June 30, 2018, Executive will be entitled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89" w:lineRule="exact"/>
        <w:rPr>
          <w:rFonts w:ascii="Arial" w:cs="Arial" w:eastAsia="Arial" w:hAnsi="Arial"/>
          <w:sz w:val="18"/>
          <w:szCs w:val="18"/>
          <w:color w:val="auto"/>
        </w:rPr>
      </w:pPr>
    </w:p>
    <w:p>
      <w:pPr>
        <w:jc w:val="both"/>
        <w:ind w:left="-8" w:firstLine="656"/>
        <w:spacing w:after="0" w:line="273" w:lineRule="auto"/>
        <w:tabs>
          <w:tab w:leader="none" w:pos="1405"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his duties under this Agreement, including without limitation all travel expenses to and from his designated office as set forth in the opening paragraph of this Agreement, upon his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78" w:lineRule="exact"/>
        <w:rPr>
          <w:rFonts w:ascii="Arial" w:cs="Arial" w:eastAsia="Arial" w:hAnsi="Arial"/>
          <w:sz w:val="17"/>
          <w:szCs w:val="17"/>
          <w:color w:val="auto"/>
        </w:rPr>
      </w:pPr>
    </w:p>
    <w:p>
      <w:pPr>
        <w:ind w:left="1272" w:hanging="624"/>
        <w:spacing w:after="0"/>
        <w:tabs>
          <w:tab w:leader="none" w:pos="127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0" w:firstLine="1305"/>
        <w:spacing w:after="0" w:line="264" w:lineRule="auto"/>
        <w:tabs>
          <w:tab w:leader="none" w:pos="1997" w:val="left"/>
        </w:tabs>
        <w:numPr>
          <w:ilvl w:val="2"/>
          <w:numId w:val="98"/>
        </w:numPr>
        <w:rPr>
          <w:rFonts w:ascii="Arial" w:cs="Arial" w:eastAsia="Arial" w:hAnsi="Arial"/>
          <w:sz w:val="18"/>
          <w:szCs w:val="18"/>
          <w:color w:val="auto"/>
        </w:rPr>
      </w:pPr>
      <w:r>
        <w:rPr>
          <w:rFonts w:ascii="Arial" w:cs="Arial" w:eastAsia="Arial" w:hAnsi="Arial"/>
          <w:sz w:val="18"/>
          <w:szCs w:val="18"/>
          <w:u w:val="single" w:color="auto"/>
          <w:color w:val="auto"/>
        </w:rPr>
        <w:t>Vacation and Sick Leave</w:t>
      </w:r>
      <w:r>
        <w:rPr>
          <w:rFonts w:ascii="Arial" w:cs="Arial" w:eastAsia="Arial" w:hAnsi="Arial"/>
          <w:sz w:val="18"/>
          <w:szCs w:val="18"/>
          <w:color w:val="auto"/>
        </w:rPr>
        <w:t>. Executive shall be entitled to three weeks of vacation per year and 10 days of sick leave per year, which shall accrue at a pro rata rate per pay period. Vacation must be taken in the year in which it accrues and the dates of any vacation must be approved by the CEO.</w:t>
      </w:r>
    </w:p>
    <w:p>
      <w:pPr>
        <w:spacing w:after="0" w:line="181" w:lineRule="exact"/>
        <w:rPr>
          <w:rFonts w:ascii="Arial" w:cs="Arial" w:eastAsia="Arial" w:hAnsi="Arial"/>
          <w:sz w:val="18"/>
          <w:szCs w:val="18"/>
          <w:color w:val="auto"/>
        </w:rPr>
      </w:pPr>
    </w:p>
    <w:p>
      <w:pPr>
        <w:jc w:val="both"/>
        <w:ind w:left="-8" w:firstLine="1305"/>
        <w:spacing w:after="0" w:line="264" w:lineRule="auto"/>
        <w:tabs>
          <w:tab w:leader="none" w:pos="2020" w:val="left"/>
        </w:tabs>
        <w:numPr>
          <w:ilvl w:val="2"/>
          <w:numId w:val="98"/>
        </w:numPr>
        <w:rPr>
          <w:rFonts w:ascii="Arial" w:cs="Arial" w:eastAsia="Arial" w:hAnsi="Arial"/>
          <w:sz w:val="18"/>
          <w:szCs w:val="18"/>
          <w:color w:val="auto"/>
        </w:rPr>
      </w:pPr>
      <w:r>
        <w:rPr>
          <w:rFonts w:ascii="Arial" w:cs="Arial" w:eastAsia="Arial" w:hAnsi="Arial"/>
          <w:sz w:val="18"/>
          <w:szCs w:val="18"/>
          <w:u w:val="single" w:color="auto"/>
          <w:color w:val="auto"/>
        </w:rPr>
        <w:t>Health Insurance and Other Plans</w:t>
      </w:r>
      <w:r>
        <w:rPr>
          <w:rFonts w:ascii="Arial" w:cs="Arial" w:eastAsia="Arial" w:hAnsi="Arial"/>
          <w:sz w:val="18"/>
          <w:szCs w:val="18"/>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81" w:lineRule="exact"/>
        <w:rPr>
          <w:rFonts w:ascii="Arial" w:cs="Arial" w:eastAsia="Arial" w:hAnsi="Arial"/>
          <w:sz w:val="18"/>
          <w:szCs w:val="18"/>
          <w:color w:val="auto"/>
        </w:rPr>
      </w:pPr>
    </w:p>
    <w:p>
      <w:pPr>
        <w:jc w:val="both"/>
        <w:ind w:left="-8" w:firstLine="656"/>
        <w:spacing w:after="0" w:line="288" w:lineRule="auto"/>
        <w:tabs>
          <w:tab w:leader="none" w:pos="1423"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employment under this Agreement (the “Term) shall be for a five-year period commencing on the Effective Date and ending on May 10, 2022, and shall be automatically extended for an additional consecutive twelve (12)-month period on the fifth anniversary of the Effective Date and each subsequent anniversary thereof, unless and until the Company or Executive provides written notice to the other party not less than ninety</w:t>
      </w:r>
    </w:p>
    <w:p>
      <w:pPr>
        <w:jc w:val="both"/>
        <w:ind w:left="-8" w:firstLine="8"/>
        <w:spacing w:after="0" w:line="292" w:lineRule="auto"/>
        <w:tabs>
          <w:tab w:leader="none" w:pos="338" w:val="left"/>
        </w:tabs>
        <w:numPr>
          <w:ilvl w:val="0"/>
          <w:numId w:val="99"/>
        </w:numPr>
        <w:rPr>
          <w:rFonts w:ascii="Arial" w:cs="Arial" w:eastAsia="Arial" w:hAnsi="Arial"/>
          <w:sz w:val="16"/>
          <w:szCs w:val="16"/>
          <w:color w:val="auto"/>
        </w:rPr>
      </w:pPr>
      <w:r>
        <w:rPr>
          <w:rFonts w:ascii="Arial" w:cs="Arial" w:eastAsia="Arial" w:hAnsi="Arial"/>
          <w:sz w:val="16"/>
          <w:szCs w:val="16"/>
          <w:color w:val="auto"/>
        </w:rPr>
        <w:t>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his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56" w:name="page157"/>
    <w:bookmarkEnd w:id="156"/>
    <w:p>
      <w:pPr>
        <w:ind w:left="1340" w:hanging="684"/>
        <w:spacing w:after="0"/>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Termination at the Company’s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1" w:lineRule="auto"/>
        <w:tabs>
          <w:tab w:leader="none" w:pos="3042" w:val="left"/>
        </w:tabs>
        <w:numPr>
          <w:ilvl w:val="2"/>
          <w:numId w:val="100"/>
        </w:numPr>
        <w:rPr>
          <w:rFonts w:ascii="Arial" w:cs="Arial" w:eastAsia="Arial" w:hAnsi="Arial"/>
          <w:sz w:val="17"/>
          <w:szCs w:val="17"/>
          <w:color w:val="auto"/>
        </w:rPr>
      </w:pPr>
      <w:r>
        <w:rPr>
          <w:rFonts w:ascii="Arial" w:cs="Arial" w:eastAsia="Arial" w:hAnsi="Arial"/>
          <w:sz w:val="17"/>
          <w:szCs w:val="17"/>
          <w:u w:val="single" w:color="auto"/>
          <w:color w:val="auto"/>
        </w:rPr>
        <w:t>For Cause</w:t>
      </w:r>
      <w:r>
        <w:rPr>
          <w:rFonts w:ascii="Arial" w:cs="Arial" w:eastAsia="Arial" w:hAnsi="Arial"/>
          <w:sz w:val="17"/>
          <w:szCs w:val="17"/>
          <w:color w:val="auto"/>
        </w:rPr>
        <w:t>. At the election of the Company, Executive’s employment may be terminated at any time for Cause (as defined below) upon written notice to Executive given pursuant to Section 12 of this Agreement.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his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78" w:lineRule="exact"/>
        <w:rPr>
          <w:rFonts w:ascii="Arial" w:cs="Arial" w:eastAsia="Arial" w:hAnsi="Arial"/>
          <w:sz w:val="17"/>
          <w:szCs w:val="17"/>
          <w:color w:val="auto"/>
        </w:rPr>
      </w:pPr>
    </w:p>
    <w:p>
      <w:pPr>
        <w:ind w:left="3200" w:hanging="1247"/>
        <w:spacing w:after="0"/>
        <w:tabs>
          <w:tab w:leader="none" w:pos="3200" w:val="left"/>
        </w:tabs>
        <w:numPr>
          <w:ilvl w:val="2"/>
          <w:numId w:val="100"/>
        </w:numPr>
        <w:rPr>
          <w:rFonts w:ascii="Arial" w:cs="Arial" w:eastAsia="Arial" w:hAnsi="Arial"/>
          <w:sz w:val="17"/>
          <w:szCs w:val="17"/>
          <w:color w:val="auto"/>
        </w:rPr>
      </w:pPr>
      <w:r>
        <w:rPr>
          <w:rFonts w:ascii="Arial" w:cs="Arial" w:eastAsia="Arial" w:hAnsi="Arial"/>
          <w:sz w:val="17"/>
          <w:szCs w:val="17"/>
          <w:u w:val="single" w:color="auto"/>
          <w:color w:val="auto"/>
        </w:rPr>
        <w:t>Upon Disability, Death or Without Cause</w:t>
      </w:r>
      <w:r>
        <w:rPr>
          <w:rFonts w:ascii="Arial" w:cs="Arial" w:eastAsia="Arial" w:hAnsi="Arial"/>
          <w:sz w:val="17"/>
          <w:szCs w:val="17"/>
          <w:color w:val="auto"/>
        </w:rPr>
        <w:t>. At the election of the Company, Executive’s employment may be</w:t>
      </w:r>
    </w:p>
    <w:p>
      <w:pPr>
        <w:spacing w:after="0" w:line="34" w:lineRule="exact"/>
        <w:rPr>
          <w:rFonts w:ascii="Arial" w:cs="Arial" w:eastAsia="Arial" w:hAnsi="Arial"/>
          <w:sz w:val="17"/>
          <w:szCs w:val="17"/>
          <w:color w:val="auto"/>
        </w:rPr>
      </w:pP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terminated: (A) should Executive have a physical or mental impairment that substantially limits a major life activity and Executive is unable to perform the essential functions of his job with or without reasonable accommodation (“</w:t>
      </w:r>
      <w:r>
        <w:rPr>
          <w:rFonts w:ascii="Arial" w:cs="Arial" w:eastAsia="Arial" w:hAnsi="Arial"/>
          <w:sz w:val="18"/>
          <w:szCs w:val="18"/>
          <w:u w:val="single" w:color="auto"/>
          <w:color w:val="auto"/>
        </w:rPr>
        <w:t>Disability</w:t>
      </w:r>
      <w:r>
        <w:rPr>
          <w:rFonts w:ascii="Arial" w:cs="Arial" w:eastAsia="Arial" w:hAnsi="Arial"/>
          <w:sz w:val="18"/>
          <w:szCs w:val="18"/>
          <w:color w:val="auto"/>
        </w:rPr>
        <w:t>”); (B) upon Executive’s death; or (C) with ninety (90) days prior written notice, at any time Without Cause for any or no reason.</w:t>
      </w:r>
    </w:p>
    <w:p>
      <w:pPr>
        <w:spacing w:after="0" w:line="190" w:lineRule="exact"/>
        <w:rPr>
          <w:rFonts w:ascii="Arial" w:cs="Arial" w:eastAsia="Arial" w:hAnsi="Arial"/>
          <w:sz w:val="17"/>
          <w:szCs w:val="17"/>
          <w:color w:val="auto"/>
        </w:rPr>
      </w:pPr>
    </w:p>
    <w:p>
      <w:pPr>
        <w:jc w:val="both"/>
        <w:ind w:firstLine="1305"/>
        <w:spacing w:after="0" w:line="287" w:lineRule="auto"/>
        <w:tabs>
          <w:tab w:leader="none" w:pos="1952"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Termination at Executive’s Election; Good Reason Termination</w:t>
      </w:r>
      <w:r>
        <w:rPr>
          <w:rFonts w:ascii="Arial" w:cs="Arial" w:eastAsia="Arial" w:hAnsi="Arial"/>
          <w:sz w:val="16"/>
          <w:szCs w:val="16"/>
          <w:color w:val="auto"/>
        </w:rPr>
        <w:t>. Notwithstanding anything contained elsewhere in this Agreement to the contrary, Executive may terminate his employment hereunder at any time and for any reason, upon thirty (30) days’ prior written notice given pursuant to Section 12 of this Agreement (“</w:t>
      </w:r>
      <w:r>
        <w:rPr>
          <w:rFonts w:ascii="Arial" w:cs="Arial" w:eastAsia="Arial" w:hAnsi="Arial"/>
          <w:sz w:val="16"/>
          <w:szCs w:val="16"/>
          <w:u w:val="single" w:color="auto"/>
          <w:color w:val="auto"/>
        </w:rPr>
        <w:t>Voluntary Resignation</w:t>
      </w:r>
      <w:r>
        <w:rPr>
          <w:rFonts w:ascii="Arial" w:cs="Arial" w:eastAsia="Arial" w:hAnsi="Arial"/>
          <w:sz w:val="16"/>
          <w:szCs w:val="16"/>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6"/>
          <w:szCs w:val="16"/>
          <w:u w:val="single" w:color="auto"/>
          <w:color w:val="auto"/>
        </w:rPr>
        <w:t>Good Reason</w:t>
      </w:r>
      <w:r>
        <w:rPr>
          <w:rFonts w:ascii="Arial" w:cs="Arial" w:eastAsia="Arial" w:hAnsi="Arial"/>
          <w:sz w:val="16"/>
          <w:szCs w:val="16"/>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ind w:left="2220" w:hanging="915"/>
        <w:spacing w:after="0"/>
        <w:tabs>
          <w:tab w:leader="none" w:pos="2220"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Termination in General</w:t>
      </w:r>
      <w:r>
        <w:rPr>
          <w:rFonts w:ascii="Arial" w:cs="Arial" w:eastAsia="Arial" w:hAnsi="Arial"/>
          <w:sz w:val="17"/>
          <w:szCs w:val="17"/>
          <w:color w:val="auto"/>
        </w:rPr>
        <w:t>. If Executive’s employment with the Company terminates for any reason, the Company will pay or</w:t>
      </w:r>
    </w:p>
    <w:p>
      <w:pPr>
        <w:spacing w:after="0" w:line="34" w:lineRule="exact"/>
        <w:rPr>
          <w:rFonts w:ascii="Arial" w:cs="Arial" w:eastAsia="Arial" w:hAnsi="Arial"/>
          <w:sz w:val="17"/>
          <w:szCs w:val="17"/>
          <w:color w:val="auto"/>
        </w:rPr>
      </w:pPr>
    </w:p>
    <w:p>
      <w:pPr>
        <w:jc w:val="both"/>
        <w:spacing w:after="0" w:line="253" w:lineRule="auto"/>
        <w:rPr>
          <w:rFonts w:ascii="Arial" w:cs="Arial" w:eastAsia="Arial" w:hAnsi="Arial"/>
          <w:sz w:val="17"/>
          <w:szCs w:val="17"/>
          <w:color w:val="auto"/>
        </w:rPr>
      </w:pPr>
      <w:r>
        <w:rPr>
          <w:rFonts w:ascii="Arial" w:cs="Arial" w:eastAsia="Arial" w:hAnsi="Arial"/>
          <w:sz w:val="18"/>
          <w:szCs w:val="18"/>
          <w:color w:val="auto"/>
        </w:rPr>
        <w:t>provide to 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191" w:lineRule="exact"/>
        <w:rPr>
          <w:rFonts w:ascii="Arial" w:cs="Arial" w:eastAsia="Arial" w:hAnsi="Arial"/>
          <w:sz w:val="17"/>
          <w:szCs w:val="17"/>
          <w:color w:val="auto"/>
        </w:rPr>
      </w:pPr>
    </w:p>
    <w:p>
      <w:pPr>
        <w:ind w:left="1340" w:hanging="684"/>
        <w:spacing w:after="0"/>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21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Subject to Section 7(b) below, if Executive’s employment is terminated prior to the end of the Term by the Company without Cause or by Executive for Good Reason, Executive shall be entitled to receive a severance payment equal to (i) nine (9) months of Executive’s Base Salary, and (ii)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 (55) days of termination.</w:t>
      </w:r>
    </w:p>
    <w:p>
      <w:pPr>
        <w:spacing w:after="0" w:line="177" w:lineRule="exact"/>
        <w:rPr>
          <w:rFonts w:ascii="Arial" w:cs="Arial" w:eastAsia="Arial" w:hAnsi="Arial"/>
          <w:sz w:val="17"/>
          <w:szCs w:val="17"/>
          <w:color w:val="auto"/>
        </w:rPr>
      </w:pPr>
    </w:p>
    <w:p>
      <w:pPr>
        <w:jc w:val="both"/>
        <w:ind w:firstLine="1305"/>
        <w:spacing w:after="0" w:line="269" w:lineRule="auto"/>
        <w:tabs>
          <w:tab w:leader="none" w:pos="2085"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Stock Option Grant or, if the termination occurs after the Change of Control, the Substitute Grant, as applicable. For purposes of this Agreement, “</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7"/>
          <w:szCs w:val="17"/>
          <w:u w:val="single" w:color="auto"/>
          <w:color w:val="auto"/>
        </w:rPr>
        <w:t>Exchange Act</w:t>
      </w:r>
      <w:r>
        <w:rPr>
          <w:rFonts w:ascii="Arial" w:cs="Arial" w:eastAsia="Arial" w:hAnsi="Arial"/>
          <w:sz w:val="17"/>
          <w:szCs w:val="17"/>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79" w:lineRule="exact"/>
        <w:rPr>
          <w:rFonts w:ascii="Arial" w:cs="Arial" w:eastAsia="Arial" w:hAnsi="Arial"/>
          <w:sz w:val="17"/>
          <w:szCs w:val="17"/>
          <w:color w:val="auto"/>
        </w:rPr>
      </w:pPr>
    </w:p>
    <w:p>
      <w:pPr>
        <w:jc w:val="both"/>
        <w:ind w:firstLine="1305"/>
        <w:spacing w:after="0" w:line="257" w:lineRule="auto"/>
        <w:tabs>
          <w:tab w:leader="none" w:pos="20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8" w:name="page159"/>
    <w:bookmarkEnd w:id="158"/>
    <w:p>
      <w:pPr>
        <w:ind w:left="1320" w:hanging="684"/>
        <w:spacing w:after="0"/>
        <w:tabs>
          <w:tab w:leader="none" w:pos="13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86" w:lineRule="auto"/>
        <w:tabs>
          <w:tab w:leader="none" w:pos="203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Executive understands that during the Term 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6"/>
          <w:szCs w:val="16"/>
          <w:u w:val="single" w:color="auto"/>
          <w:color w:val="auto"/>
        </w:rPr>
        <w:t>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or clients,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others under agreements to hold such information confidential (collectively,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agrees to observe all Company policies and procedures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when necessary in the performance of his duties for the Company. Executive’s obligations under this Agreement will continue with respect to Confidential Information, whether or not his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he first notifies promptly the Company of such subpoena, order or other requirement and allows the Company the opportunity to obtain a protective order or other appropriate remedy.</w:t>
      </w:r>
    </w:p>
    <w:p>
      <w:pPr>
        <w:spacing w:after="0" w:line="171" w:lineRule="exact"/>
        <w:rPr>
          <w:rFonts w:ascii="Arial" w:cs="Arial" w:eastAsia="Arial" w:hAnsi="Arial"/>
          <w:sz w:val="16"/>
          <w:szCs w:val="16"/>
          <w:color w:val="auto"/>
        </w:rPr>
      </w:pPr>
    </w:p>
    <w:p>
      <w:pPr>
        <w:jc w:val="both"/>
        <w:ind w:left="-20" w:firstLine="1305"/>
        <w:spacing w:after="0" w:line="255" w:lineRule="auto"/>
        <w:tabs>
          <w:tab w:leader="none" w:pos="223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others, and all copies of such materials, whether of a technical, business or fiscal nature, whether on the hard drive of a laptop or desktop computer, in hard copy, disk or any other format, which are in Executive’s possession, custody or control.</w:t>
      </w:r>
    </w:p>
    <w:p>
      <w:pPr>
        <w:spacing w:after="0" w:line="193" w:lineRule="exact"/>
        <w:rPr>
          <w:rFonts w:ascii="Arial" w:cs="Arial" w:eastAsia="Arial" w:hAnsi="Arial"/>
          <w:sz w:val="18"/>
          <w:szCs w:val="18"/>
          <w:color w:val="auto"/>
        </w:rPr>
      </w:pPr>
    </w:p>
    <w:p>
      <w:pPr>
        <w:jc w:val="both"/>
        <w:ind w:left="-20" w:firstLine="1305"/>
        <w:spacing w:after="0" w:line="270" w:lineRule="auto"/>
        <w:tabs>
          <w:tab w:leader="none" w:pos="218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Executive will promptly disclose to the Company any idea, invention, discovery or improvement, whether patentable or not (“</w:t>
      </w:r>
      <w:r>
        <w:rPr>
          <w:rFonts w:ascii="Arial" w:cs="Arial" w:eastAsia="Arial" w:hAnsi="Arial"/>
          <w:sz w:val="17"/>
          <w:szCs w:val="17"/>
          <w:u w:val="single" w:color="auto"/>
          <w:color w:val="auto"/>
        </w:rPr>
        <w:t>Creations</w:t>
      </w:r>
      <w:r>
        <w:rPr>
          <w:rFonts w:ascii="Arial" w:cs="Arial" w:eastAsia="Arial" w:hAnsi="Arial"/>
          <w:sz w:val="17"/>
          <w:szCs w:val="17"/>
          <w:color w:val="auto"/>
        </w:rPr>
        <w:t>”), conceived or made by him alone or with others at any time during his employment. Executive agrees that the Company owns all such Creations, conceived or made by Executive alone or with others at any time during his employment, and Executive hereby assigns and agrees to assign to the Company all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Executive understands that the obligation to assign Creations to the Company shall not apply to any Creation which is developed entirely on his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his work at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59" w:name="page160"/>
    <w:bookmarkEnd w:id="159"/>
    <w:p>
      <w:pPr>
        <w:ind w:left="-8" w:firstLine="1305"/>
        <w:spacing w:after="0" w:line="308" w:lineRule="auto"/>
        <w:tabs>
          <w:tab w:leader="none" w:pos="2061" w:val="left"/>
        </w:tabs>
        <w:numPr>
          <w:ilvl w:val="2"/>
          <w:numId w:val="104"/>
        </w:numPr>
        <w:rPr>
          <w:rFonts w:ascii="Arial" w:cs="Arial" w:eastAsia="Arial" w:hAnsi="Arial"/>
          <w:sz w:val="17"/>
          <w:szCs w:val="17"/>
          <w:color w:val="auto"/>
        </w:rPr>
      </w:pPr>
      <w:r>
        <w:rPr>
          <w:rFonts w:ascii="Arial" w:cs="Arial" w:eastAsia="Arial" w:hAnsi="Arial"/>
          <w:sz w:val="17"/>
          <w:szCs w:val="17"/>
          <w:color w:val="auto"/>
        </w:rPr>
        <w:t>Executive will not assert any rights to any invention, discovery, idea or improvement relating to the business of the Company or any of its Affiliated Entities or to his duties hereunder as having been made or acquired by Executive prior to his work for the Company.</w:t>
      </w:r>
    </w:p>
    <w:p>
      <w:pPr>
        <w:spacing w:after="0" w:line="146" w:lineRule="exact"/>
        <w:rPr>
          <w:rFonts w:ascii="Arial" w:cs="Arial" w:eastAsia="Arial" w:hAnsi="Arial"/>
          <w:sz w:val="17"/>
          <w:szCs w:val="17"/>
          <w:color w:val="auto"/>
        </w:rPr>
      </w:pPr>
    </w:p>
    <w:p>
      <w:pPr>
        <w:jc w:val="both"/>
        <w:ind w:left="-8" w:firstLine="1305"/>
        <w:spacing w:after="0" w:line="259" w:lineRule="auto"/>
        <w:tabs>
          <w:tab w:leader="none" w:pos="2049" w:val="left"/>
        </w:tabs>
        <w:numPr>
          <w:ilvl w:val="2"/>
          <w:numId w:val="104"/>
        </w:numPr>
        <w:rPr>
          <w:rFonts w:ascii="Arial" w:cs="Arial" w:eastAsia="Arial" w:hAnsi="Arial"/>
          <w:sz w:val="18"/>
          <w:szCs w:val="18"/>
          <w:color w:val="auto"/>
        </w:rPr>
      </w:pPr>
      <w:r>
        <w:rPr>
          <w:rFonts w:ascii="Arial" w:cs="Arial" w:eastAsia="Arial" w:hAnsi="Arial"/>
          <w:sz w:val="18"/>
          <w:szCs w:val="18"/>
          <w:color w:val="auto"/>
        </w:rPr>
        <w:t>During the Term, the Company is hereby granted and shall have a non-exclusive,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86" w:lineRule="exact"/>
        <w:rPr>
          <w:rFonts w:ascii="Arial" w:cs="Arial" w:eastAsia="Arial" w:hAnsi="Arial"/>
          <w:sz w:val="18"/>
          <w:szCs w:val="18"/>
          <w:color w:val="auto"/>
        </w:rPr>
      </w:pPr>
    </w:p>
    <w:p>
      <w:pPr>
        <w:jc w:val="both"/>
        <w:ind w:left="-8" w:firstLine="1305"/>
        <w:spacing w:after="0" w:line="290" w:lineRule="auto"/>
        <w:tabs>
          <w:tab w:leader="none" w:pos="2076" w:val="left"/>
        </w:tabs>
        <w:numPr>
          <w:ilvl w:val="2"/>
          <w:numId w:val="104"/>
        </w:numPr>
        <w:rPr>
          <w:rFonts w:ascii="Arial" w:cs="Arial" w:eastAsia="Arial" w:hAnsi="Arial"/>
          <w:sz w:val="16"/>
          <w:szCs w:val="16"/>
          <w:color w:val="auto"/>
        </w:rPr>
      </w:pPr>
      <w:r>
        <w:rPr>
          <w:rFonts w:ascii="Arial" w:cs="Arial" w:eastAsia="Arial" w:hAnsi="Arial"/>
          <w:sz w:val="16"/>
          <w:szCs w:val="16"/>
          <w:color w:val="auto"/>
        </w:rPr>
        <w:t>Executive agrees to cooperate fully with the Company, both during and after his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his agent and attorney-in-fact and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Creations, under the conditions described in this paragraph.</w:t>
      </w:r>
    </w:p>
    <w:p>
      <w:pPr>
        <w:spacing w:after="0" w:line="166" w:lineRule="exact"/>
        <w:rPr>
          <w:rFonts w:ascii="Arial" w:cs="Arial" w:eastAsia="Arial" w:hAnsi="Arial"/>
          <w:sz w:val="16"/>
          <w:szCs w:val="16"/>
          <w:color w:val="auto"/>
        </w:rPr>
      </w:pPr>
    </w:p>
    <w:p>
      <w:pPr>
        <w:jc w:val="both"/>
        <w:ind w:left="-8" w:firstLine="656"/>
        <w:spacing w:after="0" w:line="271" w:lineRule="auto"/>
        <w:tabs>
          <w:tab w:leader="none" w:pos="1585"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Non-solicitation; non-competition</w:t>
      </w:r>
      <w:r>
        <w:rPr>
          <w:rFonts w:ascii="Arial" w:cs="Arial" w:eastAsia="Arial" w:hAnsi="Arial"/>
          <w:sz w:val="17"/>
          <w:szCs w:val="17"/>
          <w:color w:val="auto"/>
        </w:rPr>
        <w:t>. (a) Executive agrees that, during the Term and until nine (9) months after the termination of his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nine</w:t>
      </w:r>
    </w:p>
    <w:p>
      <w:pPr>
        <w:ind w:left="-8" w:firstLine="8"/>
        <w:spacing w:after="0" w:line="261" w:lineRule="auto"/>
        <w:tabs>
          <w:tab w:leader="none" w:pos="2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months prior to the termination of Executive’s employment, or induce any such employee to terminate his or her employment with the Company or any of its Affiliated Entities.</w:t>
      </w:r>
    </w:p>
    <w:p>
      <w:pPr>
        <w:spacing w:after="0" w:line="183" w:lineRule="exact"/>
        <w:rPr>
          <w:rFonts w:ascii="Arial" w:cs="Arial" w:eastAsia="Arial" w:hAnsi="Arial"/>
          <w:sz w:val="18"/>
          <w:szCs w:val="18"/>
          <w:color w:val="auto"/>
        </w:rPr>
      </w:pPr>
    </w:p>
    <w:p>
      <w:pPr>
        <w:jc w:val="both"/>
        <w:ind w:left="-8" w:firstLine="1305"/>
        <w:spacing w:after="0" w:line="255" w:lineRule="auto"/>
        <w:tabs>
          <w:tab w:leader="none" w:pos="2023" w:val="left"/>
        </w:tabs>
        <w:numPr>
          <w:ilvl w:val="2"/>
          <w:numId w:val="106"/>
        </w:numPr>
        <w:rPr>
          <w:rFonts w:ascii="Arial" w:cs="Arial" w:eastAsia="Arial" w:hAnsi="Arial"/>
          <w:sz w:val="18"/>
          <w:szCs w:val="18"/>
          <w:color w:val="auto"/>
        </w:rPr>
      </w:pPr>
      <w:r>
        <w:rPr>
          <w:rFonts w:ascii="Arial" w:cs="Arial" w:eastAsia="Arial" w:hAnsi="Arial"/>
          <w:sz w:val="18"/>
          <w:szCs w:val="18"/>
          <w:color w:val="auto"/>
        </w:rPr>
        <w:t>Executive further agrees that, during the Term and until nine (9) months after the termination of his employment,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60" w:name="page161"/>
    <w:bookmarkEnd w:id="160"/>
    <w:p>
      <w:pPr>
        <w:jc w:val="both"/>
        <w:ind w:left="-20" w:firstLine="1305"/>
        <w:spacing w:after="0" w:line="259" w:lineRule="auto"/>
        <w:tabs>
          <w:tab w:leader="none" w:pos="183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Business</w:t>
      </w:r>
      <w:r>
        <w:rPr>
          <w:rFonts w:ascii="Arial" w:cs="Arial" w:eastAsia="Arial" w:hAnsi="Arial"/>
          <w:sz w:val="18"/>
          <w:szCs w:val="18"/>
          <w:color w:val="auto"/>
        </w:rPr>
        <w:t>” means any corporation, partnership or other entity or person (other than the Company) which is engaged (a) 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186" w:lineRule="exact"/>
        <w:rPr>
          <w:rFonts w:ascii="Arial" w:cs="Arial" w:eastAsia="Arial" w:hAnsi="Arial"/>
          <w:sz w:val="18"/>
          <w:szCs w:val="18"/>
          <w:color w:val="auto"/>
        </w:rPr>
      </w:pPr>
    </w:p>
    <w:p>
      <w:pPr>
        <w:ind w:left="-20" w:firstLine="1305"/>
        <w:spacing w:after="0" w:line="277" w:lineRule="auto"/>
        <w:tabs>
          <w:tab w:leader="none" w:pos="192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70" w:lineRule="exact"/>
        <w:rPr>
          <w:rFonts w:ascii="Arial" w:cs="Arial" w:eastAsia="Arial" w:hAnsi="Arial"/>
          <w:sz w:val="18"/>
          <w:szCs w:val="18"/>
          <w:color w:val="auto"/>
        </w:rPr>
      </w:pPr>
    </w:p>
    <w:p>
      <w:pPr>
        <w:jc w:val="both"/>
        <w:ind w:left="-20" w:firstLine="1305"/>
        <w:spacing w:after="0" w:line="255" w:lineRule="auto"/>
        <w:tabs>
          <w:tab w:leader="none" w:pos="193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Executive agrees that in the event a court determines the length of time or the geographic area or activities prohibited under this Section 9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9 shall be deemed to be a series of separate covenants, one for each and every state, territory or jurisdiction of the United States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89" w:lineRule="exact"/>
        <w:rPr>
          <w:rFonts w:ascii="Arial" w:cs="Arial" w:eastAsia="Arial" w:hAnsi="Arial"/>
          <w:sz w:val="18"/>
          <w:szCs w:val="18"/>
          <w:color w:val="auto"/>
        </w:rPr>
      </w:pPr>
    </w:p>
    <w:p>
      <w:pPr>
        <w:jc w:val="both"/>
        <w:ind w:left="-20" w:firstLine="656"/>
        <w:spacing w:after="0" w:line="270" w:lineRule="auto"/>
        <w:tabs>
          <w:tab w:leader="none" w:pos="1438"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Representation and Warranty</w:t>
      </w:r>
      <w:r>
        <w:rPr>
          <w:rFonts w:ascii="Arial" w:cs="Arial" w:eastAsia="Arial" w:hAnsi="Arial"/>
          <w:sz w:val="17"/>
          <w:szCs w:val="17"/>
          <w:color w:val="auto"/>
        </w:rPr>
        <w:t>. The Executive hereby acknowledges and represents that he has had the opportunity to consult with legal counsel regarding his rights and obligations under this Agreement and that 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77" w:lineRule="exact"/>
        <w:rPr>
          <w:rFonts w:ascii="Arial" w:cs="Arial" w:eastAsia="Arial" w:hAnsi="Arial"/>
          <w:sz w:val="17"/>
          <w:szCs w:val="17"/>
          <w:color w:val="auto"/>
        </w:rPr>
      </w:pPr>
    </w:p>
    <w:p>
      <w:pPr>
        <w:jc w:val="both"/>
        <w:ind w:left="-20" w:firstLine="656"/>
        <w:spacing w:after="0" w:line="297" w:lineRule="auto"/>
        <w:tabs>
          <w:tab w:leader="none" w:pos="1351"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Without limiting the remedies available to the Company, Executive acknowledges that a breach of any of the covenants contained in Sections 8 and 9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8 and 9 of this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1" w:name="page162"/>
    <w:bookmarkEnd w:id="161"/>
    <w:p>
      <w:pPr>
        <w:ind w:left="-20" w:firstLine="656"/>
        <w:spacing w:after="0" w:line="277" w:lineRule="auto"/>
        <w:tabs>
          <w:tab w:leader="none" w:pos="142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permitted to be given to the Parties shall be deemed to have been given if either personally delivered, or if sent for next-day delivery by nationally recognized overnight courier, and addressed as follows:</w:t>
      </w:r>
    </w:p>
    <w:p>
      <w:pPr>
        <w:spacing w:after="0" w:line="170" w:lineRule="exact"/>
        <w:rPr>
          <w:rFonts w:ascii="Arial" w:cs="Arial" w:eastAsia="Arial" w:hAnsi="Arial"/>
          <w:sz w:val="18"/>
          <w:szCs w:val="18"/>
          <w:color w:val="auto"/>
        </w:rPr>
      </w:pPr>
    </w:p>
    <w:p>
      <w:pPr>
        <w:ind w:left="1600" w:hanging="315"/>
        <w:spacing w:after="0"/>
        <w:tabs>
          <w:tab w:leader="none" w:pos="16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to Executive, to:</w:t>
      </w:r>
    </w:p>
    <w:p>
      <w:pPr>
        <w:spacing w:after="0" w:line="22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6"/>
          <w:szCs w:val="16"/>
          <w:color w:val="auto"/>
        </w:rPr>
        <w:t>2nd Floor, Building 18, Shanghai Pudong Software Park, 498 Guoshoujin Road, Pudong, Shanghai 201203, People’s Republic of China</w:t>
      </w:r>
    </w:p>
    <w:p>
      <w:pPr>
        <w:spacing w:after="0" w:line="248" w:lineRule="exact"/>
        <w:rPr>
          <w:rFonts w:ascii="Arial" w:cs="Arial" w:eastAsia="Arial" w:hAnsi="Arial"/>
          <w:sz w:val="18"/>
          <w:szCs w:val="18"/>
          <w:color w:val="auto"/>
        </w:rPr>
      </w:pPr>
    </w:p>
    <w:p>
      <w:pPr>
        <w:ind w:left="1600" w:hanging="315"/>
        <w:spacing w:after="0"/>
        <w:tabs>
          <w:tab w:leader="none" w:pos="16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6"/>
          <w:szCs w:val="16"/>
          <w:color w:val="auto"/>
        </w:rPr>
        <w:t>2nd Floor, Building 18, Shanghai Pudong Software Park, 498 Guoshoujin Road, Pudong, Shanghai 201203, People’s Republic of China</w:t>
      </w:r>
    </w:p>
    <w:p>
      <w:pPr>
        <w:spacing w:after="0" w:line="248" w:lineRule="exact"/>
        <w:rPr>
          <w:rFonts w:ascii="Arial" w:cs="Arial" w:eastAsia="Arial" w:hAnsi="Arial"/>
          <w:sz w:val="18"/>
          <w:szCs w:val="18"/>
          <w:color w:val="auto"/>
        </w:rPr>
      </w:pPr>
    </w:p>
    <w:p>
      <w:pPr>
        <w:ind w:left="-20" w:right="20" w:firstLine="656"/>
        <w:spacing w:after="0" w:line="277" w:lineRule="auto"/>
        <w:tabs>
          <w:tab w:leader="none" w:pos="133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declared void or unenforceable by a court of competent jurisdiction, all other provisions shall nonetheless remain in full force and effect.</w:t>
      </w:r>
    </w:p>
    <w:p>
      <w:pPr>
        <w:spacing w:after="0" w:line="170" w:lineRule="exact"/>
        <w:rPr>
          <w:rFonts w:ascii="Arial" w:cs="Arial" w:eastAsia="Arial" w:hAnsi="Arial"/>
          <w:sz w:val="18"/>
          <w:szCs w:val="18"/>
          <w:color w:val="auto"/>
        </w:rPr>
      </w:pPr>
    </w:p>
    <w:p>
      <w:pPr>
        <w:ind w:left="-20" w:firstLine="656"/>
        <w:spacing w:after="0" w:line="277" w:lineRule="auto"/>
        <w:tabs>
          <w:tab w:leader="none" w:pos="133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payment that it is required to make under this Agreement amounts sufficient to satisfy applicable withholding requirements under any federal, state or local law.</w:t>
      </w:r>
    </w:p>
    <w:p>
      <w:pPr>
        <w:spacing w:after="0" w:line="170" w:lineRule="exact"/>
        <w:rPr>
          <w:rFonts w:ascii="Arial" w:cs="Arial" w:eastAsia="Arial" w:hAnsi="Arial"/>
          <w:sz w:val="18"/>
          <w:szCs w:val="18"/>
          <w:color w:val="auto"/>
        </w:rPr>
      </w:pPr>
    </w:p>
    <w:p>
      <w:pPr>
        <w:ind w:left="-20" w:firstLine="656"/>
        <w:spacing w:after="0" w:line="277" w:lineRule="auto"/>
        <w:tabs>
          <w:tab w:leader="none" w:pos="134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that Executive will be covered by any “directors and officers” insurance policies then in effect with respect to Executive’s acts as an officer.</w:t>
      </w:r>
    </w:p>
    <w:p>
      <w:pPr>
        <w:spacing w:after="0" w:line="170" w:lineRule="exact"/>
        <w:rPr>
          <w:rFonts w:ascii="Arial" w:cs="Arial" w:eastAsia="Arial" w:hAnsi="Arial"/>
          <w:sz w:val="18"/>
          <w:szCs w:val="18"/>
          <w:color w:val="auto"/>
        </w:rPr>
      </w:pPr>
    </w:p>
    <w:p>
      <w:pPr>
        <w:ind w:left="1320" w:hanging="684"/>
        <w:spacing w:after="0"/>
        <w:tabs>
          <w:tab w:leader="none" w:pos="132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enforced in accordance with, the laws of Hong Kong.</w:t>
      </w:r>
    </w:p>
    <w:p>
      <w:pPr>
        <w:spacing w:after="0" w:line="236" w:lineRule="exact"/>
        <w:rPr>
          <w:rFonts w:ascii="Arial" w:cs="Arial" w:eastAsia="Arial" w:hAnsi="Arial"/>
          <w:sz w:val="17"/>
          <w:szCs w:val="17"/>
          <w:color w:val="auto"/>
        </w:rPr>
      </w:pPr>
    </w:p>
    <w:p>
      <w:pPr>
        <w:jc w:val="both"/>
        <w:ind w:left="-20" w:firstLine="656"/>
        <w:spacing w:after="0" w:line="259" w:lineRule="auto"/>
        <w:tabs>
          <w:tab w:leader="none" w:pos="151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186" w:lineRule="exact"/>
        <w:rPr>
          <w:rFonts w:ascii="Arial" w:cs="Arial" w:eastAsia="Arial" w:hAnsi="Arial"/>
          <w:sz w:val="18"/>
          <w:szCs w:val="18"/>
          <w:color w:val="auto"/>
        </w:rPr>
      </w:pPr>
    </w:p>
    <w:p>
      <w:pPr>
        <w:jc w:val="both"/>
        <w:ind w:left="-20" w:firstLine="656"/>
        <w:spacing w:after="0" w:line="302" w:lineRule="auto"/>
        <w:tabs>
          <w:tab w:leader="none" w:pos="1357"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154" w:lineRule="exact"/>
        <w:rPr>
          <w:rFonts w:ascii="Arial" w:cs="Arial" w:eastAsia="Arial" w:hAnsi="Arial"/>
          <w:sz w:val="16"/>
          <w:szCs w:val="16"/>
          <w:color w:val="auto"/>
        </w:rPr>
      </w:pPr>
    </w:p>
    <w:p>
      <w:pPr>
        <w:jc w:val="both"/>
        <w:ind w:left="-20" w:firstLine="656"/>
        <w:spacing w:after="0" w:line="279" w:lineRule="auto"/>
        <w:tabs>
          <w:tab w:leader="none" w:pos="133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8"/>
          <w:szCs w:val="18"/>
          <w:color w:val="auto"/>
        </w:rPr>
        <w:t>IN WITNESS WHEREOF, the Parties have caused this Agreement to be duly executed and delivered on the date first written above.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Xiao Feng Yang</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Xiao Feng Yang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Exhibit 10.5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EMPLOYMENT AGREEMENT (the “Agreement”) is effective as of December 9,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CLPS INCORPORATION, a Cayman Islands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having its principal place of business at c/o 2nd Floor, Building 18, Shanghai Pudong Software Park, 498 Guoshoujin Road, Pudong, Shanghai 201203, People’s Republic of China, and Tian van Acken (“</w:t>
      </w:r>
      <w:r>
        <w:rPr>
          <w:rFonts w:ascii="Arial" w:cs="Arial" w:eastAsia="Arial" w:hAnsi="Arial"/>
          <w:sz w:val="18"/>
          <w:szCs w:val="18"/>
          <w:u w:val="single" w:color="auto"/>
          <w:color w:val="auto"/>
        </w:rPr>
        <w:t>Executive</w:t>
      </w:r>
      <w:r>
        <w:rPr>
          <w:rFonts w:ascii="Arial" w:cs="Arial" w:eastAsia="Arial" w:hAnsi="Arial"/>
          <w:sz w:val="18"/>
          <w:szCs w:val="18"/>
          <w:color w:val="auto"/>
        </w:rPr>
        <w:t>”, and the Company and the Executive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hire Executive and to employ her as the Company’s Chief Financial Officer (“CFO”), and the Parties desire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 into this Agreement embodying the terms of such employment;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THISEFORE</w:t>
      </w:r>
      <w:r>
        <w:rPr>
          <w:rFonts w:ascii="Arial" w:cs="Arial" w:eastAsia="Arial" w:hAnsi="Arial"/>
          <w:sz w:val="18"/>
          <w:szCs w:val="18"/>
          <w:color w:val="auto"/>
        </w:rPr>
        <w:t>, in consideration of the premises and the mutual covenants and promises of the Parties contained herein, the Parties, intending</w:t>
      </w:r>
      <w:r>
        <w:rPr>
          <w:rFonts w:ascii="Arial" w:cs="Arial" w:eastAsia="Arial" w:hAnsi="Arial"/>
          <w:sz w:val="18"/>
          <w:szCs w:val="18"/>
          <w:b w:val="1"/>
          <w:bCs w:val="1"/>
          <w:color w:val="auto"/>
        </w:rPr>
        <w:t xml:space="preserve"> </w:t>
      </w:r>
      <w:r>
        <w:rPr>
          <w:rFonts w:ascii="Arial" w:cs="Arial" w:eastAsia="Arial" w:hAnsi="Arial"/>
          <w:sz w:val="18"/>
          <w:szCs w:val="18"/>
          <w:color w:val="auto"/>
        </w:rPr>
        <w:t>to be legally bound, hereby agree as follows:</w:t>
      </w:r>
    </w:p>
    <w:p>
      <w:pPr>
        <w:spacing w:after="0" w:line="166" w:lineRule="exact"/>
        <w:rPr>
          <w:sz w:val="20"/>
          <w:szCs w:val="20"/>
          <w:color w:val="auto"/>
        </w:rPr>
      </w:pPr>
    </w:p>
    <w:p>
      <w:pPr>
        <w:ind w:left="1340" w:hanging="684"/>
        <w:spacing w:after="0"/>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Title and Job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211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the Company agrees to employ Executive as Chief Financial Officer. Executive shall report directly to the Chief Executive Officer of the Company (the “</w:t>
      </w:r>
      <w:r>
        <w:rPr>
          <w:rFonts w:ascii="Arial" w:cs="Arial" w:eastAsia="Arial" w:hAnsi="Arial"/>
          <w:sz w:val="18"/>
          <w:szCs w:val="18"/>
          <w:u w:val="single" w:color="auto"/>
          <w:color w:val="auto"/>
        </w:rPr>
        <w:t>CEO</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029"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Executive accepts such employment and agrees, during the term of her employment, to devote her full business and professional time and energy to the Company, and agrees faithfully to perform her duties and responsibilities in an efficient, trustworthy and business-like manner. Executive also agrees that the CEO shall determine from time to time such of her duties as may be assigned to her. Executive agrees to carry out and abide by such directions of the CEO. Visible leadership is expected from Executive, which will require frequent travelling.</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196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Executive shall not, without the written approval of the Company, render services of a business or commercial nature on her own behalf or on behalf of any person, firm, or corporation, whether for compensation or otherwise, during her employment hereunder. The foregoing limitation shall not apply to Executive’s involvement in associations, charities and service on another entity’s board of directors, provided such involvement does not interfere with Executives responsibilities (and as it pertains to any service on another entity’s board of directors, provided such action is pre-approved by the Company).</w:t>
      </w:r>
    </w:p>
    <w:p>
      <w:pPr>
        <w:spacing w:after="0" w:line="188" w:lineRule="exact"/>
        <w:rPr>
          <w:rFonts w:ascii="Arial" w:cs="Arial" w:eastAsia="Arial" w:hAnsi="Arial"/>
          <w:sz w:val="18"/>
          <w:szCs w:val="18"/>
          <w:color w:val="auto"/>
        </w:rPr>
      </w:pPr>
    </w:p>
    <w:p>
      <w:pPr>
        <w:ind w:left="1340" w:hanging="684"/>
        <w:spacing w:after="0"/>
        <w:tabs>
          <w:tab w:leader="none" w:pos="13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Salary and Additional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243"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Executive an annual base salary (“</w:t>
      </w:r>
      <w:r>
        <w:rPr>
          <w:rFonts w:ascii="Arial" w:cs="Arial" w:eastAsia="Arial" w:hAnsi="Arial"/>
          <w:sz w:val="17"/>
          <w:szCs w:val="17"/>
          <w:u w:val="single" w:color="auto"/>
          <w:color w:val="auto"/>
        </w:rPr>
        <w:t>Base Salary</w:t>
      </w:r>
      <w:r>
        <w:rPr>
          <w:rFonts w:ascii="Arial" w:cs="Arial" w:eastAsia="Arial" w:hAnsi="Arial"/>
          <w:sz w:val="17"/>
          <w:szCs w:val="17"/>
          <w:color w:val="auto"/>
        </w:rPr>
        <w:t>”) of a total of RMB144,000 and HK$558,000 (a total of approximately US$93,010) in accordance with the Company’s normal payroll procedures. The Compensation Committee shall review the Executive’s Base Salary no less than annually and may increase (but not decrease) such Base Salary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4" w:name="page165"/>
    <w:bookmarkEnd w:id="164"/>
    <w:p>
      <w:pPr>
        <w:jc w:val="both"/>
        <w:ind w:firstLine="1305"/>
        <w:spacing w:after="0" w:line="255" w:lineRule="auto"/>
        <w:tabs>
          <w:tab w:leader="none" w:pos="1979"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Commencing with the year ending June 30, 2018, Executive will be entitled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payable with respect to each year of the Term subsequent to the issuance of the Company’s final audited financial statements for such year. The final determination on the amount, if any, of the Annual Bonus will be made by, and in the sole discretion of the Compensation Committee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the Board, if such committee has been dissolved), based on criteria established by the Compensation Committee of the Board (or the Board, if such committee has been dissolved). For the fiscal year in which Executive commences employment with the Company, Executive will be entitled to receive an Annual Bonus which is prorated based on the number of days from the Effective Date until the end of the fiscal year divided by 365.</w:t>
      </w:r>
    </w:p>
    <w:p>
      <w:pPr>
        <w:spacing w:after="0" w:line="189" w:lineRule="exact"/>
        <w:rPr>
          <w:rFonts w:ascii="Arial" w:cs="Arial" w:eastAsia="Arial" w:hAnsi="Arial"/>
          <w:sz w:val="18"/>
          <w:szCs w:val="18"/>
          <w:color w:val="auto"/>
        </w:rPr>
      </w:pPr>
    </w:p>
    <w:p>
      <w:pPr>
        <w:jc w:val="both"/>
        <w:ind w:firstLine="656"/>
        <w:spacing w:after="0" w:line="273" w:lineRule="auto"/>
        <w:tabs>
          <w:tab w:leader="none" w:pos="1445"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In accordance with Company policy, the Company shall reimburse Executive for all reasonable association fees, professional related expenses (certifications, licenses and continuing professional education) and business expenses properly and necessarily incurred and paid by Executive in the performance of her duties under this Agreement, including without limitation all travel expenses to and from her designated office as set forth in the opening paragraph of this Agreement, upon her presentment of detailed receipts in the form required by the Company’s policy. Notwithstanding the foregoing, all expenses must be promptly submitted for reimbursement by the Executive. In no event shall any reimbursement be paid by the Company after the end of the year following the year in which the expense is incurred by the Executive.</w:t>
      </w:r>
    </w:p>
    <w:p>
      <w:pPr>
        <w:spacing w:after="0" w:line="178" w:lineRule="exact"/>
        <w:rPr>
          <w:rFonts w:ascii="Arial" w:cs="Arial" w:eastAsia="Arial" w:hAnsi="Arial"/>
          <w:sz w:val="17"/>
          <w:szCs w:val="17"/>
          <w:color w:val="auto"/>
        </w:rPr>
      </w:pPr>
    </w:p>
    <w:p>
      <w:pPr>
        <w:ind w:left="1340" w:hanging="684"/>
        <w:spacing w:after="0"/>
        <w:tabs>
          <w:tab w:leader="none" w:pos="13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01"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Vacation and Sick Leave</w:t>
      </w:r>
      <w:r>
        <w:rPr>
          <w:rFonts w:ascii="Arial" w:cs="Arial" w:eastAsia="Arial" w:hAnsi="Arial"/>
          <w:sz w:val="18"/>
          <w:szCs w:val="18"/>
          <w:color w:val="auto"/>
        </w:rPr>
        <w:t>. Executive shall be entitled to three (3) weeks of vacation per year and ten (10) days of sick leave per year, which shall accrue at a pro rata rate per pay period. Vacation must be taken in the year in which it accrues and the dates of any vacation must be approved by the CEO.</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6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Health Insurance and Other Plans</w:t>
      </w:r>
      <w:r>
        <w:rPr>
          <w:rFonts w:ascii="Arial" w:cs="Arial" w:eastAsia="Arial" w:hAnsi="Arial"/>
          <w:sz w:val="18"/>
          <w:szCs w:val="18"/>
          <w:color w:val="auto"/>
        </w:rPr>
        <w:t>. Executive shall be eligible to participate in the Company’s medical, dental and other employee benefit programs, if any, that are provided by the Company for its employees at Executive’s level in accordance with the provisions of any such plans, as the same may be in effect from time to time.</w:t>
      </w:r>
    </w:p>
    <w:p>
      <w:pPr>
        <w:spacing w:after="0" w:line="181" w:lineRule="exact"/>
        <w:rPr>
          <w:rFonts w:ascii="Arial" w:cs="Arial" w:eastAsia="Arial" w:hAnsi="Arial"/>
          <w:sz w:val="18"/>
          <w:szCs w:val="18"/>
          <w:color w:val="auto"/>
        </w:rPr>
      </w:pPr>
    </w:p>
    <w:p>
      <w:pPr>
        <w:ind w:left="1440" w:hanging="784"/>
        <w:spacing w:after="0"/>
        <w:tabs>
          <w:tab w:leader="none" w:pos="144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employment under this Agreement (the “Term) shall be for a five-year period commencing on the Effective Date and</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shall be automatically extended for an additional consecutive twelve (12)-month period on the fifth (5</w:t>
      </w:r>
      <w:r>
        <w:rPr>
          <w:rFonts w:ascii="Arial" w:cs="Arial" w:eastAsia="Arial" w:hAnsi="Arial"/>
          <w:sz w:val="26"/>
          <w:szCs w:val="26"/>
          <w:color w:val="auto"/>
          <w:vertAlign w:val="superscript"/>
        </w:rPr>
        <w:t>th</w:t>
      </w:r>
      <w:r>
        <w:rPr>
          <w:rFonts w:ascii="Arial" w:cs="Arial" w:eastAsia="Arial" w:hAnsi="Arial"/>
          <w:sz w:val="16"/>
          <w:szCs w:val="16"/>
          <w:color w:val="auto"/>
        </w:rPr>
        <w:t>) anniversary of the effective date and each subsequent anniversary thereof, unless and until the Company or Executive provides written notice to the other party not less than ninety (90) days before such anniversary date that such party is electing not to extend the Term, in which case the Term shall end at the expiration of the Term as last extended, unless sooner terminated as set forth below. Following any such notice by the Company of its election not to extend the Term, Executive may terminate her employment at any time prior to the expiration of the Term by giving written notice to the Company at least thirty (30) days prior to the effective date of termination, and upon the earlier of such effective date of termination or the expiration of the Term, Executive shall be entitled to receive the same severance benefits as are provided upon a termination of employment by the Company without Cause as described in Section 7(a) and Section 7(d).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ind w:left="1340" w:hanging="684"/>
        <w:spacing w:after="0"/>
        <w:tabs>
          <w:tab w:leader="none" w:pos="13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Termination at the Company’s 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1" w:lineRule="auto"/>
        <w:tabs>
          <w:tab w:leader="none" w:pos="2484" w:val="left"/>
        </w:tabs>
        <w:numPr>
          <w:ilvl w:val="2"/>
          <w:numId w:val="113"/>
        </w:numPr>
        <w:rPr>
          <w:rFonts w:ascii="Arial" w:cs="Arial" w:eastAsia="Arial" w:hAnsi="Arial"/>
          <w:sz w:val="17"/>
          <w:szCs w:val="17"/>
          <w:color w:val="auto"/>
        </w:rPr>
      </w:pPr>
      <w:r>
        <w:rPr>
          <w:rFonts w:ascii="Arial" w:cs="Arial" w:eastAsia="Arial" w:hAnsi="Arial"/>
          <w:sz w:val="17"/>
          <w:szCs w:val="17"/>
          <w:u w:val="single" w:color="auto"/>
          <w:color w:val="auto"/>
        </w:rPr>
        <w:t>For Cause</w:t>
      </w:r>
      <w:r>
        <w:rPr>
          <w:rFonts w:ascii="Arial" w:cs="Arial" w:eastAsia="Arial" w:hAnsi="Arial"/>
          <w:sz w:val="17"/>
          <w:szCs w:val="17"/>
          <w:color w:val="auto"/>
        </w:rPr>
        <w:t>. At the election of the Company, Executive’s employment may be terminated at any time for Cause (as defined below) upon written notice to Executive given pursuant to Section 12 of this Agreement.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for termination shall mean that Executive: (A) pleads “guilty” or “no contest” to, or is convicted of an act which is defined as a felony under federal or state law, or is indicted or formally charged with acts involving criminal fraud or embezzlement; (B) in carrying out her duties, engages in conduct that constitutes gross negligence or willful misconduct; (C) engages in substantiated fraud, misappropriation or embezzlement against the Company; (D) engages in any inappropriate or improper conduct that causes material harm to the reputation of the Company; or (E) materially breaches any term of this Agreement. With respect to subsection (E) of this section, to the extent such material breach may be cured, the Company shall provide Executive with written notice of the material breach and Executive shall have ten (10) days to cure such breach.</w:t>
      </w:r>
    </w:p>
    <w:p>
      <w:pPr>
        <w:spacing w:after="0" w:line="178" w:lineRule="exact"/>
        <w:rPr>
          <w:rFonts w:ascii="Arial" w:cs="Arial" w:eastAsia="Arial" w:hAnsi="Arial"/>
          <w:sz w:val="17"/>
          <w:szCs w:val="17"/>
          <w:color w:val="auto"/>
        </w:rPr>
      </w:pPr>
    </w:p>
    <w:p>
      <w:pPr>
        <w:jc w:val="both"/>
        <w:ind w:firstLine="1953"/>
        <w:spacing w:after="0" w:line="259" w:lineRule="auto"/>
        <w:tabs>
          <w:tab w:leader="none" w:pos="2480" w:val="left"/>
        </w:tabs>
        <w:numPr>
          <w:ilvl w:val="2"/>
          <w:numId w:val="113"/>
        </w:numPr>
        <w:rPr>
          <w:rFonts w:ascii="Arial" w:cs="Arial" w:eastAsia="Arial" w:hAnsi="Arial"/>
          <w:sz w:val="18"/>
          <w:szCs w:val="18"/>
          <w:color w:val="auto"/>
        </w:rPr>
      </w:pPr>
      <w:r>
        <w:rPr>
          <w:rFonts w:ascii="Arial" w:cs="Arial" w:eastAsia="Arial" w:hAnsi="Arial"/>
          <w:sz w:val="18"/>
          <w:szCs w:val="18"/>
          <w:u w:val="single" w:color="auto"/>
          <w:color w:val="auto"/>
        </w:rPr>
        <w:t>Upon Disability, Death or Without Cause</w:t>
      </w:r>
      <w:r>
        <w:rPr>
          <w:rFonts w:ascii="Arial" w:cs="Arial" w:eastAsia="Arial" w:hAnsi="Arial"/>
          <w:sz w:val="18"/>
          <w:szCs w:val="18"/>
          <w:color w:val="auto"/>
        </w:rPr>
        <w:t>. At the election of the Company, Executive’s employment may be terminated: (A) should Executive have a physical or mental impairment that substantially limits a major life activity and Executive is unable to perform the essential functions of her job with or without reasonable accommodation (“</w:t>
      </w:r>
      <w:r>
        <w:rPr>
          <w:rFonts w:ascii="Arial" w:cs="Arial" w:eastAsia="Arial" w:hAnsi="Arial"/>
          <w:sz w:val="18"/>
          <w:szCs w:val="18"/>
          <w:u w:val="single" w:color="auto"/>
          <w:color w:val="auto"/>
        </w:rPr>
        <w:t>Disability</w:t>
      </w:r>
      <w:r>
        <w:rPr>
          <w:rFonts w:ascii="Arial" w:cs="Arial" w:eastAsia="Arial" w:hAnsi="Arial"/>
          <w:sz w:val="18"/>
          <w:szCs w:val="18"/>
          <w:color w:val="auto"/>
        </w:rPr>
        <w:t>”); (B) upon Executive’s death; or (C) with ninety (90) days prior written notice, at any time Without Cause for any or no reason.</w:t>
      </w:r>
    </w:p>
    <w:p>
      <w:pPr>
        <w:spacing w:after="0" w:line="186" w:lineRule="exact"/>
        <w:rPr>
          <w:rFonts w:ascii="Arial" w:cs="Arial" w:eastAsia="Arial" w:hAnsi="Arial"/>
          <w:sz w:val="18"/>
          <w:szCs w:val="18"/>
          <w:color w:val="auto"/>
        </w:rPr>
      </w:pPr>
    </w:p>
    <w:p>
      <w:pPr>
        <w:jc w:val="both"/>
        <w:ind w:firstLine="1305"/>
        <w:spacing w:after="0" w:line="287" w:lineRule="auto"/>
        <w:tabs>
          <w:tab w:leader="none" w:pos="1983"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Termination at Executive’s Election; Good Reason Termination</w:t>
      </w:r>
      <w:r>
        <w:rPr>
          <w:rFonts w:ascii="Arial" w:cs="Arial" w:eastAsia="Arial" w:hAnsi="Arial"/>
          <w:sz w:val="16"/>
          <w:szCs w:val="16"/>
          <w:color w:val="auto"/>
        </w:rPr>
        <w:t>. Notwithstanding anything contained elsewhere in this Agreement to the contrary, Executive may terminate her employment hereunder at any time and for any reason, upon thirty (30) days’ prior written notice given pursuant to Section 12 of this Agreement (“</w:t>
      </w:r>
      <w:r>
        <w:rPr>
          <w:rFonts w:ascii="Arial" w:cs="Arial" w:eastAsia="Arial" w:hAnsi="Arial"/>
          <w:sz w:val="16"/>
          <w:szCs w:val="16"/>
          <w:u w:val="single" w:color="auto"/>
          <w:color w:val="auto"/>
        </w:rPr>
        <w:t>Voluntary Resignation</w:t>
      </w:r>
      <w:r>
        <w:rPr>
          <w:rFonts w:ascii="Arial" w:cs="Arial" w:eastAsia="Arial" w:hAnsi="Arial"/>
          <w:sz w:val="16"/>
          <w:szCs w:val="16"/>
          <w:color w:val="auto"/>
        </w:rPr>
        <w:t>”), provided that upon notice of resignation, the Company may terminate Executive’s employment immediately and pay Executive thirty (30) days’ Base Salary in lieu of notice. Furthermore, the Executive may terminate this Agreement for “</w:t>
      </w:r>
      <w:r>
        <w:rPr>
          <w:rFonts w:ascii="Arial" w:cs="Arial" w:eastAsia="Arial" w:hAnsi="Arial"/>
          <w:sz w:val="16"/>
          <w:szCs w:val="16"/>
          <w:u w:val="single" w:color="auto"/>
          <w:color w:val="auto"/>
        </w:rPr>
        <w:t>Good Reason</w:t>
      </w:r>
      <w:r>
        <w:rPr>
          <w:rFonts w:ascii="Arial" w:cs="Arial" w:eastAsia="Arial" w:hAnsi="Arial"/>
          <w:sz w:val="16"/>
          <w:szCs w:val="16"/>
          <w:color w:val="auto"/>
        </w:rPr>
        <w:t>,” which shall be deemed to exist: (i) if the Company’s Board of Directors or that of any successor entity of Company, fails to appoint or reappoint the Executive or removes the Executive as the CFO of the Company; (ii) if Executive is assigned any duties materially inconsistent with the duties or responsibilities of the CFO of the Company as contemplated by this Agreement or any other action by the Company that results in a material diminution in such position, authority, duties, or responsibilities, excluding an isolated, insubstantial, and inadvertent action not taken in bad faith; or (iii) a material breach by the Company of this Agreement. Good Reason shall not exist hereunder unless the Executive provides notice in writing to the Company of the existence of a condition described above within a period not to exceed ninety (90) days of the initial existence of the condition, and with respect to subsection (iii) of this section, to the extent such material breach may be cured, the Company does not remedy the condition within thirty (30) days of receipt of such notice.</w:t>
      </w:r>
    </w:p>
    <w:p>
      <w:pPr>
        <w:spacing w:after="0" w:line="172" w:lineRule="exact"/>
        <w:rPr>
          <w:rFonts w:ascii="Arial" w:cs="Arial" w:eastAsia="Arial" w:hAnsi="Arial"/>
          <w:sz w:val="16"/>
          <w:szCs w:val="16"/>
          <w:color w:val="auto"/>
        </w:rPr>
      </w:pPr>
    </w:p>
    <w:p>
      <w:pPr>
        <w:ind w:left="1960" w:hanging="655"/>
        <w:spacing w:after="0"/>
        <w:tabs>
          <w:tab w:leader="none" w:pos="196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Termination in General</w:t>
      </w:r>
      <w:r>
        <w:rPr>
          <w:rFonts w:ascii="Arial" w:cs="Arial" w:eastAsia="Arial" w:hAnsi="Arial"/>
          <w:sz w:val="16"/>
          <w:szCs w:val="16"/>
          <w:color w:val="auto"/>
        </w:rPr>
        <w:t>. If Executive’s employment with the Company terminates for any reason, the Company will pay or provide</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to Executive: (i) any unpaid Salary through the date of employment termination, (ii) any unpaid Annual Bonus for the fiscal year prior to the fiscal year in which the termination occurs (payable at the time the bonuses are paid to employees generally), (iii) any accrued but unused vacation or paid time off in accordance with the Company’s policy, (iv) reimbursement for any unreimbursed business expenses incurred through the termination date, to the extent reimbursable in accordance with Section 3, and (v) all other payments or benefits (if any) to which Executive is entitled under the terms of any benefit plan or arrangement.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ind w:left="1320" w:hanging="684"/>
        <w:spacing w:after="0"/>
        <w:tabs>
          <w:tab w:leader="none" w:pos="13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72" w:lineRule="auto"/>
        <w:tabs>
          <w:tab w:leader="none" w:pos="2079" w:val="left"/>
        </w:tabs>
        <w:numPr>
          <w:ilvl w:val="1"/>
          <w:numId w:val="114"/>
        </w:numPr>
        <w:rPr>
          <w:rFonts w:ascii="Arial" w:cs="Arial" w:eastAsia="Arial" w:hAnsi="Arial"/>
          <w:sz w:val="17"/>
          <w:szCs w:val="17"/>
          <w:color w:val="auto"/>
        </w:rPr>
      </w:pPr>
      <w:r>
        <w:rPr>
          <w:rFonts w:ascii="Arial" w:cs="Arial" w:eastAsia="Arial" w:hAnsi="Arial"/>
          <w:sz w:val="17"/>
          <w:szCs w:val="17"/>
          <w:color w:val="auto"/>
        </w:rPr>
        <w:t>Subject to Section 7(b) below, if Executive’s employment is terminated prior to the end of the Term by the Company without Cause or by Executive for Good Reason, Executive shall be entitled to receive a severance payment equal to (i) nine (9) months of Executive’s Base Salary, and (ii) a pro rata portion of the target Annual Bonus for the year in which such termination occurs. Such severance payment shall be made in a single lump sum sixty (60) days following such termination, provided the Executive has executed and delivered to the Company, and has not revoked a general release of the Company, its parents, subsidiaries and affiliates and each of its officers, directors, employees, agents, successors and assigns, and such other persons and/or entities as the Company may determine, in a form reasonably acceptable to the Company. Such general release shall be delivered on or about the date of termination and must be executed within fifty-five (55) days of termination.</w:t>
      </w:r>
    </w:p>
    <w:p>
      <w:pPr>
        <w:spacing w:after="0" w:line="177" w:lineRule="exact"/>
        <w:rPr>
          <w:rFonts w:ascii="Arial" w:cs="Arial" w:eastAsia="Arial" w:hAnsi="Arial"/>
          <w:sz w:val="17"/>
          <w:szCs w:val="17"/>
          <w:color w:val="auto"/>
        </w:rPr>
      </w:pPr>
    </w:p>
    <w:p>
      <w:pPr>
        <w:jc w:val="both"/>
        <w:ind w:left="-20" w:firstLine="1305"/>
        <w:spacing w:after="0" w:line="269" w:lineRule="auto"/>
        <w:tabs>
          <w:tab w:leader="none" w:pos="202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If Executive’s employment is terminated prior to the end of the Term by the Company without Cause or by Executive for Good Reason, and such termination occurs within three months prior to a Change in Control in contemplation of the Change in Control or within six (6) months after the Change in Control, Executive shall be entitled to receive, in addition to any severance pursuant to Section 7(a) above, an acceleration of the vesting of the RS Grant or, if the termination occurs after the Change of Control, the Substitute Grant, as applicable. For purposes of this Agreement, “</w:t>
      </w:r>
      <w:r>
        <w:rPr>
          <w:rFonts w:ascii="Arial" w:cs="Arial" w:eastAsia="Arial" w:hAnsi="Arial"/>
          <w:sz w:val="17"/>
          <w:szCs w:val="17"/>
          <w:u w:val="single" w:color="auto"/>
          <w:color w:val="auto"/>
        </w:rPr>
        <w:t>Change in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w:t>
      </w:r>
      <w:r>
        <w:rPr>
          <w:rFonts w:ascii="Arial" w:cs="Arial" w:eastAsia="Arial" w:hAnsi="Arial"/>
          <w:sz w:val="17"/>
          <w:szCs w:val="17"/>
          <w:color w:val="auto"/>
        </w:rPr>
        <w:t>” means the occurrence of any of the following events: (i) an acquisition (other than directly from the Company) of any voting securities of the Company by any person or group of affiliated or related persons (as such term is defined in Sections 13(d) and 14(d)(2) of the Securities Exchange Act of 1934 (“</w:t>
      </w:r>
      <w:r>
        <w:rPr>
          <w:rFonts w:ascii="Arial" w:cs="Arial" w:eastAsia="Arial" w:hAnsi="Arial"/>
          <w:sz w:val="17"/>
          <w:szCs w:val="17"/>
          <w:u w:val="single" w:color="auto"/>
          <w:color w:val="auto"/>
        </w:rPr>
        <w:t>Exchange Act</w:t>
      </w:r>
      <w:r>
        <w:rPr>
          <w:rFonts w:ascii="Arial" w:cs="Arial" w:eastAsia="Arial" w:hAnsi="Arial"/>
          <w:sz w:val="17"/>
          <w:szCs w:val="17"/>
          <w:color w:val="auto"/>
        </w:rPr>
        <w:t>”)), immediately after which such person or group has beneficial ownership (within the meaning of the Exchange Act) of more than fifty percent (50%) of the combined voting power of the Company’s then outstanding voting securities; provided that this subsection shall not apply to an acquisition of voting securities by any employee benefit plan or trust maintained by or for the benefit of the Company or its employees; (ii) a merger, consolidation or reorganization involving the Company whereby the holders of Company common stock immediately preceding such transaction no longer hold a majority of the shares of Company common stock after such transaction; or (iii) the sale or other disposition of all or substantially all of the Company's assets.</w:t>
      </w:r>
    </w:p>
    <w:p>
      <w:pPr>
        <w:spacing w:after="0" w:line="179" w:lineRule="exact"/>
        <w:rPr>
          <w:rFonts w:ascii="Arial" w:cs="Arial" w:eastAsia="Arial" w:hAnsi="Arial"/>
          <w:sz w:val="17"/>
          <w:szCs w:val="17"/>
          <w:color w:val="auto"/>
        </w:rPr>
      </w:pPr>
    </w:p>
    <w:p>
      <w:pPr>
        <w:jc w:val="both"/>
        <w:ind w:left="-20" w:firstLine="1305"/>
        <w:spacing w:after="0" w:line="257" w:lineRule="auto"/>
        <w:tabs>
          <w:tab w:leader="none" w:pos="202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Executive's employment is terminated prior to the end of the Term by the Company without Cause or by Executive for Good Reason, and if Executive is eligible for and elects to continue to participate in the Company’s medical and dental benefit programs, the Company will continue to pay the same portion of Executive's medical and dental insurance premiums as during active employment (for Executive and eligible spouse and dependents) until the earlier of: (1) nine months from Executive's cessation from employment; or (2) the date Executive is eligible for medical and/or dental insurance benefits from another employer.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7" w:name="page168"/>
    <w:bookmarkEnd w:id="167"/>
    <w:p>
      <w:pPr>
        <w:ind w:left="1320" w:hanging="684"/>
        <w:spacing w:after="0"/>
        <w:tabs>
          <w:tab w:leader="none" w:pos="13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86" w:lineRule="auto"/>
        <w:tabs>
          <w:tab w:leader="none" w:pos="1979"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Executive understands that during the Term she may have access to unpublished and otherwise confidential information both of a technical and non-technical nature, relating to the business of the Company and any of its parents, subsidiaries, divisions, affiliates (collectively, “</w:t>
      </w:r>
      <w:r>
        <w:rPr>
          <w:rFonts w:ascii="Arial" w:cs="Arial" w:eastAsia="Arial" w:hAnsi="Arial"/>
          <w:sz w:val="16"/>
          <w:szCs w:val="16"/>
          <w:u w:val="single" w:color="auto"/>
          <w:color w:val="auto"/>
        </w:rPr>
        <w:t>Affiliated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or clients, including without limitation any of their actual or anticipated business, research or development, any of their technology or the implementation or exploitation thereof, including without limitation information Executive and other have collected, obtained or created, information pertaining to patent formulations, vendors, prices, costs, materials, processes, codes, material results, technology, system designs, system specifications, materials of construction, trade secrets and equipment designs, including information disclosed to the Company by other under agreements to hold such information confidential (collectively,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agrees to observe all Company policies and procedures concerning such Confidential Information. Executive further agrees not to disclose or use, either during her employment or at any time thereafter, any Confidential Information for any purpose, including without limitation any competitive purpose, unless authorized to do so by the Company in writing, except that she may disclose and use such information when necessary in the performance of her duties for the Company. Executive’s obligations under this Agreement will continue with respect to Confidential Information, whether or not her employment is terminated, until such information becomes generally available from public sources through no action of Executive. Notwithstanding the foregoing, however, Executive shall be permitted to disclose Confidential Information as may be required by a subpoena or other governmental order, provided that she first notifies promptly the Company of such subpoena, order or other requirement and allows the Company the opportunity to obtain a protective order or other appropriate remedy.</w:t>
      </w:r>
    </w:p>
    <w:p>
      <w:pPr>
        <w:spacing w:after="0" w:line="171" w:lineRule="exact"/>
        <w:rPr>
          <w:rFonts w:ascii="Arial" w:cs="Arial" w:eastAsia="Arial" w:hAnsi="Arial"/>
          <w:sz w:val="16"/>
          <w:szCs w:val="16"/>
          <w:color w:val="auto"/>
        </w:rPr>
      </w:pPr>
    </w:p>
    <w:p>
      <w:pPr>
        <w:jc w:val="both"/>
        <w:ind w:left="-20" w:firstLine="1305"/>
        <w:spacing w:after="0" w:line="255" w:lineRule="auto"/>
        <w:tabs>
          <w:tab w:leader="none" w:pos="218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During Executive’s employment, upon the Company’s request, or upon the termination of her employment for any reason, Executive will promptly deliver to the Company all documents, records, files, notebooks, manuals, letters, notes, reports, customer and supplier lists, cost and profit data, e-mail, apparatus, computers, cell phones, tablets, hardware, software, drawings, and any other material of the Company or any of its Affiliated Entities or clients, including all materials pertaining to Confidential Information developed by Executive or other, and all copies of such materials, whether of a technical, business or fiscal nature, whether on the hard drive of a laptop or desktop computer, in hard copy, disk or any other format, which are in Executive’s possession, custody or control.</w:t>
      </w:r>
    </w:p>
    <w:p>
      <w:pPr>
        <w:spacing w:after="0" w:line="193" w:lineRule="exact"/>
        <w:rPr>
          <w:rFonts w:ascii="Arial" w:cs="Arial" w:eastAsia="Arial" w:hAnsi="Arial"/>
          <w:sz w:val="18"/>
          <w:szCs w:val="18"/>
          <w:color w:val="auto"/>
        </w:rPr>
      </w:pPr>
    </w:p>
    <w:p>
      <w:pPr>
        <w:jc w:val="both"/>
        <w:ind w:left="-20" w:firstLine="1305"/>
        <w:spacing w:after="0" w:line="270" w:lineRule="auto"/>
        <w:tabs>
          <w:tab w:leader="none" w:pos="2139"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Executive will promptly disclose to the Company any idea, invention, discovery or improvement, whether patentable or not (“</w:t>
      </w:r>
      <w:r>
        <w:rPr>
          <w:rFonts w:ascii="Arial" w:cs="Arial" w:eastAsia="Arial" w:hAnsi="Arial"/>
          <w:sz w:val="17"/>
          <w:szCs w:val="17"/>
          <w:u w:val="single" w:color="auto"/>
          <w:color w:val="auto"/>
        </w:rPr>
        <w:t>Creations</w:t>
      </w:r>
      <w:r>
        <w:rPr>
          <w:rFonts w:ascii="Arial" w:cs="Arial" w:eastAsia="Arial" w:hAnsi="Arial"/>
          <w:sz w:val="17"/>
          <w:szCs w:val="17"/>
          <w:color w:val="auto"/>
        </w:rPr>
        <w:t>”), conceived or made by him alone or with other at any time during her employment. Executive agrees that the Company owns all such Creations, conceived or made by Executive alone or with other at any time during her employment, and Executive hereby assigns and agrees to assign to the Company all rights she has or may acquire their and agrees to execute any and all applications, assignments and other instruments relating thereto which the Company deems necessary or desirable. These obligations shall continue beyond the termination of her employment with respect to Creations and derivatives of such Creations conceived or made during her employment with the Company. Executive understands that the obligation to assign Creations to the Company shall not apply to any Creation which is developed entirely on her own time without using any of the Company’s equipment, supplies, facilities, and/or Confidential Information unless such Creation (a) relates in any way to the business or to the current or anticipated research or development of the Company or any of its Affiliated Entities; or (b) results in any way from her work at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8" w:name="page169"/>
    <w:bookmarkEnd w:id="168"/>
    <w:p>
      <w:pPr>
        <w:ind w:left="-8" w:firstLine="1305"/>
        <w:spacing w:after="0" w:line="308" w:lineRule="auto"/>
        <w:tabs>
          <w:tab w:leader="none" w:pos="2025" w:val="left"/>
        </w:tabs>
        <w:numPr>
          <w:ilvl w:val="2"/>
          <w:numId w:val="116"/>
        </w:numPr>
        <w:rPr>
          <w:rFonts w:ascii="Arial" w:cs="Arial" w:eastAsia="Arial" w:hAnsi="Arial"/>
          <w:sz w:val="17"/>
          <w:szCs w:val="17"/>
          <w:color w:val="auto"/>
        </w:rPr>
      </w:pPr>
      <w:r>
        <w:rPr>
          <w:rFonts w:ascii="Arial" w:cs="Arial" w:eastAsia="Arial" w:hAnsi="Arial"/>
          <w:sz w:val="17"/>
          <w:szCs w:val="17"/>
          <w:color w:val="auto"/>
        </w:rPr>
        <w:t>Executive will not assert any rights to any invention, discovery, idea or improvement relating to the business of the Company or any of its Affiliated Entities or to her duties hereunder as having been made or acquired by Executive prior to her work for the Company.</w:t>
      </w:r>
    </w:p>
    <w:p>
      <w:pPr>
        <w:spacing w:after="0" w:line="146" w:lineRule="exact"/>
        <w:rPr>
          <w:rFonts w:ascii="Arial" w:cs="Arial" w:eastAsia="Arial" w:hAnsi="Arial"/>
          <w:sz w:val="17"/>
          <w:szCs w:val="17"/>
          <w:color w:val="auto"/>
        </w:rPr>
      </w:pPr>
    </w:p>
    <w:p>
      <w:pPr>
        <w:jc w:val="both"/>
        <w:ind w:left="-8" w:firstLine="1305"/>
        <w:spacing w:after="0" w:line="259" w:lineRule="auto"/>
        <w:tabs>
          <w:tab w:leader="none" w:pos="2017" w:val="left"/>
        </w:tabs>
        <w:numPr>
          <w:ilvl w:val="2"/>
          <w:numId w:val="116"/>
        </w:numPr>
        <w:rPr>
          <w:rFonts w:ascii="Arial" w:cs="Arial" w:eastAsia="Arial" w:hAnsi="Arial"/>
          <w:sz w:val="18"/>
          <w:szCs w:val="18"/>
          <w:color w:val="auto"/>
        </w:rPr>
      </w:pPr>
      <w:r>
        <w:rPr>
          <w:rFonts w:ascii="Arial" w:cs="Arial" w:eastAsia="Arial" w:hAnsi="Arial"/>
          <w:sz w:val="18"/>
          <w:szCs w:val="18"/>
          <w:color w:val="auto"/>
        </w:rPr>
        <w:t>During the Term</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is hereby granted and shall have a non-exclusive, royalty-free, irrevocable, perpetual, worldwide license (with the right to grant and authorize sublicenses) to make, have made, modify, use, sell, offer to sell, import, reproduce, distribute, publish, prepare derivative works of, display, perform publicly and by means of digital audio transmission and otherwise exploit as part of or in connection with any product, process or machine created or incorporated by the Executive.</w:t>
      </w:r>
    </w:p>
    <w:p>
      <w:pPr>
        <w:spacing w:after="0" w:line="186" w:lineRule="exact"/>
        <w:rPr>
          <w:rFonts w:ascii="Arial" w:cs="Arial" w:eastAsia="Arial" w:hAnsi="Arial"/>
          <w:sz w:val="18"/>
          <w:szCs w:val="18"/>
          <w:color w:val="auto"/>
        </w:rPr>
      </w:pPr>
    </w:p>
    <w:p>
      <w:pPr>
        <w:jc w:val="both"/>
        <w:ind w:left="-8" w:firstLine="1305"/>
        <w:spacing w:after="0" w:line="290" w:lineRule="auto"/>
        <w:tabs>
          <w:tab w:leader="none" w:pos="2002" w:val="left"/>
        </w:tabs>
        <w:numPr>
          <w:ilvl w:val="2"/>
          <w:numId w:val="116"/>
        </w:numPr>
        <w:rPr>
          <w:rFonts w:ascii="Arial" w:cs="Arial" w:eastAsia="Arial" w:hAnsi="Arial"/>
          <w:sz w:val="16"/>
          <w:szCs w:val="16"/>
          <w:color w:val="auto"/>
        </w:rPr>
      </w:pPr>
      <w:r>
        <w:rPr>
          <w:rFonts w:ascii="Arial" w:cs="Arial" w:eastAsia="Arial" w:hAnsi="Arial"/>
          <w:sz w:val="16"/>
          <w:szCs w:val="16"/>
          <w:color w:val="auto"/>
        </w:rPr>
        <w:t>Executive agrees to cooperate fully with the Company, both during and after her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her agent and attorney-in-fact and Executive hereby irrevocably designates and appoints each officer of the Company as her agent and attorney-in-fact to execute any such papers on her behalf and to take any and all actions as the Company may deem necessary or desirable in order to protect its rights and interests in any Creations, under the conditions described in this paragraph.</w:t>
      </w:r>
    </w:p>
    <w:p>
      <w:pPr>
        <w:spacing w:after="0" w:line="166" w:lineRule="exact"/>
        <w:rPr>
          <w:rFonts w:ascii="Arial" w:cs="Arial" w:eastAsia="Arial" w:hAnsi="Arial"/>
          <w:sz w:val="16"/>
          <w:szCs w:val="16"/>
          <w:color w:val="auto"/>
        </w:rPr>
      </w:pPr>
    </w:p>
    <w:p>
      <w:pPr>
        <w:jc w:val="both"/>
        <w:ind w:left="-8" w:firstLine="656"/>
        <w:spacing w:after="0" w:line="271" w:lineRule="auto"/>
        <w:tabs>
          <w:tab w:leader="none" w:pos="1572"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Non-solicitation; non-competition</w:t>
      </w:r>
      <w:r>
        <w:rPr>
          <w:rFonts w:ascii="Arial" w:cs="Arial" w:eastAsia="Arial" w:hAnsi="Arial"/>
          <w:sz w:val="17"/>
          <w:szCs w:val="17"/>
          <w:color w:val="auto"/>
        </w:rPr>
        <w:t>. (a) Executive agrees that, during the Term and until nine (9) months after the termination of her employment, Executive will not, directly or indirectly, including on behalf of any person, firm or other entity, employ or actively solicit for employment any employee of the Company or any of its Affiliated Entities, or anyone who was an employee of the Company or any of its Affiliated Entities within the nine</w:t>
      </w:r>
    </w:p>
    <w:p>
      <w:pPr>
        <w:ind w:left="-8" w:right="20" w:firstLine="8"/>
        <w:spacing w:after="0" w:line="261" w:lineRule="auto"/>
        <w:tabs>
          <w:tab w:leader="none" w:pos="2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months prior to the termination of Executive’s employment, or induce any such employee to terminate her or her employment with the Company or any of its Affiliated Entities.</w:t>
      </w:r>
    </w:p>
    <w:p>
      <w:pPr>
        <w:spacing w:after="0" w:line="183" w:lineRule="exact"/>
        <w:rPr>
          <w:rFonts w:ascii="Arial" w:cs="Arial" w:eastAsia="Arial" w:hAnsi="Arial"/>
          <w:sz w:val="18"/>
          <w:szCs w:val="18"/>
          <w:color w:val="auto"/>
        </w:rPr>
      </w:pPr>
    </w:p>
    <w:p>
      <w:pPr>
        <w:jc w:val="both"/>
        <w:ind w:left="-8" w:firstLine="1305"/>
        <w:spacing w:after="0" w:line="255" w:lineRule="auto"/>
        <w:tabs>
          <w:tab w:leader="none" w:pos="2018" w:val="left"/>
        </w:tabs>
        <w:numPr>
          <w:ilvl w:val="2"/>
          <w:numId w:val="118"/>
        </w:numPr>
        <w:rPr>
          <w:rFonts w:ascii="Arial" w:cs="Arial" w:eastAsia="Arial" w:hAnsi="Arial"/>
          <w:sz w:val="18"/>
          <w:szCs w:val="18"/>
          <w:color w:val="auto"/>
        </w:rPr>
      </w:pPr>
      <w:r>
        <w:rPr>
          <w:rFonts w:ascii="Arial" w:cs="Arial" w:eastAsia="Arial" w:hAnsi="Arial"/>
          <w:sz w:val="18"/>
          <w:szCs w:val="18"/>
          <w:color w:val="auto"/>
        </w:rPr>
        <w:t>Executive further agrees that, during the Term and until nine (9) months after the termination of her employment, Executive will not, directly or indirectly, including on behalf of any person, firm or other entity, without the express written consent of an authorized representative of the Company, (i) perform services within the Territory (as defined below) for any Competing Business (as defined below), whether as an employee, consultant, agent, contractor or in any other capacity, (ii) hold office as an officer or director or like position in any Competing Business, or (iii) request any present or future customers or suppliers of the Company or any of its Affiliated Entities to curtail or cancel their business with the Company or any of its Affiliated Entities. These obligations will continue for the specified period regardless of whether the termination of Executive’s employment was voluntary or involuntary or with or without Cause or for any other reason.</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69" w:name="page170"/>
    <w:bookmarkEnd w:id="169"/>
    <w:p>
      <w:pPr>
        <w:jc w:val="both"/>
        <w:ind w:left="-20" w:firstLine="1305"/>
        <w:spacing w:after="0" w:line="259" w:lineRule="auto"/>
        <w:tabs>
          <w:tab w:leader="none" w:pos="192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Business</w:t>
      </w:r>
      <w:r>
        <w:rPr>
          <w:rFonts w:ascii="Arial" w:cs="Arial" w:eastAsia="Arial" w:hAnsi="Arial"/>
          <w:sz w:val="18"/>
          <w:szCs w:val="18"/>
          <w:color w:val="auto"/>
        </w:rPr>
        <w:t>” means any corporation, partnership or other entity or person (other than the Company) which is engaged (a) in the development, manufacture, marketing, distribution or sale of, or research directed to the development, manufacture, marketing, distribution or sale of competing anti-cancer drug candidates or products or (b) in any other business activity carried on or planned to be carried on by the Company or any of its Affiliates during the Term.</w:t>
      </w:r>
    </w:p>
    <w:p>
      <w:pPr>
        <w:spacing w:after="0" w:line="186" w:lineRule="exact"/>
        <w:rPr>
          <w:rFonts w:ascii="Arial" w:cs="Arial" w:eastAsia="Arial" w:hAnsi="Arial"/>
          <w:sz w:val="18"/>
          <w:szCs w:val="18"/>
          <w:color w:val="auto"/>
        </w:rPr>
      </w:pPr>
    </w:p>
    <w:p>
      <w:pPr>
        <w:ind w:left="-20" w:firstLine="1305"/>
        <w:spacing w:after="0" w:line="277" w:lineRule="auto"/>
        <w:tabs>
          <w:tab w:leader="none" w:pos="204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within any state or foreign jurisdiction in which the Company or any subsidiary of the Company is then providing services or products or marketing its services or products (or engaged in active discussions to provide such services).</w:t>
      </w:r>
    </w:p>
    <w:p>
      <w:pPr>
        <w:spacing w:after="0" w:line="170" w:lineRule="exact"/>
        <w:rPr>
          <w:rFonts w:ascii="Arial" w:cs="Arial" w:eastAsia="Arial" w:hAnsi="Arial"/>
          <w:sz w:val="18"/>
          <w:szCs w:val="18"/>
          <w:color w:val="auto"/>
        </w:rPr>
      </w:pPr>
    </w:p>
    <w:p>
      <w:pPr>
        <w:jc w:val="both"/>
        <w:ind w:left="-20" w:firstLine="1305"/>
        <w:spacing w:after="0" w:line="255" w:lineRule="auto"/>
        <w:tabs>
          <w:tab w:leader="none" w:pos="200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Executive agrees that in the event a court determines the length of time or the geographic area or activities prohibited under this Section 9 are too restrictive to be enforceable, the court shall reduce the scope of the restriction to the extent necessary to make the restriction enforceable. In furtherance and not in limitation of the foregoing, the Company and the Executive each intend that the covenants contained in this Section 9 shall be deemed to be a series of separate covenants, one for each and every state, territory or jurisdiction of the United States, the People’s Republic of China, and any foreign country set forth therein. If, in any judicial proceeding, a court shall refuse to enforce any of such separate covenants, then such unenforceable covenants shall be deemed eliminated from the provisions hereof for the purpose of such proceedings to the extent necessary to permit the remaining separate covenants to be enforced in such proceedings.</w:t>
      </w:r>
    </w:p>
    <w:p>
      <w:pPr>
        <w:spacing w:after="0" w:line="189" w:lineRule="exact"/>
        <w:rPr>
          <w:rFonts w:ascii="Arial" w:cs="Arial" w:eastAsia="Arial" w:hAnsi="Arial"/>
          <w:sz w:val="18"/>
          <w:szCs w:val="18"/>
          <w:color w:val="auto"/>
        </w:rPr>
      </w:pPr>
    </w:p>
    <w:p>
      <w:pPr>
        <w:jc w:val="both"/>
        <w:ind w:left="-20" w:firstLine="656"/>
        <w:spacing w:after="0" w:line="270" w:lineRule="auto"/>
        <w:tabs>
          <w:tab w:leader="none" w:pos="1411"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Representation and Warranty</w:t>
      </w:r>
      <w:r>
        <w:rPr>
          <w:rFonts w:ascii="Arial" w:cs="Arial" w:eastAsia="Arial" w:hAnsi="Arial"/>
          <w:sz w:val="17"/>
          <w:szCs w:val="17"/>
          <w:color w:val="auto"/>
        </w:rPr>
        <w:t>. The Executive hereby acknowledges and represents that she has had the opportunity to consult with legal counsel regarding her rights and obligations under this Agreement and that she fully understands the terms and conditions contained herein. Executive represents and warrants that Executive has provided the Company a true and correct copy of any agreements that purport: (a) to limit Executive’s right to be employed by the Company; (b) to prohibit Executive from engaging in any activities on behalf of the Company; or (c) to restrict Executive’s right to use or disclose any information while employed by the Company. Executive further represents and warrants that Executive will not use on the Company’s behalf any information, materials, data or documents belonging to a third party that are not generally available to the public, unless Executive has obtained written authorization to do so from the third party and provided such authorization to the Company. In the course of Executive’s employment with the Company, Executive is not to breach any obligation of confidentiality that Executive has with third parties, and Executive agrees to fulfill all such obligations during Executive’s employment with the Company. Executive further agrees not to disclose to the Company or use while working for the Company any trade secrets belonging to a third party.</w:t>
      </w:r>
    </w:p>
    <w:p>
      <w:pPr>
        <w:spacing w:after="0" w:line="177" w:lineRule="exact"/>
        <w:rPr>
          <w:rFonts w:ascii="Arial" w:cs="Arial" w:eastAsia="Arial" w:hAnsi="Arial"/>
          <w:sz w:val="17"/>
          <w:szCs w:val="17"/>
          <w:color w:val="auto"/>
        </w:rPr>
      </w:pPr>
    </w:p>
    <w:p>
      <w:pPr>
        <w:jc w:val="both"/>
        <w:ind w:left="-20" w:firstLine="656"/>
        <w:spacing w:after="0" w:line="297" w:lineRule="auto"/>
        <w:tabs>
          <w:tab w:leader="none" w:pos="1351"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Without limiting the remedies available to the Company, Executive acknowledges that a breach of any of the covenants contained in Sections 7(c) and 9 above may result in material irreparable injury to the Company for which there is no adequate remedy at law, that it will not be possible to measure precisely damages for such injuries and that, in the event of such a breach or threat thereof, the Company shall be entitled, without the requirement to post bond or other security, to obtain a temporary restraining order and/or injunction restraining Executive from engaging in activities prohibited by this Agreement or such other relief as may be required to specifically enforce any of the covenants in Sections 7(c) and 9 of this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0" w:name="page171"/>
    <w:bookmarkEnd w:id="170"/>
    <w:p>
      <w:pPr>
        <w:ind w:left="-20" w:firstLine="656"/>
        <w:spacing w:after="0" w:line="277" w:lineRule="auto"/>
        <w:tabs>
          <w:tab w:leader="none" w:pos="139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permitted to be given to the Parties shall be deemed to have been given if either personally delivered, or if sent for next-day delivery by nationally recognized overnight courier, and addressed as follows:</w:t>
      </w:r>
    </w:p>
    <w:p>
      <w:pPr>
        <w:spacing w:after="0" w:line="170" w:lineRule="exact"/>
        <w:rPr>
          <w:rFonts w:ascii="Arial" w:cs="Arial" w:eastAsia="Arial" w:hAnsi="Arial"/>
          <w:sz w:val="18"/>
          <w:szCs w:val="18"/>
          <w:color w:val="auto"/>
        </w:rPr>
      </w:pPr>
    </w:p>
    <w:p>
      <w:pPr>
        <w:ind w:left="1940" w:hanging="655"/>
        <w:spacing w:after="0"/>
        <w:tabs>
          <w:tab w:leader="none" w:pos="19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to Executive,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2nd Floor, Building 18, Shanghai Pudong Software Park,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498 Guoshoujin Road, Pudong, Shanghai 201203</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ind w:left="1940" w:hanging="655"/>
        <w:spacing w:after="0"/>
        <w:tabs>
          <w:tab w:leader="none" w:pos="19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2nd Floor, Building 18, Shanghai Pudong Software Park,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498 Guoshoujin Road, Pudong, Shanghai 201203</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ind w:left="-20" w:right="20" w:firstLine="656"/>
        <w:spacing w:after="0" w:line="277" w:lineRule="auto"/>
        <w:tabs>
          <w:tab w:leader="none" w:pos="133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declared void or unenforceable by a court of competent jurisdiction, all other provisions shall nonetheless remain in full force and effect.</w:t>
      </w:r>
    </w:p>
    <w:p>
      <w:pPr>
        <w:spacing w:after="0" w:line="170" w:lineRule="exact"/>
        <w:rPr>
          <w:rFonts w:ascii="Arial" w:cs="Arial" w:eastAsia="Arial" w:hAnsi="Arial"/>
          <w:sz w:val="18"/>
          <w:szCs w:val="18"/>
          <w:color w:val="auto"/>
        </w:rPr>
      </w:pPr>
    </w:p>
    <w:p>
      <w:pPr>
        <w:ind w:left="-20" w:firstLine="656"/>
        <w:spacing w:after="0" w:line="277" w:lineRule="auto"/>
        <w:tabs>
          <w:tab w:leader="none" w:pos="129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payment that it is required to make under this Agreement amounts sufficient to satisfy applicable withholding requirements under any federal, state or local law.</w:t>
      </w:r>
    </w:p>
    <w:p>
      <w:pPr>
        <w:spacing w:after="0" w:line="170" w:lineRule="exact"/>
        <w:rPr>
          <w:rFonts w:ascii="Arial" w:cs="Arial" w:eastAsia="Arial" w:hAnsi="Arial"/>
          <w:sz w:val="18"/>
          <w:szCs w:val="18"/>
          <w:color w:val="auto"/>
        </w:rPr>
      </w:pPr>
    </w:p>
    <w:p>
      <w:pPr>
        <w:ind w:left="-20" w:right="20" w:firstLine="656"/>
        <w:spacing w:after="0" w:line="277" w:lineRule="auto"/>
        <w:tabs>
          <w:tab w:leader="none" w:pos="134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that Executive will be covered by any “directors and officers” insurance policies then in effect with respect to Executive’s acts as an officer.</w:t>
      </w:r>
    </w:p>
    <w:p>
      <w:pPr>
        <w:spacing w:after="0" w:line="170" w:lineRule="exact"/>
        <w:rPr>
          <w:rFonts w:ascii="Arial" w:cs="Arial" w:eastAsia="Arial" w:hAnsi="Arial"/>
          <w:sz w:val="18"/>
          <w:szCs w:val="18"/>
          <w:color w:val="auto"/>
        </w:rPr>
      </w:pPr>
    </w:p>
    <w:p>
      <w:pPr>
        <w:ind w:left="-20" w:firstLine="656"/>
        <w:spacing w:after="0" w:line="277" w:lineRule="auto"/>
        <w:tabs>
          <w:tab w:leader="none" w:pos="139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Hong Kong, without regard to the conflict of laws provisions thereof.</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151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a breach of any provision of this Agreement shall not be or be construed as a waiver of any subsequent breach. The failure of a Party to insist upon strict adherence to any provision of this Agreement on one or more occasions shall not be considered a waiver or deprive that Party of the right thereafter to insist upon strict adherence to that provision or any other provision of this Agreement. Any such waiver must be in writing, signed by the Party against whom such waiver is to be enforced.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1" w:name="page172"/>
    <w:bookmarkEnd w:id="171"/>
    <w:p>
      <w:pPr>
        <w:jc w:val="both"/>
        <w:ind w:left="-20" w:firstLine="656"/>
        <w:spacing w:after="0" w:line="302" w:lineRule="auto"/>
        <w:tabs>
          <w:tab w:leader="none" w:pos="1344"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a personal contract and Executive may not sell, transfer, assign, pledge or hypothecate her rights, interests and obligations hereunder. Except as otherwise herein expressly provided, this Agreement shall be binding upon and shall inure to the benefit of Executive and her personal representatives and shall inure to the benefit of and be binding upon the Company and its successors and assigns, including without limitation, any corporation or other entity into which the Company is merged or which acquires all or substantially all of the assets of the Company.</w:t>
      </w:r>
    </w:p>
    <w:p>
      <w:pPr>
        <w:spacing w:after="0" w:line="154" w:lineRule="exact"/>
        <w:rPr>
          <w:rFonts w:ascii="Arial" w:cs="Arial" w:eastAsia="Arial" w:hAnsi="Arial"/>
          <w:sz w:val="16"/>
          <w:szCs w:val="16"/>
          <w:color w:val="auto"/>
        </w:rPr>
      </w:pPr>
    </w:p>
    <w:p>
      <w:pPr>
        <w:jc w:val="both"/>
        <w:ind w:left="-20" w:firstLine="656"/>
        <w:spacing w:after="0" w:line="279" w:lineRule="auto"/>
        <w:tabs>
          <w:tab w:leader="none" w:pos="133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embodies all of the representations, warranties, covenants, understandings and agreements between the Parties relating to Executive’s employment with the Company. No other representations, warranties, covenants, understandings, or agreements exist between the Parties relating to Executive’s employment. This Agreement shall supersede all prior agreements, written or oral, relating to Executive’s employment. This Agreement may not be amended or modified except by a writing signed by the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2" w:name="page173"/>
    <w:bookmarkEnd w:id="172"/>
    <w:p>
      <w:pPr>
        <w:ind w:left="660"/>
        <w:spacing w:after="0"/>
        <w:rPr>
          <w:sz w:val="20"/>
          <w:szCs w:val="20"/>
          <w:color w:val="auto"/>
        </w:rPr>
      </w:pPr>
      <w:r>
        <w:rPr>
          <w:rFonts w:ascii="Arial" w:cs="Arial" w:eastAsia="Arial" w:hAnsi="Arial"/>
          <w:sz w:val="16"/>
          <w:szCs w:val="16"/>
          <w:color w:val="auto"/>
        </w:rPr>
        <w:t>IN WITNESS WHEREOF, the Parties have caused this Agreement to be duly executed and delivered on the date first written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Raymond Ming Hui Lin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Tian van 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2017</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ANZ CONTRACT NUMBER: 2014C217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566420</wp:posOffset>
            </wp:positionV>
            <wp:extent cx="3293110" cy="1029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9311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SERVICE AGREEMENT</w:t>
      </w:r>
    </w:p>
    <w:p>
      <w:pPr>
        <w:spacing w:after="0" w:line="283" w:lineRule="exact"/>
        <w:rPr>
          <w:sz w:val="20"/>
          <w:szCs w:val="20"/>
          <w:color w:val="auto"/>
        </w:rPr>
      </w:pPr>
    </w:p>
    <w:p>
      <w:pPr>
        <w:ind w:left="2840"/>
        <w:spacing w:after="0"/>
        <w:rPr>
          <w:sz w:val="20"/>
          <w:szCs w:val="20"/>
          <w:color w:val="auto"/>
        </w:rPr>
      </w:pPr>
      <w:r>
        <w:rPr>
          <w:rFonts w:ascii="Arial" w:cs="Arial" w:eastAsia="Arial" w:hAnsi="Arial"/>
          <w:sz w:val="12"/>
          <w:szCs w:val="12"/>
          <w:b w:val="1"/>
          <w:bCs w:val="1"/>
          <w:color w:val="auto"/>
        </w:rPr>
        <w:t>FOR THE PROVISION OF CONTRACTING SERVICES TO</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ANZ GLOBAL SERVICES AND OPERATIONS</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(CHENGDU)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1120775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586740</wp:posOffset>
            </wp:positionV>
            <wp:extent cx="1115060" cy="3771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540" w:type="dxa"/>
            <w:vAlign w:val="bottom"/>
          </w:tcPr>
          <w:p>
            <w:pPr>
              <w:ind w:left="418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INTERPRETATION</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1.1</w:t>
            </w:r>
          </w:p>
        </w:tc>
        <w:tc>
          <w:tcPr>
            <w:tcW w:w="854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1.3</w:t>
            </w:r>
          </w:p>
        </w:tc>
        <w:tc>
          <w:tcPr>
            <w:tcW w:w="8540" w:type="dxa"/>
            <w:vAlign w:val="bottom"/>
          </w:tcPr>
          <w:p>
            <w:pPr>
              <w:ind w:left="340"/>
              <w:spacing w:after="0"/>
              <w:rPr>
                <w:sz w:val="20"/>
                <w:szCs w:val="20"/>
                <w:color w:val="auto"/>
              </w:rPr>
            </w:pPr>
            <w:r>
              <w:rPr>
                <w:rFonts w:ascii="Arial" w:cs="Arial" w:eastAsia="Arial" w:hAnsi="Arial"/>
                <w:sz w:val="18"/>
                <w:szCs w:val="18"/>
                <w:color w:val="auto"/>
              </w:rPr>
              <w:t>Business Day</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Consents and approvals</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2.</w:t>
            </w:r>
          </w:p>
        </w:tc>
        <w:tc>
          <w:tcPr>
            <w:tcW w:w="8540" w:type="dxa"/>
            <w:vAlign w:val="bottom"/>
          </w:tcPr>
          <w:p>
            <w:pPr>
              <w:ind w:left="340"/>
              <w:spacing w:after="0"/>
              <w:rPr>
                <w:sz w:val="20"/>
                <w:szCs w:val="20"/>
                <w:color w:val="auto"/>
              </w:rPr>
            </w:pPr>
            <w:r>
              <w:rPr>
                <w:rFonts w:ascii="Arial" w:cs="Arial" w:eastAsia="Arial" w:hAnsi="Arial"/>
                <w:sz w:val="18"/>
                <w:szCs w:val="18"/>
                <w:b w:val="1"/>
                <w:bCs w:val="1"/>
                <w:color w:val="auto"/>
              </w:rPr>
              <w:t>TERM AND TERMINATION</w:t>
            </w:r>
          </w:p>
        </w:tc>
        <w:tc>
          <w:tcPr>
            <w:tcW w:w="23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2.2</w:t>
            </w:r>
          </w:p>
        </w:tc>
        <w:tc>
          <w:tcPr>
            <w:tcW w:w="8540" w:type="dxa"/>
            <w:vAlign w:val="bottom"/>
          </w:tcPr>
          <w:p>
            <w:pPr>
              <w:ind w:left="340"/>
              <w:spacing w:after="0"/>
              <w:rPr>
                <w:sz w:val="20"/>
                <w:szCs w:val="20"/>
                <w:color w:val="auto"/>
              </w:rPr>
            </w:pPr>
            <w:r>
              <w:rPr>
                <w:rFonts w:ascii="Arial" w:cs="Arial" w:eastAsia="Arial" w:hAnsi="Arial"/>
                <w:sz w:val="18"/>
                <w:szCs w:val="18"/>
                <w:color w:val="auto"/>
              </w:rPr>
              <w:t>Termination by ANZ for cause</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Termination by the Service Provider for cause</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2.4</w:t>
            </w:r>
          </w:p>
        </w:tc>
        <w:tc>
          <w:tcPr>
            <w:tcW w:w="8540" w:type="dxa"/>
            <w:vAlign w:val="bottom"/>
          </w:tcPr>
          <w:p>
            <w:pPr>
              <w:ind w:left="340"/>
              <w:spacing w:after="0"/>
              <w:rPr>
                <w:sz w:val="20"/>
                <w:szCs w:val="20"/>
                <w:color w:val="auto"/>
              </w:rPr>
            </w:pPr>
            <w:r>
              <w:rPr>
                <w:rFonts w:ascii="Arial" w:cs="Arial" w:eastAsia="Arial" w:hAnsi="Arial"/>
                <w:sz w:val="18"/>
                <w:szCs w:val="18"/>
                <w:color w:val="auto"/>
              </w:rPr>
              <w:t>Consequences of termination</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APPOINTMENT</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b w:val="1"/>
                <w:bCs w:val="1"/>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3.1</w:t>
            </w:r>
          </w:p>
        </w:tc>
        <w:tc>
          <w:tcPr>
            <w:tcW w:w="8540" w:type="dxa"/>
            <w:vAlign w:val="bottom"/>
          </w:tcPr>
          <w:p>
            <w:pPr>
              <w:ind w:left="340"/>
              <w:spacing w:after="0"/>
              <w:rPr>
                <w:sz w:val="20"/>
                <w:szCs w:val="20"/>
                <w:color w:val="auto"/>
              </w:rPr>
            </w:pPr>
            <w:r>
              <w:rPr>
                <w:rFonts w:ascii="Arial" w:cs="Arial" w:eastAsia="Arial" w:hAnsi="Arial"/>
                <w:sz w:val="18"/>
                <w:szCs w:val="18"/>
                <w:color w:val="auto"/>
              </w:rPr>
              <w:t>Independent Contractor</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 employment relationship</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4.</w:t>
            </w:r>
          </w:p>
        </w:tc>
        <w:tc>
          <w:tcPr>
            <w:tcW w:w="8540" w:type="dxa"/>
            <w:vAlign w:val="bottom"/>
          </w:tcPr>
          <w:p>
            <w:pPr>
              <w:ind w:left="340"/>
              <w:spacing w:after="0"/>
              <w:rPr>
                <w:sz w:val="20"/>
                <w:szCs w:val="20"/>
                <w:color w:val="auto"/>
              </w:rPr>
            </w:pPr>
            <w:r>
              <w:rPr>
                <w:rFonts w:ascii="Arial" w:cs="Arial" w:eastAsia="Arial" w:hAnsi="Arial"/>
                <w:sz w:val="18"/>
                <w:szCs w:val="18"/>
                <w:b w:val="1"/>
                <w:bCs w:val="1"/>
                <w:color w:val="auto"/>
              </w:rPr>
              <w:t>PROVISION OF SERVICES</w:t>
            </w:r>
          </w:p>
        </w:tc>
        <w:tc>
          <w:tcPr>
            <w:tcW w:w="230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Commencement of Services</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4.2</w:t>
            </w:r>
          </w:p>
        </w:tc>
        <w:tc>
          <w:tcPr>
            <w:tcW w:w="8540" w:type="dxa"/>
            <w:vAlign w:val="bottom"/>
          </w:tcPr>
          <w:p>
            <w:pPr>
              <w:ind w:left="340"/>
              <w:spacing w:after="0"/>
              <w:rPr>
                <w:sz w:val="20"/>
                <w:szCs w:val="20"/>
                <w:color w:val="auto"/>
              </w:rPr>
            </w:pPr>
            <w:r>
              <w:rPr>
                <w:rFonts w:ascii="Arial" w:cs="Arial" w:eastAsia="Arial" w:hAnsi="Arial"/>
                <w:sz w:val="18"/>
                <w:szCs w:val="18"/>
                <w:color w:val="auto"/>
              </w:rPr>
              <w:t>Performance</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GENERAL RESPONSIBILITIES AND OBLIGATIONS OF SERVICE PROVIDER</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b w:val="1"/>
                <w:bCs w:val="1"/>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5.1</w:t>
            </w:r>
          </w:p>
        </w:tc>
        <w:tc>
          <w:tcPr>
            <w:tcW w:w="8540" w:type="dxa"/>
            <w:vAlign w:val="bottom"/>
          </w:tcPr>
          <w:p>
            <w:pPr>
              <w:ind w:left="340"/>
              <w:spacing w:after="0"/>
              <w:rPr>
                <w:sz w:val="20"/>
                <w:szCs w:val="20"/>
                <w:color w:val="auto"/>
              </w:rPr>
            </w:pPr>
            <w:r>
              <w:rPr>
                <w:rFonts w:ascii="Arial" w:cs="Arial" w:eastAsia="Arial" w:hAnsi="Arial"/>
                <w:sz w:val="18"/>
                <w:szCs w:val="18"/>
                <w:color w:val="auto"/>
              </w:rPr>
              <w:t>General obligations</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Compliance with Laws</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5.3</w:t>
            </w:r>
          </w:p>
        </w:tc>
        <w:tc>
          <w:tcPr>
            <w:tcW w:w="8540" w:type="dxa"/>
            <w:vAlign w:val="bottom"/>
          </w:tcPr>
          <w:p>
            <w:pPr>
              <w:ind w:left="340"/>
              <w:spacing w:after="0"/>
              <w:rPr>
                <w:sz w:val="20"/>
                <w:szCs w:val="20"/>
                <w:color w:val="auto"/>
              </w:rPr>
            </w:pPr>
            <w:r>
              <w:rPr>
                <w:rFonts w:ascii="Arial" w:cs="Arial" w:eastAsia="Arial" w:hAnsi="Arial"/>
                <w:sz w:val="18"/>
                <w:szCs w:val="18"/>
                <w:color w:val="auto"/>
              </w:rPr>
              <w:t>Engagement and Withdrawal of Personnel</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Conflicts of interest</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5.5</w:t>
            </w:r>
          </w:p>
        </w:tc>
        <w:tc>
          <w:tcPr>
            <w:tcW w:w="8540" w:type="dxa"/>
            <w:vAlign w:val="bottom"/>
          </w:tcPr>
          <w:p>
            <w:pPr>
              <w:ind w:left="340"/>
              <w:spacing w:after="0"/>
              <w:rPr>
                <w:sz w:val="20"/>
                <w:szCs w:val="20"/>
                <w:color w:val="auto"/>
              </w:rPr>
            </w:pPr>
            <w:r>
              <w:rPr>
                <w:rFonts w:ascii="Arial" w:cs="Arial" w:eastAsia="Arial" w:hAnsi="Arial"/>
                <w:sz w:val="18"/>
                <w:szCs w:val="18"/>
                <w:color w:val="auto"/>
              </w:rPr>
              <w:t>Contractors</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in respect of Personnel</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5.7</w:t>
            </w:r>
          </w:p>
        </w:tc>
        <w:tc>
          <w:tcPr>
            <w:tcW w:w="8540" w:type="dxa"/>
            <w:vAlign w:val="bottom"/>
          </w:tcPr>
          <w:p>
            <w:pPr>
              <w:ind w:left="340"/>
              <w:spacing w:after="0"/>
              <w:rPr>
                <w:sz w:val="20"/>
                <w:szCs w:val="20"/>
                <w:color w:val="auto"/>
              </w:rPr>
            </w:pPr>
            <w:r>
              <w:rPr>
                <w:rFonts w:ascii="Arial" w:cs="Arial" w:eastAsia="Arial" w:hAnsi="Arial"/>
                <w:sz w:val="18"/>
                <w:szCs w:val="18"/>
                <w:color w:val="auto"/>
              </w:rPr>
              <w:t>Management of Personnel</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Provider to Protect ANZ Property</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5.9</w:t>
            </w:r>
          </w:p>
        </w:tc>
        <w:tc>
          <w:tcPr>
            <w:tcW w:w="8540" w:type="dxa"/>
            <w:vAlign w:val="bottom"/>
          </w:tcPr>
          <w:p>
            <w:pPr>
              <w:ind w:left="340"/>
              <w:spacing w:after="0"/>
              <w:rPr>
                <w:sz w:val="20"/>
                <w:szCs w:val="20"/>
                <w:color w:val="auto"/>
              </w:rPr>
            </w:pPr>
            <w:r>
              <w:rPr>
                <w:rFonts w:ascii="Arial" w:cs="Arial" w:eastAsia="Arial" w:hAnsi="Arial"/>
                <w:sz w:val="18"/>
                <w:szCs w:val="18"/>
                <w:color w:val="auto"/>
              </w:rPr>
              <w:t>ANZ Electronic Processes</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6.</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SUBCONTRACTORS</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b w:val="1"/>
                <w:bCs w:val="1"/>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6.1</w:t>
            </w:r>
          </w:p>
        </w:tc>
        <w:tc>
          <w:tcPr>
            <w:tcW w:w="8540" w:type="dxa"/>
            <w:vAlign w:val="bottom"/>
          </w:tcPr>
          <w:p>
            <w:pPr>
              <w:ind w:left="340"/>
              <w:spacing w:after="0"/>
              <w:rPr>
                <w:sz w:val="20"/>
                <w:szCs w:val="20"/>
                <w:color w:val="auto"/>
              </w:rPr>
            </w:pPr>
            <w:r>
              <w:rPr>
                <w:rFonts w:ascii="Arial" w:cs="Arial" w:eastAsia="Arial" w:hAnsi="Arial"/>
                <w:sz w:val="18"/>
                <w:szCs w:val="18"/>
                <w:color w:val="auto"/>
              </w:rPr>
              <w:t>No subcontracting without consent</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in relation to subcontractors</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7.</w:t>
            </w:r>
          </w:p>
        </w:tc>
        <w:tc>
          <w:tcPr>
            <w:tcW w:w="8540" w:type="dxa"/>
            <w:vAlign w:val="bottom"/>
          </w:tcPr>
          <w:p>
            <w:pPr>
              <w:ind w:left="340"/>
              <w:spacing w:after="0"/>
              <w:rPr>
                <w:sz w:val="20"/>
                <w:szCs w:val="20"/>
                <w:color w:val="auto"/>
              </w:rPr>
            </w:pPr>
            <w:r>
              <w:rPr>
                <w:rFonts w:ascii="Arial" w:cs="Arial" w:eastAsia="Arial" w:hAnsi="Arial"/>
                <w:sz w:val="18"/>
                <w:szCs w:val="18"/>
                <w:b w:val="1"/>
                <w:bCs w:val="1"/>
                <w:color w:val="auto"/>
              </w:rPr>
              <w:t>FEES, INVOICING AND PAYMENT</w:t>
            </w:r>
          </w:p>
        </w:tc>
        <w:tc>
          <w:tcPr>
            <w:tcW w:w="230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8.</w:t>
            </w:r>
          </w:p>
        </w:tc>
        <w:tc>
          <w:tcPr>
            <w:tcW w:w="8540" w:type="dxa"/>
            <w:vAlign w:val="bottom"/>
          </w:tcPr>
          <w:p>
            <w:pPr>
              <w:ind w:left="340"/>
              <w:spacing w:after="0"/>
              <w:rPr>
                <w:sz w:val="20"/>
                <w:szCs w:val="20"/>
                <w:color w:val="auto"/>
              </w:rPr>
            </w:pPr>
            <w:r>
              <w:rPr>
                <w:rFonts w:ascii="Arial" w:cs="Arial" w:eastAsia="Arial" w:hAnsi="Arial"/>
                <w:sz w:val="18"/>
                <w:szCs w:val="18"/>
                <w:b w:val="1"/>
                <w:bCs w:val="1"/>
                <w:color w:val="auto"/>
              </w:rPr>
              <w:t>CONFIDENTIALITY</w:t>
            </w:r>
          </w:p>
        </w:tc>
        <w:tc>
          <w:tcPr>
            <w:tcW w:w="230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Ownership of Confidential Information</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8.2</w:t>
            </w:r>
          </w:p>
        </w:tc>
        <w:tc>
          <w:tcPr>
            <w:tcW w:w="8540" w:type="dxa"/>
            <w:vAlign w:val="bottom"/>
          </w:tcPr>
          <w:p>
            <w:pPr>
              <w:ind w:left="340"/>
              <w:spacing w:after="0"/>
              <w:rPr>
                <w:sz w:val="20"/>
                <w:szCs w:val="20"/>
                <w:color w:val="auto"/>
              </w:rPr>
            </w:pPr>
            <w:r>
              <w:rPr>
                <w:rFonts w:ascii="Arial" w:cs="Arial" w:eastAsia="Arial" w:hAnsi="Arial"/>
                <w:sz w:val="18"/>
                <w:szCs w:val="18"/>
                <w:color w:val="auto"/>
              </w:rPr>
              <w:t>Protection of Confidential Information</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8.3</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Authorised use of Confidential Information</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8.4</w:t>
            </w:r>
          </w:p>
        </w:tc>
        <w:tc>
          <w:tcPr>
            <w:tcW w:w="8540" w:type="dxa"/>
            <w:vAlign w:val="bottom"/>
          </w:tcPr>
          <w:p>
            <w:pPr>
              <w:ind w:left="340"/>
              <w:spacing w:after="0"/>
              <w:rPr>
                <w:sz w:val="20"/>
                <w:szCs w:val="20"/>
                <w:color w:val="auto"/>
              </w:rPr>
            </w:pPr>
            <w:r>
              <w:rPr>
                <w:rFonts w:ascii="Arial" w:cs="Arial" w:eastAsia="Arial" w:hAnsi="Arial"/>
                <w:sz w:val="18"/>
                <w:szCs w:val="18"/>
                <w:color w:val="auto"/>
              </w:rPr>
              <w:t>Authorised disclosure of Confidential Information</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8.5</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Insider trading</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8.6</w:t>
            </w:r>
          </w:p>
        </w:tc>
        <w:tc>
          <w:tcPr>
            <w:tcW w:w="8540" w:type="dxa"/>
            <w:vAlign w:val="bottom"/>
          </w:tcPr>
          <w:p>
            <w:pPr>
              <w:ind w:left="340"/>
              <w:spacing w:after="0"/>
              <w:rPr>
                <w:sz w:val="20"/>
                <w:szCs w:val="20"/>
                <w:color w:val="auto"/>
              </w:rPr>
            </w:pPr>
            <w:r>
              <w:rPr>
                <w:rFonts w:ascii="Arial" w:cs="Arial" w:eastAsia="Arial" w:hAnsi="Arial"/>
                <w:sz w:val="18"/>
                <w:szCs w:val="18"/>
                <w:color w:val="auto"/>
              </w:rPr>
              <w:t>Reasonable precautions to maintain confidentiality</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8.7</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of Confidential Information</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8.8</w:t>
            </w:r>
          </w:p>
        </w:tc>
        <w:tc>
          <w:tcPr>
            <w:tcW w:w="8540" w:type="dxa"/>
            <w:vAlign w:val="bottom"/>
          </w:tcPr>
          <w:p>
            <w:pPr>
              <w:ind w:left="340"/>
              <w:spacing w:after="0"/>
              <w:rPr>
                <w:sz w:val="20"/>
                <w:szCs w:val="20"/>
                <w:color w:val="auto"/>
              </w:rPr>
            </w:pPr>
            <w:r>
              <w:rPr>
                <w:rFonts w:ascii="Arial" w:cs="Arial" w:eastAsia="Arial" w:hAnsi="Arial"/>
                <w:sz w:val="18"/>
                <w:szCs w:val="18"/>
                <w:color w:val="auto"/>
              </w:rPr>
              <w:t>Retention of Confidential Information</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8.9</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Unauthorised Disclosure or Use of Confidential Information</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9.</w:t>
            </w:r>
          </w:p>
        </w:tc>
        <w:tc>
          <w:tcPr>
            <w:tcW w:w="8540" w:type="dxa"/>
            <w:vAlign w:val="bottom"/>
          </w:tcPr>
          <w:p>
            <w:pPr>
              <w:ind w:left="340"/>
              <w:spacing w:after="0"/>
              <w:rPr>
                <w:sz w:val="20"/>
                <w:szCs w:val="20"/>
                <w:color w:val="auto"/>
              </w:rPr>
            </w:pPr>
            <w:r>
              <w:rPr>
                <w:rFonts w:ascii="Arial" w:cs="Arial" w:eastAsia="Arial" w:hAnsi="Arial"/>
                <w:sz w:val="18"/>
                <w:szCs w:val="18"/>
                <w:b w:val="1"/>
                <w:bCs w:val="1"/>
                <w:color w:val="auto"/>
              </w:rPr>
              <w:t>DATA PROTECTION</w:t>
            </w:r>
          </w:p>
        </w:tc>
        <w:tc>
          <w:tcPr>
            <w:tcW w:w="230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Compliance with Data Protection Legislation and Laws</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9.2</w:t>
            </w:r>
          </w:p>
        </w:tc>
        <w:tc>
          <w:tcPr>
            <w:tcW w:w="8540" w:type="dxa"/>
            <w:vAlign w:val="bottom"/>
          </w:tcPr>
          <w:p>
            <w:pPr>
              <w:ind w:left="340"/>
              <w:spacing w:after="0"/>
              <w:rPr>
                <w:sz w:val="20"/>
                <w:szCs w:val="20"/>
                <w:color w:val="auto"/>
              </w:rPr>
            </w:pPr>
            <w:r>
              <w:rPr>
                <w:rFonts w:ascii="Arial" w:cs="Arial" w:eastAsia="Arial" w:hAnsi="Arial"/>
                <w:sz w:val="18"/>
                <w:szCs w:val="18"/>
                <w:color w:val="auto"/>
              </w:rPr>
              <w:t>Service Provider’s Warranties and Undertakings</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9.3</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Indemnity</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9.4</w:t>
            </w:r>
          </w:p>
        </w:tc>
        <w:tc>
          <w:tcPr>
            <w:tcW w:w="8540" w:type="dxa"/>
            <w:vAlign w:val="bottom"/>
          </w:tcPr>
          <w:p>
            <w:pPr>
              <w:ind w:left="340"/>
              <w:spacing w:after="0"/>
              <w:rPr>
                <w:sz w:val="20"/>
                <w:szCs w:val="20"/>
                <w:color w:val="auto"/>
              </w:rPr>
            </w:pPr>
            <w:r>
              <w:rPr>
                <w:rFonts w:ascii="Arial" w:cs="Arial" w:eastAsia="Arial" w:hAnsi="Arial"/>
                <w:sz w:val="18"/>
                <w:szCs w:val="18"/>
                <w:color w:val="auto"/>
              </w:rPr>
              <w:t>Service Provider’s obligation to protect Personal Data</w:t>
            </w:r>
          </w:p>
        </w:tc>
        <w:tc>
          <w:tcPr>
            <w:tcW w:w="2300" w:type="dxa"/>
            <w:vAlign w:val="bottom"/>
          </w:tcPr>
          <w:p>
            <w:pPr>
              <w:jc w:val="center"/>
              <w:ind w:left="119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Incident notification</w:t>
            </w:r>
          </w:p>
        </w:tc>
        <w:tc>
          <w:tcPr>
            <w:tcW w:w="23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540" w:type="dxa"/>
            <w:vAlign w:val="bottom"/>
          </w:tcPr>
          <w:p>
            <w:pPr>
              <w:ind w:left="340"/>
              <w:spacing w:after="0"/>
              <w:rPr>
                <w:sz w:val="20"/>
                <w:szCs w:val="20"/>
                <w:color w:val="auto"/>
              </w:rPr>
            </w:pPr>
            <w:r>
              <w:rPr>
                <w:rFonts w:ascii="Arial" w:cs="Arial" w:eastAsia="Arial" w:hAnsi="Arial"/>
                <w:sz w:val="18"/>
                <w:szCs w:val="18"/>
                <w:b w:val="1"/>
                <w:bCs w:val="1"/>
                <w:color w:val="auto"/>
              </w:rPr>
              <w:t>PUBLICITY</w:t>
            </w:r>
          </w:p>
        </w:tc>
        <w:tc>
          <w:tcPr>
            <w:tcW w:w="230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18</w:t>
            </w:r>
          </w:p>
        </w:tc>
        <w:tc>
          <w:tcPr>
            <w:tcW w:w="0" w:type="dxa"/>
            <w:vAlign w:val="bottom"/>
          </w:tcPr>
          <w:p>
            <w:pPr>
              <w:spacing w:after="0"/>
              <w:rPr>
                <w:sz w:val="1"/>
                <w:szCs w:val="1"/>
                <w:color w:val="auto"/>
              </w:rPr>
            </w:pPr>
          </w:p>
        </w:tc>
      </w:tr>
      <w:tr>
        <w:trPr>
          <w:trHeight w:val="664"/>
        </w:trPr>
        <w:tc>
          <w:tcPr>
            <w:tcW w:w="9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ANZ CONTRACT NUMBER: [ 2014C217  ]</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64"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603250</wp:posOffset>
            </wp:positionV>
            <wp:extent cx="1115060" cy="3771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INTELLECTUAL PROPERTY AND MORAL RIGHTS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11.1</w:t>
            </w:r>
          </w:p>
        </w:tc>
        <w:tc>
          <w:tcPr>
            <w:tcW w:w="7980" w:type="dxa"/>
            <w:vAlign w:val="bottom"/>
          </w:tcPr>
          <w:p>
            <w:pPr>
              <w:ind w:left="260"/>
              <w:spacing w:after="0"/>
              <w:rPr>
                <w:sz w:val="20"/>
                <w:szCs w:val="20"/>
                <w:color w:val="auto"/>
              </w:rPr>
            </w:pPr>
            <w:r>
              <w:rPr>
                <w:rFonts w:ascii="Arial" w:cs="Arial" w:eastAsia="Arial" w:hAnsi="Arial"/>
                <w:sz w:val="18"/>
                <w:szCs w:val="18"/>
                <w:color w:val="auto"/>
              </w:rPr>
              <w:t>Service Provider’s Intellectual Property</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11.2</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Assignment of Intellectual Property to ANZ</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11.3</w:t>
            </w:r>
          </w:p>
        </w:tc>
        <w:tc>
          <w:tcPr>
            <w:tcW w:w="7980" w:type="dxa"/>
            <w:vAlign w:val="bottom"/>
          </w:tcPr>
          <w:p>
            <w:pPr>
              <w:ind w:left="260"/>
              <w:spacing w:after="0"/>
              <w:rPr>
                <w:sz w:val="20"/>
                <w:szCs w:val="20"/>
                <w:color w:val="auto"/>
              </w:rPr>
            </w:pPr>
            <w:r>
              <w:rPr>
                <w:rFonts w:ascii="Arial" w:cs="Arial" w:eastAsia="Arial" w:hAnsi="Arial"/>
                <w:sz w:val="18"/>
                <w:szCs w:val="18"/>
                <w:color w:val="auto"/>
              </w:rPr>
              <w:t>ANZ’s Intellectual Property</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19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11.4</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Notification of infringement by third parties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11.5</w:t>
            </w:r>
          </w:p>
        </w:tc>
        <w:tc>
          <w:tcPr>
            <w:tcW w:w="7980" w:type="dxa"/>
            <w:vAlign w:val="bottom"/>
          </w:tcPr>
          <w:p>
            <w:pPr>
              <w:ind w:left="260"/>
              <w:spacing w:after="0"/>
              <w:rPr>
                <w:sz w:val="20"/>
                <w:szCs w:val="20"/>
                <w:color w:val="auto"/>
              </w:rPr>
            </w:pPr>
            <w:r>
              <w:rPr>
                <w:rFonts w:ascii="Arial" w:cs="Arial" w:eastAsia="Arial" w:hAnsi="Arial"/>
                <w:sz w:val="18"/>
                <w:szCs w:val="18"/>
                <w:color w:val="auto"/>
              </w:rPr>
              <w:t>Moral Rights</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19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12.</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INSURANCE AND WORKERS COMPENSATION</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w:t>
            </w:r>
          </w:p>
        </w:tc>
        <w:tc>
          <w:tcPr>
            <w:tcW w:w="7980" w:type="dxa"/>
            <w:vAlign w:val="bottom"/>
          </w:tcPr>
          <w:p>
            <w:pPr>
              <w:ind w:left="260"/>
              <w:spacing w:after="0"/>
              <w:rPr>
                <w:sz w:val="20"/>
                <w:szCs w:val="20"/>
                <w:color w:val="auto"/>
              </w:rPr>
            </w:pPr>
            <w:r>
              <w:rPr>
                <w:rFonts w:ascii="Arial" w:cs="Arial" w:eastAsia="Arial" w:hAnsi="Arial"/>
                <w:sz w:val="18"/>
                <w:szCs w:val="18"/>
                <w:color w:val="auto"/>
              </w:rPr>
              <w:t>Types of insurance</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20</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12.2</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Evidence of Insurance</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980" w:type="dxa"/>
            <w:vAlign w:val="bottom"/>
          </w:tcPr>
          <w:p>
            <w:pPr>
              <w:ind w:left="260"/>
              <w:spacing w:after="0"/>
              <w:rPr>
                <w:sz w:val="20"/>
                <w:szCs w:val="20"/>
                <w:color w:val="auto"/>
              </w:rPr>
            </w:pPr>
            <w:r>
              <w:rPr>
                <w:rFonts w:ascii="Arial" w:cs="Arial" w:eastAsia="Arial" w:hAnsi="Arial"/>
                <w:sz w:val="18"/>
                <w:szCs w:val="18"/>
                <w:b w:val="1"/>
                <w:bCs w:val="1"/>
                <w:color w:val="auto"/>
              </w:rPr>
              <w:t>POWER AND AUTHORITY</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20</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14.</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SERVICE PROVIDER'S WARRANTIES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980" w:type="dxa"/>
            <w:vAlign w:val="bottom"/>
          </w:tcPr>
          <w:p>
            <w:pPr>
              <w:ind w:left="260"/>
              <w:spacing w:after="0"/>
              <w:rPr>
                <w:sz w:val="20"/>
                <w:szCs w:val="20"/>
                <w:color w:val="auto"/>
              </w:rPr>
            </w:pPr>
            <w:r>
              <w:rPr>
                <w:rFonts w:ascii="Arial" w:cs="Arial" w:eastAsia="Arial" w:hAnsi="Arial"/>
                <w:sz w:val="18"/>
                <w:szCs w:val="18"/>
                <w:b w:val="1"/>
                <w:bCs w:val="1"/>
                <w:color w:val="auto"/>
              </w:rPr>
              <w:t>INDEMNITIES AND LIABILITY</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20</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15.1</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Indemnities from Service Provider</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15.2</w:t>
            </w:r>
          </w:p>
        </w:tc>
        <w:tc>
          <w:tcPr>
            <w:tcW w:w="7980" w:type="dxa"/>
            <w:vAlign w:val="bottom"/>
          </w:tcPr>
          <w:p>
            <w:pPr>
              <w:ind w:left="260"/>
              <w:spacing w:after="0"/>
              <w:rPr>
                <w:sz w:val="20"/>
                <w:szCs w:val="20"/>
                <w:color w:val="auto"/>
              </w:rPr>
            </w:pPr>
            <w:r>
              <w:rPr>
                <w:rFonts w:ascii="Arial" w:cs="Arial" w:eastAsia="Arial" w:hAnsi="Arial"/>
                <w:sz w:val="18"/>
                <w:szCs w:val="18"/>
                <w:color w:val="auto"/>
              </w:rPr>
              <w:t>Operation and nature of indemnities</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21</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15.3</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Limitation of liability</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15.4</w:t>
            </w:r>
          </w:p>
        </w:tc>
        <w:tc>
          <w:tcPr>
            <w:tcW w:w="7980" w:type="dxa"/>
            <w:vAlign w:val="bottom"/>
          </w:tcPr>
          <w:p>
            <w:pPr>
              <w:ind w:left="260"/>
              <w:spacing w:after="0"/>
              <w:rPr>
                <w:sz w:val="20"/>
                <w:szCs w:val="20"/>
                <w:color w:val="auto"/>
              </w:rPr>
            </w:pPr>
            <w:r>
              <w:rPr>
                <w:rFonts w:ascii="Arial" w:cs="Arial" w:eastAsia="Arial" w:hAnsi="Arial"/>
                <w:sz w:val="18"/>
                <w:szCs w:val="18"/>
                <w:color w:val="auto"/>
              </w:rPr>
              <w:t>Application of Indemnification Rights</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21</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16.</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SET-OFF AND DEDUCTIONS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17.</w:t>
            </w:r>
          </w:p>
        </w:tc>
        <w:tc>
          <w:tcPr>
            <w:tcW w:w="7980" w:type="dxa"/>
            <w:vAlign w:val="bottom"/>
          </w:tcPr>
          <w:p>
            <w:pPr>
              <w:ind w:left="260"/>
              <w:spacing w:after="0"/>
              <w:rPr>
                <w:sz w:val="20"/>
                <w:szCs w:val="20"/>
                <w:color w:val="auto"/>
              </w:rPr>
            </w:pPr>
            <w:r>
              <w:rPr>
                <w:rFonts w:ascii="Arial" w:cs="Arial" w:eastAsia="Arial" w:hAnsi="Arial"/>
                <w:sz w:val="18"/>
                <w:szCs w:val="18"/>
                <w:color w:val="auto"/>
              </w:rPr>
              <w:t>DISPUTE RESOLUTION</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17.1</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Application of clause</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17.2</w:t>
            </w:r>
          </w:p>
        </w:tc>
        <w:tc>
          <w:tcPr>
            <w:tcW w:w="7980" w:type="dxa"/>
            <w:vAlign w:val="bottom"/>
          </w:tcPr>
          <w:p>
            <w:pPr>
              <w:ind w:left="260"/>
              <w:spacing w:after="0"/>
              <w:rPr>
                <w:sz w:val="20"/>
                <w:szCs w:val="20"/>
                <w:color w:val="auto"/>
              </w:rPr>
            </w:pPr>
            <w:r>
              <w:rPr>
                <w:rFonts w:ascii="Arial" w:cs="Arial" w:eastAsia="Arial" w:hAnsi="Arial"/>
                <w:sz w:val="18"/>
                <w:szCs w:val="18"/>
                <w:color w:val="auto"/>
              </w:rPr>
              <w:t>Continued performance of Agreement during dispute</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17.3</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Further Proceedings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18.</w:t>
            </w:r>
          </w:p>
        </w:tc>
        <w:tc>
          <w:tcPr>
            <w:tcW w:w="7980" w:type="dxa"/>
            <w:vAlign w:val="bottom"/>
          </w:tcPr>
          <w:p>
            <w:pPr>
              <w:ind w:left="260"/>
              <w:spacing w:after="0"/>
              <w:rPr>
                <w:sz w:val="20"/>
                <w:szCs w:val="20"/>
                <w:color w:val="auto"/>
              </w:rPr>
            </w:pPr>
            <w:r>
              <w:rPr>
                <w:rFonts w:ascii="Arial" w:cs="Arial" w:eastAsia="Arial" w:hAnsi="Arial"/>
                <w:sz w:val="18"/>
                <w:szCs w:val="18"/>
                <w:b w:val="1"/>
                <w:bCs w:val="1"/>
                <w:color w:val="auto"/>
              </w:rPr>
              <w:t>NOTICES</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18.1</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How notices must be given</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18.2</w:t>
            </w:r>
          </w:p>
        </w:tc>
        <w:tc>
          <w:tcPr>
            <w:tcW w:w="7980" w:type="dxa"/>
            <w:vAlign w:val="bottom"/>
          </w:tcPr>
          <w:p>
            <w:pPr>
              <w:ind w:left="260"/>
              <w:spacing w:after="0"/>
              <w:rPr>
                <w:sz w:val="20"/>
                <w:szCs w:val="20"/>
                <w:color w:val="auto"/>
              </w:rPr>
            </w:pPr>
            <w:r>
              <w:rPr>
                <w:rFonts w:ascii="Arial" w:cs="Arial" w:eastAsia="Arial" w:hAnsi="Arial"/>
                <w:sz w:val="18"/>
                <w:szCs w:val="18"/>
                <w:color w:val="auto"/>
              </w:rPr>
              <w:t>Recipient’s address, fax number and email address</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18.3</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When notice taken as given</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18.4</w:t>
            </w:r>
          </w:p>
        </w:tc>
        <w:tc>
          <w:tcPr>
            <w:tcW w:w="7980" w:type="dxa"/>
            <w:vAlign w:val="bottom"/>
          </w:tcPr>
          <w:p>
            <w:pPr>
              <w:ind w:left="260"/>
              <w:spacing w:after="0"/>
              <w:rPr>
                <w:sz w:val="20"/>
                <w:szCs w:val="20"/>
                <w:color w:val="auto"/>
              </w:rPr>
            </w:pPr>
            <w:r>
              <w:rPr>
                <w:rFonts w:ascii="Arial" w:cs="Arial" w:eastAsia="Arial" w:hAnsi="Arial"/>
                <w:sz w:val="18"/>
                <w:szCs w:val="18"/>
                <w:color w:val="auto"/>
              </w:rPr>
              <w:t>Other legal modes of service</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19.</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MISCELLANEOUS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19.1</w:t>
            </w:r>
          </w:p>
        </w:tc>
        <w:tc>
          <w:tcPr>
            <w:tcW w:w="798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19.2</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Jurisdiction</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19.3</w:t>
            </w:r>
          </w:p>
        </w:tc>
        <w:tc>
          <w:tcPr>
            <w:tcW w:w="7980" w:type="dxa"/>
            <w:vAlign w:val="bottom"/>
          </w:tcPr>
          <w:p>
            <w:pPr>
              <w:ind w:left="260"/>
              <w:spacing w:after="0"/>
              <w:rPr>
                <w:sz w:val="20"/>
                <w:szCs w:val="20"/>
                <w:color w:val="auto"/>
              </w:rPr>
            </w:pPr>
            <w:r>
              <w:rPr>
                <w:rFonts w:ascii="Arial" w:cs="Arial" w:eastAsia="Arial" w:hAnsi="Arial"/>
                <w:sz w:val="18"/>
                <w:szCs w:val="18"/>
                <w:color w:val="auto"/>
              </w:rPr>
              <w:t>Entire agreement</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19.4</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Taxes and duties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19.5</w:t>
            </w:r>
          </w:p>
        </w:tc>
        <w:tc>
          <w:tcPr>
            <w:tcW w:w="7980" w:type="dxa"/>
            <w:vAlign w:val="bottom"/>
          </w:tcPr>
          <w:p>
            <w:pPr>
              <w:ind w:left="260"/>
              <w:spacing w:after="0"/>
              <w:rPr>
                <w:sz w:val="20"/>
                <w:szCs w:val="20"/>
                <w:color w:val="auto"/>
              </w:rPr>
            </w:pPr>
            <w:r>
              <w:rPr>
                <w:rFonts w:ascii="Arial" w:cs="Arial" w:eastAsia="Arial" w:hAnsi="Arial"/>
                <w:sz w:val="18"/>
                <w:szCs w:val="18"/>
                <w:color w:val="auto"/>
              </w:rPr>
              <w:t>GST</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19.6</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Relationship of parties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19.7</w:t>
            </w:r>
          </w:p>
        </w:tc>
        <w:tc>
          <w:tcPr>
            <w:tcW w:w="7980" w:type="dxa"/>
            <w:vAlign w:val="bottom"/>
          </w:tcPr>
          <w:p>
            <w:pPr>
              <w:ind w:left="260"/>
              <w:spacing w:after="0"/>
              <w:rPr>
                <w:sz w:val="20"/>
                <w:szCs w:val="20"/>
                <w:color w:val="auto"/>
              </w:rPr>
            </w:pPr>
            <w:r>
              <w:rPr>
                <w:rFonts w:ascii="Arial" w:cs="Arial" w:eastAsia="Arial" w:hAnsi="Arial"/>
                <w:sz w:val="18"/>
                <w:szCs w:val="18"/>
                <w:color w:val="auto"/>
              </w:rPr>
              <w:t>Amendment</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19.8</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Successors and Assignees</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19.9</w:t>
            </w:r>
          </w:p>
        </w:tc>
        <w:tc>
          <w:tcPr>
            <w:tcW w:w="7980" w:type="dxa"/>
            <w:vAlign w:val="bottom"/>
          </w:tcPr>
          <w:p>
            <w:pPr>
              <w:ind w:left="260"/>
              <w:spacing w:after="0"/>
              <w:rPr>
                <w:sz w:val="20"/>
                <w:szCs w:val="20"/>
                <w:color w:val="auto"/>
              </w:rPr>
            </w:pPr>
            <w:r>
              <w:rPr>
                <w:rFonts w:ascii="Arial" w:cs="Arial" w:eastAsia="Arial" w:hAnsi="Arial"/>
                <w:sz w:val="18"/>
                <w:szCs w:val="18"/>
                <w:color w:val="auto"/>
              </w:rPr>
              <w:t>Assignment</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23</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19.10</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 Provider’s cost</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19.11</w:t>
            </w:r>
          </w:p>
        </w:tc>
        <w:tc>
          <w:tcPr>
            <w:tcW w:w="7980" w:type="dxa"/>
            <w:vAlign w:val="bottom"/>
          </w:tcPr>
          <w:p>
            <w:pPr>
              <w:ind w:left="260"/>
              <w:spacing w:after="0"/>
              <w:rPr>
                <w:sz w:val="20"/>
                <w:szCs w:val="20"/>
                <w:color w:val="auto"/>
              </w:rPr>
            </w:pPr>
            <w:r>
              <w:rPr>
                <w:rFonts w:ascii="Arial" w:cs="Arial" w:eastAsia="Arial" w:hAnsi="Arial"/>
                <w:sz w:val="18"/>
                <w:szCs w:val="18"/>
                <w:color w:val="auto"/>
              </w:rPr>
              <w:t>Waivers</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24</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19.12</w:t>
            </w:r>
          </w:p>
        </w:tc>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Severability</w:t>
            </w:r>
          </w:p>
        </w:tc>
        <w:tc>
          <w:tcPr>
            <w:tcW w:w="2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19.13</w:t>
            </w:r>
          </w:p>
        </w:tc>
        <w:tc>
          <w:tcPr>
            <w:tcW w:w="798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ind w:right="330"/>
              <w:spacing w:after="0"/>
              <w:rPr>
                <w:sz w:val="20"/>
                <w:szCs w:val="20"/>
                <w:color w:val="auto"/>
              </w:rPr>
            </w:pPr>
            <w:r>
              <w:rPr>
                <w:rFonts w:ascii="Arial" w:cs="Arial" w:eastAsia="Arial" w:hAnsi="Arial"/>
                <w:sz w:val="18"/>
                <w:szCs w:val="18"/>
                <w:color w:val="auto"/>
              </w:rPr>
              <w:t>24</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THE SCHEDULE</w:t>
            </w:r>
          </w:p>
        </w:tc>
        <w:tc>
          <w:tcPr>
            <w:tcW w:w="278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PART 1 VARIOUS AGREEMENT DETAILS</w:t>
            </w:r>
          </w:p>
        </w:tc>
        <w:tc>
          <w:tcPr>
            <w:tcW w:w="278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 STATEMENT OF WORK &amp; FEES</w:t>
            </w:r>
          </w:p>
        </w:tc>
        <w:tc>
          <w:tcPr>
            <w:tcW w:w="278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PART 3 INSURANCE REQUIREMENTS AND CAP ON LIABILITY</w:t>
            </w:r>
          </w:p>
        </w:tc>
        <w:tc>
          <w:tcPr>
            <w:tcW w:w="278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ANNEXURE 1 PERSONAL CONFIDENTIALITY STATEMENT AND CONSENT</w:t>
            </w:r>
          </w:p>
        </w:tc>
        <w:tc>
          <w:tcPr>
            <w:tcW w:w="2780" w:type="dxa"/>
            <w:vAlign w:val="bottom"/>
            <w:shd w:val="clear" w:color="auto" w:fill="CCEEFF"/>
          </w:tcPr>
          <w:p>
            <w:pPr>
              <w:spacing w:after="0"/>
              <w:rPr>
                <w:sz w:val="18"/>
                <w:szCs w:val="18"/>
                <w:color w:val="auto"/>
              </w:rPr>
            </w:pPr>
          </w:p>
        </w:tc>
      </w:t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ANNEXURE 2 TAX</w:t>
            </w:r>
          </w:p>
        </w:tc>
        <w:tc>
          <w:tcPr>
            <w:tcW w:w="2780" w:type="dxa"/>
            <w:vAlign w:val="bottom"/>
          </w:tcPr>
          <w:p>
            <w:pPr>
              <w:spacing w:after="0"/>
              <w:rPr>
                <w:sz w:val="20"/>
                <w:szCs w:val="20"/>
                <w:color w:val="auto"/>
              </w:rPr>
            </w:pPr>
          </w:p>
        </w:tc>
      </w:tr>
      <w:tr>
        <w:trPr>
          <w:trHeight w:val="637"/>
        </w:trPr>
        <w:tc>
          <w:tcPr>
            <w:tcW w:w="8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ANZ CONTRACT NUMBER: [ 2014C217  ]</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1391"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July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ANZ GLOBAL SERVICES AND OPERATIONS (CHENGDU) COMPANY LIMITED, </w:t>
      </w:r>
      <w:r>
        <w:rPr>
          <w:rFonts w:ascii="Arial" w:cs="Arial" w:eastAsia="Arial" w:hAnsi="Arial"/>
          <w:sz w:val="18"/>
          <w:szCs w:val="18"/>
          <w:color w:val="auto"/>
        </w:rPr>
        <w:t>whose registered office is located at 5th floor of Tower</w:t>
      </w:r>
      <w:r>
        <w:rPr>
          <w:rFonts w:ascii="Arial" w:cs="Arial" w:eastAsia="Arial" w:hAnsi="Arial"/>
          <w:sz w:val="18"/>
          <w:szCs w:val="18"/>
          <w:b w:val="1"/>
          <w:bCs w:val="1"/>
          <w:color w:val="auto"/>
        </w:rPr>
        <w:t xml:space="preserve"> </w:t>
      </w:r>
      <w:r>
        <w:rPr>
          <w:rFonts w:ascii="Arial" w:cs="Arial" w:eastAsia="Arial" w:hAnsi="Arial"/>
          <w:sz w:val="18"/>
          <w:szCs w:val="18"/>
          <w:color w:val="auto"/>
        </w:rPr>
        <w:t>E2 and E3 of No. 1 Building, Phase 3 of Tianfu Software Park, No 1 Building, No. 1268, Middle Section, Tianfu Avenue, Gaoxin District, Chengdu, China 610041. (the “ANZ”).</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The party more particularly described in Part 1 of the Schedule to this Agreement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ANZ wishes to appoint the Service Provider to perform the Services on the terms and conditions of this Agreement.</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Service Provider wishes to perform the Services on the terms and conditions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PARTIES AGREE </w:t>
      </w:r>
      <w:r>
        <w:rPr>
          <w:rFonts w:ascii="Arial" w:cs="Arial" w:eastAsia="Arial" w:hAnsi="Arial"/>
          <w:sz w:val="18"/>
          <w:szCs w:val="18"/>
          <w:color w:val="auto"/>
        </w:rPr>
        <w:t>as follows:</w:t>
      </w:r>
    </w:p>
    <w:p>
      <w:pPr>
        <w:spacing w:after="0" w:line="252"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definitions will apply in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means this agreement, as amended, supplemented or replaced from time to time.</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 xml:space="preserve">ANZ Data </w:t>
      </w:r>
      <w:r>
        <w:rPr>
          <w:rFonts w:ascii="Arial" w:cs="Arial" w:eastAsia="Arial" w:hAnsi="Arial"/>
          <w:sz w:val="18"/>
          <w:szCs w:val="18"/>
          <w:color w:val="auto"/>
        </w:rPr>
        <w:t>means all information or data of or relating to the customers of ANZ Group, including Customer Information, all customer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information, data, databases or information relating to payment particulars or other details relating to the transactions entered into by such customers and data of and/or belonging to such customers, furnished or disclosed to Service Provider or its Personnel, or which Service Provider or its Personnel has otherwise collected, processed or obtained access to, pursuant to or in connection with the provision of the Services or the performance of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ANZ Group </w:t>
      </w:r>
      <w:r>
        <w:rPr>
          <w:rFonts w:ascii="Arial" w:cs="Arial" w:eastAsia="Arial" w:hAnsi="Arial"/>
          <w:sz w:val="18"/>
          <w:szCs w:val="18"/>
          <w:color w:val="auto"/>
        </w:rPr>
        <w:t>means ANZ, Australia and New Zealand Banking Group Limited (the “ANZBGL”), their related corporations and:</w:t>
      </w:r>
    </w:p>
    <w:p>
      <w:pPr>
        <w:spacing w:after="0" w:line="252" w:lineRule="exact"/>
        <w:rPr>
          <w:sz w:val="20"/>
          <w:szCs w:val="20"/>
          <w:color w:val="auto"/>
        </w:rPr>
      </w:pPr>
    </w:p>
    <w:p>
      <w:pPr>
        <w:ind w:left="1300" w:right="20" w:hanging="644"/>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bodies corporate, trusts, unincorporated joint ventures, and other business associations that control, are controlled by or are under common control with ANZ, ANZBGL or their related corporations. For the purpose of this definition, “control” means:</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power to directly or indirectly cause the direction of the management, policies or operations of an entity whether through the voting of shares or otherwise; or</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holding of at least 30% shareholding or 30% participation interest in an entity.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other entity nominated by ANZ to Service Provider in writing from time to time.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 xml:space="preserve">ANZ’s Intellectual Property </w:t>
      </w:r>
      <w:r>
        <w:rPr>
          <w:rFonts w:ascii="Arial" w:cs="Arial" w:eastAsia="Arial" w:hAnsi="Arial"/>
          <w:sz w:val="18"/>
          <w:szCs w:val="18"/>
          <w:color w:val="auto"/>
        </w:rPr>
        <w:t>means all present and future Intellectual Property owned from time to time by any member of the ANZ Group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all Intellectual Property in the Data.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ASIC </w:t>
      </w:r>
      <w:r>
        <w:rPr>
          <w:rFonts w:ascii="Arial" w:cs="Arial" w:eastAsia="Arial" w:hAnsi="Arial"/>
          <w:sz w:val="18"/>
          <w:szCs w:val="18"/>
          <w:color w:val="auto"/>
        </w:rPr>
        <w:t>means the Australian Securities and Investments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Authorisation </w:t>
      </w:r>
      <w:r>
        <w:rPr>
          <w:rFonts w:ascii="Arial" w:cs="Arial" w:eastAsia="Arial" w:hAnsi="Arial"/>
          <w:sz w:val="18"/>
          <w:szCs w:val="18"/>
          <w:color w:val="auto"/>
        </w:rPr>
        <w:t>means:</w:t>
      </w:r>
    </w:p>
    <w:p>
      <w:pPr>
        <w:spacing w:after="0" w:line="252"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authorisation, consent, declaration, exemption, notarisation or waiver, however it is described;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relation to anything that could be prohibited or restricted by Law if a Government Agency acts in any way within a specified period, the expiry of that period without that action being taken, including any renewal or amendment.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1364"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586740</wp:posOffset>
            </wp:positionV>
            <wp:extent cx="1115060" cy="3771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 xml:space="preserve">Authorised Disclosee </w:t>
      </w:r>
      <w:r>
        <w:rPr>
          <w:rFonts w:ascii="Arial" w:cs="Arial" w:eastAsia="Arial" w:hAnsi="Arial"/>
          <w:sz w:val="18"/>
          <w:szCs w:val="18"/>
          <w:color w:val="auto"/>
        </w:rPr>
        <w:t>means a specific third party to whom ANZ has authorised disclosure of specific Confidential Information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8.4(b).</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 xml:space="preserve">Authorised Subcontractor </w:t>
      </w:r>
      <w:r>
        <w:rPr>
          <w:rFonts w:ascii="Arial" w:cs="Arial" w:eastAsia="Arial" w:hAnsi="Arial"/>
          <w:sz w:val="18"/>
          <w:szCs w:val="18"/>
          <w:color w:val="auto"/>
        </w:rPr>
        <w:t>means a subcontractor to the Service Provider authorised by ANZ under clause 6.1, together with its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is any day that ANZ is open for business in P.R.C. excluding Saturdays and Sundays.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 xml:space="preserve">Claim </w:t>
      </w:r>
      <w:r>
        <w:rPr>
          <w:rFonts w:ascii="Arial" w:cs="Arial" w:eastAsia="Arial" w:hAnsi="Arial"/>
          <w:sz w:val="18"/>
          <w:szCs w:val="18"/>
          <w:color w:val="auto"/>
        </w:rPr>
        <w:t>is any action, claim, suit, demand, loss, damage, liability, cost, expense, tax, outgoing or payment of whatever nature (whether foreseeable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 xml:space="preserve">Code of Conduct </w:t>
      </w:r>
      <w:r>
        <w:rPr>
          <w:rFonts w:ascii="Arial" w:cs="Arial" w:eastAsia="Arial" w:hAnsi="Arial"/>
          <w:sz w:val="18"/>
          <w:szCs w:val="18"/>
          <w:color w:val="auto"/>
        </w:rPr>
        <w:t>means any industry or other code of conduct applicable to the Services or this Agreement, or to the business of any one or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ANZ Group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Commencement Date </w:t>
      </w:r>
      <w:r>
        <w:rPr>
          <w:rFonts w:ascii="Arial" w:cs="Arial" w:eastAsia="Arial" w:hAnsi="Arial"/>
          <w:sz w:val="18"/>
          <w:szCs w:val="18"/>
          <w:color w:val="auto"/>
        </w:rPr>
        <w:t>means the commencement date specified in Part 1 of the Schedule.</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 xml:space="preserve">Confidential Information </w:t>
      </w:r>
      <w:r>
        <w:rPr>
          <w:rFonts w:ascii="Arial" w:cs="Arial" w:eastAsia="Arial" w:hAnsi="Arial"/>
          <w:sz w:val="18"/>
          <w:szCs w:val="18"/>
          <w:color w:val="auto"/>
        </w:rPr>
        <w:t>means all technical, financial, commercial and other information (in whatever medium, including documentary, verbal,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pictorial and electronic forms) of or relating to the ANZ Group or its business affairs, which is disclosed to, observed by or otherwise becomes available to, or accessible by the Service Provider or its Personnel, in connection with this Agreement (including by means of any briefing, discussion, negotiation, request, submission, document or other communication or activity, or by provision of access to the locations (electronic or otherwise) where the information is stored) which:</w:t>
      </w:r>
    </w:p>
    <w:p>
      <w:pPr>
        <w:spacing w:after="0" w:line="215"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 marked or otherwise denoted as being ‘confidential’, 'sensitive', 'private' or any other similar description;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reasonable person would (having regard to the nature of the information) consider confidential, but excluding information that:</w:t>
      </w:r>
    </w:p>
    <w:p>
      <w:pPr>
        <w:spacing w:after="0" w:line="237" w:lineRule="exact"/>
        <w:rPr>
          <w:sz w:val="20"/>
          <w:szCs w:val="20"/>
          <w:color w:val="auto"/>
        </w:rPr>
      </w:pPr>
    </w:p>
    <w:p>
      <w:pPr>
        <w:ind w:left="1300" w:hanging="644"/>
        <w:spacing w:after="0" w:line="277"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Service Provider is able to establish by written records is or has been legally known to, developed by, or acquired by, the Service Provider, independently of this Agreement;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becomes readily available in the public domain without breach of this Agreement or any obligation of confidence.</w:t>
      </w:r>
    </w:p>
    <w:p>
      <w:pPr>
        <w:spacing w:after="0" w:line="225"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Confidential Information includes any ANZ Intellectual Property that is not readily available in the public domain other than through a breach of this Agreement or any obligation of confidence, as well as ANZ Data, Customer Information, Personal Data and ANZ employee information.</w:t>
      </w:r>
    </w:p>
    <w:p>
      <w:pPr>
        <w:spacing w:after="0" w:line="147"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b w:val="1"/>
          <w:bCs w:val="1"/>
          <w:i w:val="1"/>
          <w:iCs w:val="1"/>
          <w:color w:val="auto"/>
        </w:rPr>
        <w:t xml:space="preserve">Conflict </w:t>
      </w:r>
      <w:r>
        <w:rPr>
          <w:rFonts w:ascii="Arial" w:cs="Arial" w:eastAsia="Arial" w:hAnsi="Arial"/>
          <w:sz w:val="17"/>
          <w:szCs w:val="17"/>
          <w:color w:val="auto"/>
        </w:rPr>
        <w:t>means a conflict of interest of any kind relating to the Services or otherwise in connection with this Agreement, including in the case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Provider any agreement, obligation or interest which may conflict with its obligations under this Agreement or at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Contractor </w:t>
      </w:r>
      <w:r>
        <w:rPr>
          <w:rFonts w:ascii="Arial" w:cs="Arial" w:eastAsia="Arial" w:hAnsi="Arial"/>
          <w:sz w:val="18"/>
          <w:szCs w:val="18"/>
          <w:color w:val="auto"/>
        </w:rPr>
        <w:t>means the Service Provider Personnel designated as such in Part 2 of the Schedule.</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 xml:space="preserve">Customer Information </w:t>
      </w:r>
      <w:r>
        <w:rPr>
          <w:rFonts w:ascii="Arial" w:cs="Arial" w:eastAsia="Arial" w:hAnsi="Arial"/>
          <w:sz w:val="18"/>
          <w:szCs w:val="18"/>
          <w:color w:val="auto"/>
        </w:rPr>
        <w:t>means any information related to customers or potential customers of, whether retained by or not, ANZ and any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ANZ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Data </w:t>
      </w:r>
      <w:r>
        <w:rPr>
          <w:rFonts w:ascii="Arial" w:cs="Arial" w:eastAsia="Arial" w:hAnsi="Arial"/>
          <w:sz w:val="18"/>
          <w:szCs w:val="18"/>
          <w:color w:val="auto"/>
        </w:rPr>
        <w:t>means all information, in whatever form, which:</w:t>
      </w:r>
    </w:p>
    <w:p>
      <w:pPr>
        <w:spacing w:after="0" w:line="252"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is provided to the Service Provider by ANZ for the purpose of the Service Provider providing the Services;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is transmitted, received or stored, processed, generated, compiled or modified through the use, or in connection with the provision of the Services.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 xml:space="preserve">Data Protection Legislation </w:t>
      </w:r>
      <w:r>
        <w:rPr>
          <w:rFonts w:ascii="Arial" w:cs="Arial" w:eastAsia="Arial" w:hAnsi="Arial"/>
          <w:sz w:val="18"/>
          <w:szCs w:val="18"/>
          <w:color w:val="auto"/>
        </w:rPr>
        <w:t>mean all Laws and all codes or guidelines issued by a Governmental Agency with relevant jurisdiction pertaining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privacy, confidentiality and/or the protection of Personal Data , when enacted, and all statutory instruments, rules or guidance made thereunder, all as may be amended from time to time.</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 xml:space="preserve">Developed Intellectual Property </w:t>
      </w:r>
      <w:r>
        <w:rPr>
          <w:rFonts w:ascii="Arial" w:cs="Arial" w:eastAsia="Arial" w:hAnsi="Arial"/>
          <w:sz w:val="18"/>
          <w:szCs w:val="18"/>
          <w:color w:val="auto"/>
        </w:rPr>
        <w:t>means all present and future Intellectual Property created, written or otherwise brought into existence by or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of the Service Provider in connection with or for the purposes of providing the Services or its other obligations under this Agreement (but excluding the Service Provider's Intellectual Property), including all Intellectual Property in the Data.</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1364"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Dispute </w:t>
      </w:r>
      <w:r>
        <w:rPr>
          <w:rFonts w:ascii="Arial" w:cs="Arial" w:eastAsia="Arial" w:hAnsi="Arial"/>
          <w:sz w:val="18"/>
          <w:szCs w:val="18"/>
          <w:color w:val="auto"/>
        </w:rPr>
        <w:t>has the meaning set out in clause 17.1.</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b w:val="1"/>
          <w:bCs w:val="1"/>
          <w:i w:val="1"/>
          <w:iCs w:val="1"/>
          <w:color w:val="auto"/>
        </w:rPr>
        <w:t xml:space="preserve">Documentation </w:t>
      </w:r>
      <w:r>
        <w:rPr>
          <w:rFonts w:ascii="Arial" w:cs="Arial" w:eastAsia="Arial" w:hAnsi="Arial"/>
          <w:sz w:val="16"/>
          <w:szCs w:val="16"/>
          <w:color w:val="auto"/>
        </w:rPr>
        <w:t>means all documentation, reports, calculations, models, designs, drawings, plans and specifications whether in written, printed,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electronic or other form relating to this Agreement (including those prepared by the Service Provider for ANZ in connection with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Effective Control </w:t>
      </w:r>
      <w:r>
        <w:rPr>
          <w:rFonts w:ascii="Arial" w:cs="Arial" w:eastAsia="Arial" w:hAnsi="Arial"/>
          <w:sz w:val="18"/>
          <w:szCs w:val="18"/>
          <w:color w:val="auto"/>
        </w:rPr>
        <w:t>in relation to a corporation is:</w:t>
      </w:r>
    </w:p>
    <w:p>
      <w:pPr>
        <w:spacing w:after="0" w:line="252"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control (directly or indirectly) of the composition of the corporation's board of directors or other governing body;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control (directly or indirectly) of more than half of the voting power of the corporation;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control (directly or indirectly) of more than half of the issued share capital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Fee </w:t>
      </w:r>
      <w:r>
        <w:rPr>
          <w:rFonts w:ascii="Arial" w:cs="Arial" w:eastAsia="Arial" w:hAnsi="Arial"/>
          <w:sz w:val="18"/>
          <w:szCs w:val="18"/>
          <w:color w:val="auto"/>
        </w:rPr>
        <w:t>is any fee or charge payable by ANZ for the Services, calculated and payable in accordance with clause 7 of this Agreement.</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 xml:space="preserve">Government Agency </w:t>
      </w:r>
      <w:r>
        <w:rPr>
          <w:rFonts w:ascii="Arial" w:cs="Arial" w:eastAsia="Arial" w:hAnsi="Arial"/>
          <w:sz w:val="18"/>
          <w:szCs w:val="18"/>
          <w:color w:val="auto"/>
        </w:rPr>
        <w:t>means any government or any public, statutory, governmental, semi-governmental, local governmental or judicial body,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authority, including but not limited to Sate Administration for Industry and Commerce, People’s Bank of China, China Bing Regulatory Commission, the branches thereof and ASIC.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Invoice Query Statement </w:t>
      </w:r>
      <w:r>
        <w:rPr>
          <w:rFonts w:ascii="Arial" w:cs="Arial" w:eastAsia="Arial" w:hAnsi="Arial"/>
          <w:sz w:val="18"/>
          <w:szCs w:val="18"/>
          <w:color w:val="auto"/>
        </w:rPr>
        <w:t>means a statement querying any aspect of a Valid Tax Invoice, as contemplated in clause 7.3(b).</w:t>
      </w:r>
    </w:p>
    <w:p>
      <w:pPr>
        <w:spacing w:after="0" w:line="225"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b w:val="1"/>
          <w:bCs w:val="1"/>
          <w:i w:val="1"/>
          <w:iCs w:val="1"/>
          <w:color w:val="auto"/>
        </w:rPr>
        <w:t xml:space="preserve">Indirect Loss </w:t>
      </w:r>
      <w:r>
        <w:rPr>
          <w:rFonts w:ascii="Arial" w:cs="Arial" w:eastAsia="Arial" w:hAnsi="Arial"/>
          <w:sz w:val="17"/>
          <w:szCs w:val="17"/>
          <w:color w:val="auto"/>
        </w:rPr>
        <w:t>means any debt, obligation, cost, expense, loss, damage, compensation, charge or liability of any kind which at Law is of an indirect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nature [(including any indirect loss of profits, loss of or damage to goodwill and loss of business opportunities of this nature)].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Initial Term </w:t>
      </w:r>
      <w:r>
        <w:rPr>
          <w:rFonts w:ascii="Arial" w:cs="Arial" w:eastAsia="Arial" w:hAnsi="Arial"/>
          <w:sz w:val="18"/>
          <w:szCs w:val="18"/>
          <w:color w:val="auto"/>
        </w:rPr>
        <w:t>means the initial term specified in Part 1 of the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Insolvent </w:t>
      </w:r>
      <w:r>
        <w:rPr>
          <w:rFonts w:ascii="Arial" w:cs="Arial" w:eastAsia="Arial" w:hAnsi="Arial"/>
          <w:sz w:val="18"/>
          <w:szCs w:val="18"/>
          <w:color w:val="auto"/>
        </w:rPr>
        <w:t>means, in relation to the Service Provider, when:</w:t>
      </w:r>
    </w:p>
    <w:p>
      <w:pPr>
        <w:spacing w:after="0" w:line="225" w:lineRule="exact"/>
        <w:rPr>
          <w:sz w:val="20"/>
          <w:szCs w:val="20"/>
          <w:color w:val="auto"/>
        </w:rPr>
      </w:pPr>
    </w:p>
    <w:p>
      <w:pPr>
        <w:ind w:left="1300" w:hanging="644"/>
        <w:spacing w:after="0" w:line="277"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receiver, receiver and manager, trustee, administrator, or similar official is appointed over any of the assets or undertaking of the Service Provider;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Service Provider suspends payment of its debts generally;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Service Provider is or becomes unable to pay its debts when they are due or is or becomes unable to pay its debts or is presumed to be insolvent;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Service Provider enters into or resolves to enter into any arrangement, composition or compromise with, or assignment for the benefit of its creditors or any class of them;</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Service Provider ceased to carry on business or threatens to cease to carry on business;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resolution is passed or any steps are taken to appoint, or to pass resolution to appoint, an administrator to the Service Provider;</w:t>
      </w:r>
    </w:p>
    <w:p>
      <w:pPr>
        <w:spacing w:after="0" w:line="23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application or order is made for the winding up or dissolution of the Service Provider or a resolution is passed or any steps are taken to pass a resolution for the winding up or dissolution of the Service Provider, otherwise than for the purpose of an amalgamation or reconstruction that has the prior written consent of ANZ; or</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occurrence to the Service Provider of anything analogous or having a substantially similar effect to any of these conditions or matters under the Law of any applicable jurisdiction, and to the procedures, circumstances and events that constitute any of those conditions or matters.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1364"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586740</wp:posOffset>
            </wp:positionV>
            <wp:extent cx="1115060" cy="3771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b w:val="1"/>
          <w:bCs w:val="1"/>
          <w:i w:val="1"/>
          <w:iCs w:val="1"/>
          <w:color w:val="auto"/>
        </w:rPr>
        <w:t xml:space="preserve">Intellectual Property </w:t>
      </w:r>
      <w:r>
        <w:rPr>
          <w:rFonts w:ascii="Arial" w:cs="Arial" w:eastAsia="Arial" w:hAnsi="Arial"/>
          <w:sz w:val="17"/>
          <w:szCs w:val="17"/>
          <w:color w:val="auto"/>
        </w:rPr>
        <w:t>means all copyright and future copyright and neighbouring rights (including rights in computer programs, documentation,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drawings, writings and art works), all rights in relation to inventions including patents and patent applications, modifications or improvements to the same, registered and unregistered trade marks, registered and unregistered designs, rights in relation to trade secrets, know-how and other confidential information, and all other rights resulting from intellectual activity in the industrial, scientific, literary or artistic fields.</w:t>
      </w:r>
    </w:p>
    <w:p>
      <w:pPr>
        <w:spacing w:after="0" w:line="17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mean any law, legislation, statute, rule, order, treaty, regulation or any interpretation thereof (having the force of law) enacted, issued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promulgated.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Monthly Invoice Date </w:t>
      </w:r>
      <w:r>
        <w:rPr>
          <w:rFonts w:ascii="Arial" w:cs="Arial" w:eastAsia="Arial" w:hAnsi="Arial"/>
          <w:sz w:val="18"/>
          <w:szCs w:val="18"/>
          <w:color w:val="auto"/>
        </w:rPr>
        <w:t>means the date specified in Part 1 of the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Moral Right </w:t>
      </w:r>
      <w:r>
        <w:rPr>
          <w:rFonts w:ascii="Arial" w:cs="Arial" w:eastAsia="Arial" w:hAnsi="Arial"/>
          <w:sz w:val="18"/>
          <w:szCs w:val="18"/>
          <w:color w:val="auto"/>
        </w:rPr>
        <w:t>means:</w:t>
      </w:r>
    </w:p>
    <w:p>
      <w:pPr>
        <w:spacing w:after="0" w:line="252"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right of attribution of authorship;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right not to have authorship falsely attributed;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right of integrity of authorship;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right of a similar nature, which is conferred by statute, and which exists or comes to exist anywhere in the world.</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 xml:space="preserve">Personal Data </w:t>
      </w:r>
      <w:r>
        <w:rPr>
          <w:rFonts w:ascii="Arial" w:cs="Arial" w:eastAsia="Arial" w:hAnsi="Arial"/>
          <w:sz w:val="18"/>
          <w:szCs w:val="18"/>
          <w:color w:val="auto"/>
        </w:rPr>
        <w:t>means any data or information that is governed or regulated by the relevant Data Protection Legislation, including any data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whether true or not, about an individual who can be identified:</w:t>
      </w:r>
    </w:p>
    <w:p>
      <w:pPr>
        <w:spacing w:after="0" w:line="170"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from that data or information;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from that data and other information to which an organisation has or is likely to have access.</w:t>
      </w:r>
    </w:p>
    <w:p>
      <w:pPr>
        <w:spacing w:after="0" w:line="225" w:lineRule="exact"/>
        <w:rPr>
          <w:sz w:val="20"/>
          <w:szCs w:val="20"/>
          <w:color w:val="auto"/>
        </w:rPr>
      </w:pPr>
    </w:p>
    <w:p>
      <w:pPr>
        <w:jc w:val="both"/>
        <w:ind w:left="660" w:right="20"/>
        <w:spacing w:after="0" w:line="312" w:lineRule="auto"/>
        <w:rPr>
          <w:sz w:val="20"/>
          <w:szCs w:val="20"/>
          <w:color w:val="auto"/>
        </w:rPr>
      </w:pPr>
      <w:r>
        <w:rPr>
          <w:rFonts w:ascii="Arial" w:cs="Arial" w:eastAsia="Arial" w:hAnsi="Arial"/>
          <w:sz w:val="16"/>
          <w:szCs w:val="16"/>
          <w:b w:val="1"/>
          <w:bCs w:val="1"/>
          <w:i w:val="1"/>
          <w:iCs w:val="1"/>
          <w:color w:val="auto"/>
        </w:rPr>
        <w:t xml:space="preserve">Personnel </w:t>
      </w:r>
      <w:r>
        <w:rPr>
          <w:rFonts w:ascii="Arial" w:cs="Arial" w:eastAsia="Arial" w:hAnsi="Arial"/>
          <w:sz w:val="16"/>
          <w:szCs w:val="16"/>
          <w:color w:val="auto"/>
        </w:rPr>
        <w:t>means any directors, officers, employees, professional advisers, agents or Authorised Subcontractors of a party (and in the case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Service Provider, this term shall include a Contractor) connected in any way with this Agreement. For the avoidance of doubt, the Personnel of ANZ do not include the Service Provider. Where the Service Provider is an individual, then any reference to the </w:t>
      </w:r>
      <w:r>
        <w:rPr>
          <w:rFonts w:ascii="Arial" w:cs="Arial" w:eastAsia="Arial" w:hAnsi="Arial"/>
          <w:sz w:val="16"/>
          <w:szCs w:val="16"/>
          <w:b w:val="1"/>
          <w:bCs w:val="1"/>
          <w:i w:val="1"/>
          <w:iCs w:val="1"/>
          <w:color w:val="auto"/>
        </w:rPr>
        <w:t>Personnel</w:t>
      </w:r>
      <w:r>
        <w:rPr>
          <w:rFonts w:ascii="Arial" w:cs="Arial" w:eastAsia="Arial" w:hAnsi="Arial"/>
          <w:sz w:val="16"/>
          <w:szCs w:val="16"/>
          <w:color w:val="auto"/>
        </w:rPr>
        <w:t xml:space="preserve"> means that individual.</w:t>
      </w:r>
    </w:p>
    <w:p>
      <w:pPr>
        <w:spacing w:after="0" w:line="14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 xml:space="preserve">P.R.C. </w:t>
      </w:r>
      <w:r>
        <w:rPr>
          <w:rFonts w:ascii="Arial" w:cs="Arial" w:eastAsia="Arial" w:hAnsi="Arial"/>
          <w:sz w:val="18"/>
          <w:szCs w:val="18"/>
          <w:color w:val="auto"/>
        </w:rPr>
        <w:t>means the People’s Republic of China (for the purpose of this Agreement, excluding HongKong Special Administrative Region, Macau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 Administrative Region and Taiwan).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Recipient </w:t>
      </w:r>
      <w:r>
        <w:rPr>
          <w:rFonts w:ascii="Arial" w:cs="Arial" w:eastAsia="Arial" w:hAnsi="Arial"/>
          <w:sz w:val="18"/>
          <w:szCs w:val="18"/>
          <w:color w:val="auto"/>
        </w:rPr>
        <w:t>means a person who is intended to receive a notice.</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 xml:space="preserve">Regulatory Requirement </w:t>
      </w:r>
      <w:r>
        <w:rPr>
          <w:rFonts w:ascii="Arial" w:cs="Arial" w:eastAsia="Arial" w:hAnsi="Arial"/>
          <w:sz w:val="18"/>
          <w:szCs w:val="18"/>
          <w:color w:val="auto"/>
        </w:rPr>
        <w:t>is a requirement (including a Code of Conduct) or, imposed or administered by a Government Agency or industry body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having jurisdiction over a party or the Services.</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 xml:space="preserve">Service Provider's Intellectual Property </w:t>
      </w:r>
      <w:r>
        <w:rPr>
          <w:rFonts w:ascii="Arial" w:cs="Arial" w:eastAsia="Arial" w:hAnsi="Arial"/>
          <w:sz w:val="18"/>
          <w:szCs w:val="18"/>
          <w:color w:val="auto"/>
        </w:rPr>
        <w:t>means all present and future Intellectual Property created, written or otherwise brought into existence by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behalf of the Service Provider completely independently of the performance of the Service Provider's obligations under this Agreement, and which Service Provider can demonstrate by written records has been developed completely independently of this Agreement and not been paid for directly or indirectly by ANZ.</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Services </w:t>
      </w:r>
      <w:r>
        <w:rPr>
          <w:rFonts w:ascii="Arial" w:cs="Arial" w:eastAsia="Arial" w:hAnsi="Arial"/>
          <w:sz w:val="18"/>
          <w:szCs w:val="18"/>
          <w:color w:val="auto"/>
        </w:rPr>
        <w:t>are the services described in Part 1 of the Schedule, to be performed by the Service Provider under this Agreement.</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 xml:space="preserve">Subcontract </w:t>
      </w:r>
      <w:r>
        <w:rPr>
          <w:rFonts w:ascii="Arial" w:cs="Arial" w:eastAsia="Arial" w:hAnsi="Arial"/>
          <w:sz w:val="18"/>
          <w:szCs w:val="18"/>
          <w:color w:val="auto"/>
        </w:rPr>
        <w:t>means a written agreement between the Service Provider and an Authorised Subcontractor, which relates to the provision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that Authorised Subcontractor.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1364"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Surviving Clauses </w:t>
      </w:r>
      <w:r>
        <w:rPr>
          <w:rFonts w:ascii="Arial" w:cs="Arial" w:eastAsia="Arial" w:hAnsi="Arial"/>
          <w:sz w:val="18"/>
          <w:szCs w:val="18"/>
          <w:color w:val="auto"/>
        </w:rPr>
        <w:t>means the following clauses:</w:t>
      </w:r>
    </w:p>
    <w:p>
      <w:pPr>
        <w:spacing w:after="0" w:line="225" w:lineRule="exact"/>
        <w:rPr>
          <w:sz w:val="20"/>
          <w:szCs w:val="20"/>
          <w:color w:val="auto"/>
        </w:rPr>
      </w:pPr>
    </w:p>
    <w:p>
      <w:pPr>
        <w:jc w:val="both"/>
        <w:ind w:left="1300" w:firstLine="5"/>
        <w:spacing w:after="0" w:line="288" w:lineRule="auto"/>
        <w:tabs>
          <w:tab w:leader="none" w:pos="155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clause 1 – (Interpretation); (b) clause 2.4 – (Consequences of termination); (c) clause 5.1(a) – (Reports); (d) clause 5.6(i) - (Obligations of Personnel); (e) clause 8 – (Confidentiality); (f) clause 9 – (Privacy); (g) clause 10 – (Publicity); (h) clause 11 – (Intellectual Property and Moral Rights); (i) clause 12 – (Insurance and workers compensation); (j) clause 15 – (Indemnities and Liability); (k) clause 16 – (Set-off);</w:t>
      </w:r>
    </w:p>
    <w:p>
      <w:pPr>
        <w:ind w:left="1300" w:firstLine="5"/>
        <w:spacing w:after="0" w:line="261" w:lineRule="auto"/>
        <w:tabs>
          <w:tab w:leader="none" w:pos="15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clause 17 – (Dispute resolution); (m) clause 18 – (Notices);and (n) clause 19 – (Miscellaneous) and those parts of the Schedules which need to survive to give effect to the above provisions.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means the term of this Agreement, as determined in accordance with clause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Valid Tax Invoice </w:t>
      </w:r>
      <w:r>
        <w:rPr>
          <w:rFonts w:ascii="Arial" w:cs="Arial" w:eastAsia="Arial" w:hAnsi="Arial"/>
          <w:sz w:val="18"/>
          <w:szCs w:val="18"/>
          <w:color w:val="auto"/>
        </w:rPr>
        <w:t>has the meaning given to it under clause 1.1 of Annexure 2.</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General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unless the context otherwise requires:</w:t>
      </w:r>
    </w:p>
    <w:p>
      <w:pPr>
        <w:spacing w:after="0" w:line="252"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an individual or person includes a corporation, partnership, joint venture, association, authority, trust, state or government and vice versa;</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 recital, clause, schedule, annexure or exhibit is to a recital, clause, schedule, annexure or exhibit of or to this Agreement unless the context requires otherwise;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recital, schedule, annexure or a description of the parties forms part of this Agreement;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any agreement or document is to that agreement or document (and, where applicable, any of its provisions) as amended, novated, supplemented or replaced from time to time;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 party is a reference to a party to this Agreement;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any party to this Agreement or any other document or arrangement includes that party’s executors, administrators, substitutes, successors and permitted assigns;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where an expression is defined, another part of speech or grammatical form of that expression has a corresponding meaning;</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an agreement other than this Agreement includes an undertaking, deed, agreement or legally enforceable arrangement or understanding, whether or not in writing;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examples are descriptive only and not exhaustive and “including” and similar expressions are not words of limitation;</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promise or agreement by two or more persons binds each person individually and all of them jointly (provided that to the extent any legislation requires the liability of a person to be proportionate to that person's responsibility for the acts or omissions resulting in that liability, the effect of which legislation cannot lawfully be excluded or modified, this Agreement does not purport to exclude or modify the effect of such legislation);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 right includes a remedy, power, authority, discretion or benefit;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provision must not be construed against a party merely because that party was responsible for preparing this Agreement or that provision;</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reference to any legislation or legislative provision includes any statutory modification or re-enactment of, or legislative provision substituted for, and any subordinate legislation issued under, that legislation or legislative provision;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reference to any professional institute, association or body includes any succeeding institute, association or body serving similar objects.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1364"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603250</wp:posOffset>
            </wp:positionV>
            <wp:extent cx="1115060" cy="3771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Business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day on or by which something must be done is not a Business Day, that thing must be done on or by the next Business Day.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Consents and approvals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the doing of any act, matter or thing under this Agreement is dependent on the consent or approval of a party or is within the discretion of a party, the consent or approval may be given or the discretion may be exercised conditionally or unconditionally or withheld by the party in its absolute discretion, unless express provision to the contrary has been made.</w:t>
      </w:r>
    </w:p>
    <w:p>
      <w:pPr>
        <w:spacing w:after="0" w:line="177"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Term</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Agreement commences on the Commencement Date and continues until the end of the Initial Term unless ANZ terminates this Agreement by at least such number of days' prior written notice to the Service Provider as is specified in Part 1 of the Schedule.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Termination by ANZ for cause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ANZ may terminate this Agreement with immediate effect by written notice to the Service Provider:</w:t>
      </w:r>
    </w:p>
    <w:p>
      <w:pPr>
        <w:spacing w:after="0" w:line="252" w:lineRule="exact"/>
        <w:rPr>
          <w:sz w:val="20"/>
          <w:szCs w:val="20"/>
          <w:color w:val="auto"/>
        </w:rPr>
      </w:pPr>
    </w:p>
    <w:p>
      <w:pPr>
        <w:ind w:left="1300" w:hanging="644"/>
        <w:spacing w:after="0" w:line="277"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 Service Provider commits a material breach of this Agreement which is not remediable, or (where the breach is capable of remedy) is not remedied within 14 days after being required by notice to do so;</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the Service Provider materially breaches this Agreement two or more times, regardless of whether such breaches are remedied;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there is a change in Effective Control of the Service Provider without the prior written consent of ANZ;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 Service Provider becomes Insolvent.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Termination by the Service Provider for cause</w:t>
      </w:r>
    </w:p>
    <w:p>
      <w:pPr>
        <w:spacing w:after="0" w:line="225"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The Service Provider may terminate this Agreement with immediate effect by written notice to ANZ if ANZ fails to pay any Fees, which Fees are not the subject of a bona fide dispute, due for payment under this Agreement within 60 days after being required by notice to pay those Fees.</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Consequences of termination</w:t>
      </w:r>
    </w:p>
    <w:p>
      <w:pPr>
        <w:spacing w:after="0" w:line="225"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this Agreement is terminated:</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termination, however caused, is without prejudice to any rights or liabilities of the parties accruing as at the date of termination; and</w:t>
      </w:r>
    </w:p>
    <w:p>
      <w:pPr>
        <w:spacing w:after="0" w:line="248" w:lineRule="exact"/>
        <w:rPr>
          <w:rFonts w:ascii="Arial" w:cs="Arial" w:eastAsia="Arial" w:hAnsi="Arial"/>
          <w:sz w:val="16"/>
          <w:szCs w:val="16"/>
          <w:color w:val="auto"/>
        </w:rPr>
      </w:pPr>
    </w:p>
    <w:p>
      <w:pPr>
        <w:ind w:left="1880" w:hanging="575"/>
        <w:spacing w:after="0" w:line="277" w:lineRule="auto"/>
        <w:tabs>
          <w:tab w:leader="none" w:pos="18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Service Provider is not entitled in contract, tort, in equity or otherwise to any payment or compensation for losses incurred as a result of the termination of the Service Provider’s engagement, except as provided under clause 2.4(d).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ANZ terminates the Agreement in accordance with clause 2.1, ANZ may, at its sole discretion, elect to pay the Service Provider in lieu of the notice period specified in Part 1 of the Schedule.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ANZ terminates the Agreement in accordance with clause 2.2 :</w:t>
      </w:r>
    </w:p>
    <w:p>
      <w:pPr>
        <w:spacing w:after="0" w:line="225" w:lineRule="exact"/>
        <w:rPr>
          <w:rFonts w:ascii="Arial" w:cs="Arial" w:eastAsia="Arial" w:hAnsi="Arial"/>
          <w:sz w:val="18"/>
          <w:szCs w:val="18"/>
          <w:color w:val="auto"/>
        </w:rPr>
      </w:pPr>
    </w:p>
    <w:p>
      <w:pPr>
        <w:jc w:val="both"/>
        <w:ind w:left="1900" w:hanging="595"/>
        <w:spacing w:after="0" w:line="264" w:lineRule="auto"/>
        <w:tabs>
          <w:tab w:leader="none" w:pos="1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ANZ is not required to make any further payment to the Service Provider and the rights and liabilities of the parties are the same as they would be at common law if the Service Provider had wrongfully repudiated the Agreement and ANZ had elected to treat the Agreement as at an end and recover damages; and</w:t>
      </w:r>
    </w:p>
    <w:p>
      <w:pPr>
        <w:spacing w:after="0" w:line="181" w:lineRule="exact"/>
        <w:rPr>
          <w:rFonts w:ascii="Arial" w:cs="Arial" w:eastAsia="Arial" w:hAnsi="Arial"/>
          <w:sz w:val="18"/>
          <w:szCs w:val="18"/>
          <w:color w:val="auto"/>
        </w:rPr>
      </w:pPr>
    </w:p>
    <w:p>
      <w:pPr>
        <w:jc w:val="both"/>
        <w:ind w:left="1880" w:hanging="575"/>
        <w:spacing w:after="0" w:line="279" w:lineRule="auto"/>
        <w:tabs>
          <w:tab w:leader="none" w:pos="18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Service Provider is liable for and indemnifies and must keep indemnified ANZ and the ANZ Group members from and against any and all Claims incurred by ANZ in engaging others to complete the provision of the services described in Part 1 of the Schedule (to the extent to which those Claims exceed the sum that would have been payable to the Service Provider to complete the provision of the Services) and any other losses suffered by ANZ as a result of the termination.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1391"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586740</wp:posOffset>
            </wp:positionV>
            <wp:extent cx="1115060" cy="3771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jc w:val="both"/>
        <w:ind w:left="1300" w:hanging="644"/>
        <w:spacing w:after="0" w:line="259"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ANZ terminates this Agreement for any reason other than as specified in clause 2.2, or the Service Provider terminates this Agreement under clause 2.3, ANZ must pay to the Service Provider the Fee for, and only for and in respect of the Services provided up to and including the date of termination, determined by ANZ (acting reasonably), less any amount ANZ is entitled to deduct or withhold under this Agreement, including under any indemnity or set-off.</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For the purpose of clauses 2.4(d) of this Agreement, in the absence of a method of calculation as to Fees to be refunded to ANZ or due to be paid by ANZ in respect of Services rendered, such Fees shall be determined on a pro rata basis by reference to the proportion of the Services rendered to that date.</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Independent Contractor</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ANZ appoints the Service Provider on a non-exclusive basis as an independent contractor, and the Service Provider accepts the appointment, to perform the Services for ANZ on the terms and conditions of this Agreement.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No employment relationship</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Nothing in this Agreement is to be construed as creating an employment relationship between the Service Provider or Service Provider Personnel (including the Contractor(s)), and ANZ or any ANZ Group member.</w:t>
      </w:r>
    </w:p>
    <w:p>
      <w:pPr>
        <w:spacing w:after="0" w:line="166"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Commencement of Services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Term, the Service Provider must provide the Services to ANZ in accordance with this Agreement, as and when requested by ANZ by written notice from time to time, and for such time periods as may be requested by ANZ in such notices. To avoid doubt, only Contractor(s) will provide the Services to ANZ.</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Performance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Service Provider must:</w:t>
      </w:r>
    </w:p>
    <w:p>
      <w:pPr>
        <w:spacing w:after="0" w:line="252" w:lineRule="exact"/>
        <w:rPr>
          <w:sz w:val="20"/>
          <w:szCs w:val="20"/>
          <w:color w:val="auto"/>
        </w:rPr>
      </w:pPr>
    </w:p>
    <w:p>
      <w:pPr>
        <w:ind w:left="1300" w:hanging="644"/>
        <w:spacing w:after="0" w:line="277" w:lineRule="auto"/>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provide all of the Services on the terms and conditions of this Agreement and in accordance with the requirements as specified in Part 1 of the Schedule;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comply with any reasonable and lawful instruction or direction of ANZ relating to the performance of the Services including without limitation comply with all security regulations or procedures;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satisfy any reasonable standard or protocol notified by ANZ at any time. Upon request, a copy of any relevant standard or protocol will be supplied to the Service Provider by ANZ;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perform the services: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accordance with suitable and appropriate methods and practices;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a manner that could reasonably be expected to protect the interests of ANZ in discharging its duties under the Law.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1364"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RESPONSIBILITIES AND OBLIGATIONS OF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General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Service Provider must:</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provide information and report to ANZ as requested, in writing if required, in relation to any aspect of the Services; and attend and participate as reasonably required by ANZ in meetings with ANZ.</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Compliance with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Service Provider must:</w:t>
      </w:r>
    </w:p>
    <w:p>
      <w:pPr>
        <w:spacing w:after="0" w:line="252" w:lineRule="exact"/>
        <w:rPr>
          <w:sz w:val="20"/>
          <w:szCs w:val="20"/>
          <w:color w:val="auto"/>
        </w:rPr>
      </w:pPr>
    </w:p>
    <w:p>
      <w:pPr>
        <w:jc w:val="both"/>
        <w:ind w:left="1300" w:right="20" w:hanging="644"/>
        <w:spacing w:after="0" w:line="264"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comply with applicable Law, any sanction imposed by any country (including any sanction that supports a decision or resolution of the United Nations Security Council), all Regulatory Requirements and all Codes of Conduct applicable to the performance by the Service Provider of its obligations under this Agreement;</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 infringe any rights (including Intellectual Property rights) of any person or otherwise be unlawful toward any person in performing the Services;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promptly notify ANZ of any incident (which is notifiable pursuant to any Law or Regulatory Requirement) that occurs in performing its obligations under this Agreement or while on any premises of ANZ or in contact with any Personnel of ANZ.</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Engagement and Withdrawal of Personnel</w:t>
      </w:r>
    </w:p>
    <w:p>
      <w:pPr>
        <w:spacing w:after="0" w:line="225"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Service Provider must only engage or employ Contractors to perform the Services who:</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are properly qualified and adequately experienced to perform the duties allocated to them or meet the requirements as specified in Part 1 of the Schedule;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exhibit a high standard of work and conduct.</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Service Provider must withdraw (immediately unless otherwise agreed) from the provision of the Services any Contractor, if, in ANZ’s reasonable opinion, that person, agent or organisation is unsatisfactory. If ANZ makes a request in accordance with this clause 5.3(b), the Service Provider must use its best endeavours to provide a replacement person, agent or organisation satisfactory to ANZ as soon as reasonably practicable.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Service Provider must use its best endeavours to ensure that all Personnel:</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comply with all applicable Laws, procedures, rules, regulations, standards of conduct and lawful directions of ANZ in respect of the use of premises, equipment, business ethics or methodologies, or contact with its staff or customers in each case of ANZ or any ANZ Group member;</w:t>
      </w:r>
    </w:p>
    <w:p>
      <w:pPr>
        <w:spacing w:after="0" w:line="181" w:lineRule="exact"/>
        <w:rPr>
          <w:rFonts w:ascii="Arial" w:cs="Arial" w:eastAsia="Arial" w:hAnsi="Arial"/>
          <w:sz w:val="18"/>
          <w:szCs w:val="18"/>
          <w:color w:val="auto"/>
        </w:rPr>
      </w:pPr>
    </w:p>
    <w:p>
      <w:pPr>
        <w:ind w:left="1960" w:hanging="655"/>
        <w:spacing w:after="0" w:line="308" w:lineRule="auto"/>
        <w:tabs>
          <w:tab w:leader="none" w:pos="196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while on ANZ's premises or any premises of an ANZ Group member, comply with all applicable occupational health or safety policies of ANZ, including those annexed to this Agreement and those relating to a smoke free work environment;</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act diligently, ethically, soberly and honestly;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do not represent in any way that they are employees or agents of ANZ or any ANZ Group member;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carry at all times, while on any premises of ANZ or any ANZ Group member, appropriate company identification;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do not otherwise act in any manner that could disrupt or adversely affect ANZ’s business reputation, interests or goodwill.</w:t>
      </w:r>
    </w:p>
    <w:p>
      <w:pPr>
        <w:spacing w:after="0" w:line="23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any legislation requires ANZ to pay any of the Service Provider's employees directly in connection with their role in or in relation to the provision of the Services, the Service Provider must reimburse ANZ for all such payments in advance where practicable, but in any case within 10 Business Days after receipt of a tax invoice from ANZ.</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1364"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Conflicts of interest</w:t>
      </w:r>
    </w:p>
    <w:p>
      <w:pPr>
        <w:spacing w:after="0" w:line="225" w:lineRule="exact"/>
        <w:rPr>
          <w:sz w:val="20"/>
          <w:szCs w:val="20"/>
          <w:color w:val="auto"/>
        </w:rPr>
      </w:pPr>
    </w:p>
    <w:p>
      <w:pPr>
        <w:ind w:left="1300" w:right="20" w:hanging="644"/>
        <w:spacing w:after="0" w:line="277" w:lineRule="auto"/>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Service Provider represents and warrants that to the best of its knowledge, no Conflict exists as at the date of this Agreement and no Conflict is likely to arise in the performance of its obligations or exercise of its rights under this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Service Provider must take all reasonable steps to avoid a Conflict.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 Conflict does arise, or if the Service Provider becomes aware that another party perceives a Conflict exists or is likely to arise, the Service Provider must immediately notify ANZ.</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Service Provider must not permit any Conflict to exist without the express written consent of ANZ.</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Contractors</w:t>
      </w:r>
    </w:p>
    <w:p>
      <w:pPr>
        <w:spacing w:after="0" w:line="225" w:lineRule="exact"/>
        <w:rPr>
          <w:sz w:val="20"/>
          <w:szCs w:val="20"/>
          <w:color w:val="auto"/>
        </w:rPr>
      </w:pPr>
    </w:p>
    <w:p>
      <w:pPr>
        <w:ind w:left="1300" w:hanging="644"/>
        <w:spacing w:after="0" w:line="277" w:lineRule="auto"/>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Service Provider is responsible for validating with the Candidates whether the Candidate has the right to work in the country of location of employment specified by the Principal and must perform this task for each Candidate.</w:t>
      </w:r>
    </w:p>
    <w:p>
      <w:pPr>
        <w:spacing w:after="0" w:line="170"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Service Provider shall ensure that the Contractor is able to represent ANZ in accordance with its high standards of integrity and professionalism. For that reason, the commencement of a Contractor’s performance of the Services is contingent upon the background screening processes in accordance with this clause. The matters investigated must include whether the individual is in good standing with the regulatory bodies that govern ANZ’s industry, where applicable. Subject to applicable laws and regulations of the relevant jurisdiction, such processes may also include the verification of employment history and education; an identity check; right to work; a search for criminal convictions; anti-money laundering and counter terrorism financing check; economic and trade sanctions check; bankruptcy check; conflicts of interest; a media/local press search and any other screening as required or specified by ANZ. The above checks will be undertaken by a third party provider appointed by ANZ and at ANZ’s own expense. The Service Provider is expected to advise each Contractor of this policy.</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Where ANZ is not satisfied, for any reason and at its sole discretion, with a Contractor proposed by the Service Provider, the Service Provider must nominate an alternative person (or persons) for approval by ANZ.</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avoid doubt, a Contractor may be a personnel member of an Authorized Subcontractor. The Service Provider must ensure that each Authorized Subcontractor acknowledges and agrees to comply with this clause 5.5 with respect to such personnel.</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Obligations in respect of Personnel</w:t>
      </w:r>
    </w:p>
    <w:p>
      <w:pPr>
        <w:spacing w:after="0" w:line="225"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Service Provider acknowledges that:</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it will continue to pay directly to the Contractor all salary and other related employment benefits and leave entitlements;</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it will comply with all legislative requirements which arise as a result of the employment of the Contractor by the Service Provider;</w:t>
      </w:r>
    </w:p>
    <w:p>
      <w:pPr>
        <w:spacing w:after="0" w:line="248" w:lineRule="exact"/>
        <w:rPr>
          <w:rFonts w:ascii="Arial" w:cs="Arial" w:eastAsia="Arial" w:hAnsi="Arial"/>
          <w:sz w:val="16"/>
          <w:szCs w:val="16"/>
          <w:color w:val="auto"/>
        </w:rPr>
      </w:pPr>
    </w:p>
    <w:p>
      <w:pPr>
        <w:ind w:left="1880" w:hanging="575"/>
        <w:spacing w:after="0"/>
        <w:tabs>
          <w:tab w:leader="none" w:pos="18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it is responsible for and will comply with all legislative requirements related to Taxes and social security applying to the employees;</w:t>
      </w:r>
    </w:p>
    <w:p>
      <w:pPr>
        <w:spacing w:after="0" w:line="248" w:lineRule="exact"/>
        <w:rPr>
          <w:rFonts w:ascii="Arial" w:cs="Arial" w:eastAsia="Arial" w:hAnsi="Arial"/>
          <w:sz w:val="16"/>
          <w:szCs w:val="16"/>
          <w:color w:val="auto"/>
        </w:rPr>
      </w:pPr>
    </w:p>
    <w:p>
      <w:pPr>
        <w:ind w:left="1880" w:hanging="575"/>
        <w:spacing w:after="0" w:line="277" w:lineRule="auto"/>
        <w:tabs>
          <w:tab w:leader="none" w:pos="18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it will be responsible for any and all payments to the Contractor of the Service Provider in relation to the Services or any part of them; and</w:t>
      </w:r>
    </w:p>
    <w:p>
      <w:pPr>
        <w:spacing w:after="0" w:line="170" w:lineRule="exact"/>
        <w:rPr>
          <w:rFonts w:ascii="Arial" w:cs="Arial" w:eastAsia="Arial" w:hAnsi="Arial"/>
          <w:sz w:val="18"/>
          <w:szCs w:val="18"/>
          <w:color w:val="auto"/>
        </w:rPr>
      </w:pPr>
    </w:p>
    <w:p>
      <w:pPr>
        <w:ind w:left="1880" w:hanging="575"/>
        <w:spacing w:after="0" w:line="277" w:lineRule="auto"/>
        <w:tabs>
          <w:tab w:leader="none" w:pos="18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neither the Service Provider, nor any agents of the Service Provider or Service Provider Personnel are entitled to any CPF contributions from ANZ or any ANZ Group Member.</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Without limiting clause 5.6(a), the Service Provider is responsible for and indemnifies and must keep indemnified ANZ and the ANZ Group members from and against any and all income tax and payroll tax payable by either party (or any other ANZ Group member) under any income tax or payroll legislation, or any other statute imposing any liability for taxation in respect of the Service Provider or its Personnel, whether foreseeable or not.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1364"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603250</wp:posOffset>
            </wp:positionV>
            <wp:extent cx="1115060" cy="3771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jc w:val="both"/>
        <w:ind w:left="1300" w:hanging="644"/>
        <w:spacing w:after="0" w:line="264"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Service Provider agrees that the remuneration and the expenses referred to in this Agreement constitute the only remuneration or financial benefits to which the Service Provider is or may become entitled in connection with this Agreement and the Service Provider acknowledges that:</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ANZ will have no responsibility to the Service Provider, any of Service Provider’s agents or Service Provider Personnel (including any Contractor) in respect of remuneration, other related employment benefits or compliance with legislative requirements in relation to employees; and</w:t>
      </w:r>
    </w:p>
    <w:p>
      <w:pPr>
        <w:spacing w:after="0" w:line="181"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Contractor is not, nor will be, entitled to receive any redundancy payments, long service leave, sick leave, parental leave, holiday pay, superannuation benefits or any other benefits from ANZ in connection with this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Management of Personnel</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Service Provider must ensure that the Contractor(s) are dedicated to the performance of the Services and available to perform the Services at all times and will not remove or redeploy Contractors performing Services without the prior written permission of ANZ. The Service Provider must notify ANZ immediately if for any reason a Contractor becomes unable to perform the Services and suggest a suitable replacement person with equivalent skill and experience.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Service Provider to Protect ANZ Property</w:t>
      </w:r>
    </w:p>
    <w:p>
      <w:pPr>
        <w:spacing w:after="0" w:line="22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 Service Provider must ensure that all information and materials of ANZ in the custody of the Service Provider for purposes connected with this Agreement are protected at all times from unauthorised access or use by any third party, and from misuse, damage or destruction by any person. The Service Provider should be liable for the cost of reinstating the works or any part thereof damaged or destroyed by any cause of event whatsoever arising from carrying out of the services to the extent of the same is solely and directly due to an act or omission of the Service Provider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ANZ Electronic Processes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Where applicable, the Service Provider will integrate with ANZ’s current electronic processes in the following areas: invoicing, payments and reporting.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Sustainability</w:t>
      </w:r>
    </w:p>
    <w:p>
      <w:pPr>
        <w:spacing w:after="0" w:line="225" w:lineRule="exact"/>
        <w:rPr>
          <w:sz w:val="20"/>
          <w:szCs w:val="20"/>
          <w:color w:val="auto"/>
        </w:rPr>
      </w:pPr>
    </w:p>
    <w:p>
      <w:pPr>
        <w:ind w:left="1300" w:right="20" w:hanging="644"/>
        <w:spacing w:after="0" w:line="277"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Service Provider acknowledges that ANZ is committed to engaging Service Providers whose environmental, ethical and social performance is of a high standard;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Service Provider must comply with ANZ’s Supplier Code of Practice published from time to time at www.</w:t>
      </w:r>
      <w:r>
        <w:rPr>
          <w:rFonts w:ascii="Arial" w:cs="Arial" w:eastAsia="Arial" w:hAnsi="Arial"/>
          <w:sz w:val="18"/>
          <w:szCs w:val="18"/>
          <w:i w:val="1"/>
          <w:iCs w:val="1"/>
          <w:color w:val="auto"/>
        </w:rPr>
        <w:t>anz.com</w:t>
      </w:r>
      <w:r>
        <w:rPr>
          <w:rFonts w:ascii="Arial" w:cs="Arial" w:eastAsia="Arial" w:hAnsi="Arial"/>
          <w:sz w:val="18"/>
          <w:szCs w:val="18"/>
          <w:color w:val="auto"/>
        </w:rPr>
        <w:t xml:space="preserve"> and such other document as may be notified to the Service Provider by ANZ from time to time.</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No subcontracting without consent</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Service Provider must not subcontract the performance of any of its obligations under this Agreement without the prior written consent of ANZ. For the purposes of this Agreement, ANZ consents to the Service Provider subcontracting the work described in Part 1 of the Schedule to the corresponding entities named in Part 1 of the Schedule (</w:t>
      </w:r>
      <w:r>
        <w:rPr>
          <w:rFonts w:ascii="Arial" w:cs="Arial" w:eastAsia="Arial" w:hAnsi="Arial"/>
          <w:sz w:val="18"/>
          <w:szCs w:val="18"/>
          <w:b w:val="1"/>
          <w:bCs w:val="1"/>
          <w:i w:val="1"/>
          <w:iCs w:val="1"/>
          <w:color w:val="auto"/>
        </w:rPr>
        <w:t>Authorised Subcontractor</w:t>
      </w:r>
      <w:r>
        <w:rPr>
          <w:rFonts w:ascii="Arial" w:cs="Arial" w:eastAsia="Arial" w:hAnsi="Arial"/>
          <w:sz w:val="18"/>
          <w:szCs w:val="18"/>
          <w:color w:val="auto"/>
        </w:rPr>
        <w:t>).</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Obligations in relation to subcontractors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ANZ does consent under clause 6.1 to the Service Provider subcontracting specific obligations under this Agreement to an Authorised Subcontractor the Service Provider remains principally liable for the performance of its obligations under this Agreement. The Service Provider retains full responsibility for the acts, omissions, defaults and/or negligence of its Authorised Subcontractors.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1391"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FEES, INVOICING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4"/>
          <w:szCs w:val="14"/>
          <w:color w:val="auto"/>
        </w:rPr>
        <w:t>Fees</w:t>
      </w:r>
    </w:p>
    <w:p>
      <w:pPr>
        <w:spacing w:after="0" w:line="225"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Fees payable by ANZ are: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calculated in accordance with Part 2 of the Schedule, on a time and material basis.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ANZ’s obligation to pay the Fees under paragraph (a) is subject to:</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those Fees being properly due and payable;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proper performance of the Services;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proper submission by the Service Provider of a Valid Tax Invoice in accordance with clause 7.2;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ANZ not disputing the Valid Tax Invoice in accordance with clause 7.3.</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Submission of Valid Tax Invoice</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Monthly Invoice Date, the Service Provider must submit a Valid Tax Invoice to the ANZ Representative as specified in Part 1 of the Schedule (or the person nominated by the ANZ Representative in writing from time to time) for the Fees accrued for Services provided or used in the previous month.</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Processing of Valid Tax Invoices</w:t>
      </w:r>
    </w:p>
    <w:p>
      <w:pPr>
        <w:spacing w:after="0" w:line="252" w:lineRule="exact"/>
        <w:rPr>
          <w:sz w:val="20"/>
          <w:szCs w:val="20"/>
          <w:color w:val="auto"/>
        </w:rPr>
      </w:pPr>
    </w:p>
    <w:p>
      <w:pPr>
        <w:ind w:left="1300" w:hanging="644"/>
        <w:spacing w:after="0" w:line="277" w:lineRule="auto"/>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ANZ must assess the accuracy of the Valid Tax Invoice (including its obligation to pay the Valid Tax Invoice under the terms of clause 7.1(b)).</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If ANZ disputes the accuracy of the Valid Tax Invoice or its obligation to pay the invoiced amount, it may issue a statement (an </w:t>
      </w:r>
      <w:r>
        <w:rPr>
          <w:rFonts w:ascii="Arial" w:cs="Arial" w:eastAsia="Arial" w:hAnsi="Arial"/>
          <w:sz w:val="18"/>
          <w:szCs w:val="18"/>
          <w:b w:val="1"/>
          <w:bCs w:val="1"/>
          <w:i w:val="1"/>
          <w:iCs w:val="1"/>
          <w:color w:val="auto"/>
        </w:rPr>
        <w:t>Invoice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Query Statement</w:t>
      </w:r>
      <w:r>
        <w:rPr>
          <w:rFonts w:ascii="Arial" w:cs="Arial" w:eastAsia="Arial" w:hAnsi="Arial"/>
          <w:sz w:val="18"/>
          <w:szCs w:val="18"/>
          <w:color w:val="auto"/>
        </w:rPr>
        <w:t>) to the Service Provider within 10 calendar days after the receipt of a Valid Tax Invoice setting out the discrepancy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invoiced amount and what ANZ believes to be the correct amount.</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receipt of an Invoice Query Statement, the Service Provider must within 7 calendar days reconsider its Valid Tax Invoice and either confirm the Valid Tax Invoice, re-issue an adjusted Valid Tax Invoice or, if agreed with ANZ, notify ANZ that it will adjust the Valid Tax Invoice of the subsequent month to rectify the discrepancy.</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ANZ may, acting reasonably, request the Service Provider (at the Service Provider’s cost) to supply additional information and documentary evidence to substantiate each Valid Tax Invoice.</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anything in this clause 7.3, where ANZ has failed to issue an Invoice Query Statement and subsequently disputes a Valid Tax Invoice, the rights and liabilities of the parties are the same as they would be at common law and ANZ’s failure to issue the Invoice Query Statement does not constitute a waiver of any of its common law rights.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1364"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586740</wp:posOffset>
            </wp:positionV>
            <wp:extent cx="1115060" cy="3771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Payment of Valid Tax Invoices</w:t>
      </w:r>
    </w:p>
    <w:p>
      <w:pPr>
        <w:spacing w:after="0" w:line="225" w:lineRule="exact"/>
        <w:rPr>
          <w:sz w:val="20"/>
          <w:szCs w:val="20"/>
          <w:color w:val="auto"/>
        </w:rPr>
      </w:pPr>
    </w:p>
    <w:p>
      <w:pPr>
        <w:ind w:left="1300" w:hanging="644"/>
        <w:spacing w:after="0" w:line="277" w:lineRule="auto"/>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Where there is no dispute between the parties in relation to a Valid Tax Invoice, ANZ must pay the invoiced amount to the Service Provider within 30 calendar days of receiving the Valid Tax Invoice.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Where there is a dispute between the parties in relation to a Valid Tax Invoice:</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ANZ may request the Service Provider to reissue the Valid Tax Invoice (</w:t>
      </w:r>
      <w:r>
        <w:rPr>
          <w:rFonts w:ascii="Arial" w:cs="Arial" w:eastAsia="Arial" w:hAnsi="Arial"/>
          <w:sz w:val="17"/>
          <w:szCs w:val="17"/>
          <w:b w:val="1"/>
          <w:bCs w:val="1"/>
          <w:i w:val="1"/>
          <w:iCs w:val="1"/>
          <w:color w:val="auto"/>
        </w:rPr>
        <w:t>Reissued Invoice</w:t>
      </w:r>
      <w:r>
        <w:rPr>
          <w:rFonts w:ascii="Arial" w:cs="Arial" w:eastAsia="Arial" w:hAnsi="Arial"/>
          <w:sz w:val="17"/>
          <w:szCs w:val="17"/>
          <w:color w:val="auto"/>
        </w:rPr>
        <w:t>) for the undisputed component;</w:t>
      </w:r>
    </w:p>
    <w:p>
      <w:pPr>
        <w:spacing w:after="0" w:line="236" w:lineRule="exact"/>
        <w:rPr>
          <w:rFonts w:ascii="Arial" w:cs="Arial" w:eastAsia="Arial" w:hAnsi="Arial"/>
          <w:sz w:val="17"/>
          <w:szCs w:val="17"/>
          <w:color w:val="auto"/>
        </w:rPr>
      </w:pPr>
    </w:p>
    <w:p>
      <w:pPr>
        <w:ind w:left="1960" w:hanging="655"/>
        <w:spacing w:after="0" w:line="308" w:lineRule="auto"/>
        <w:tabs>
          <w:tab w:leader="none" w:pos="196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ANZ must pay the non-disputed component (if any) of the invoiced amount to the Service Provider within 30 calendar days of receiving the Valid Tax Invoice or (where applicable) within 30 calendar days of receiving the Reissued Invoice; and</w:t>
      </w:r>
    </w:p>
    <w:p>
      <w:pPr>
        <w:spacing w:after="0" w:line="146" w:lineRule="exact"/>
        <w:rPr>
          <w:rFonts w:ascii="Arial" w:cs="Arial" w:eastAsia="Arial" w:hAnsi="Arial"/>
          <w:sz w:val="17"/>
          <w:szCs w:val="17"/>
          <w:color w:val="auto"/>
        </w:rPr>
      </w:pPr>
    </w:p>
    <w:p>
      <w:pPr>
        <w:jc w:val="both"/>
        <w:ind w:left="1960" w:hanging="655"/>
        <w:spacing w:after="0" w:line="257" w:lineRule="auto"/>
        <w:tabs>
          <w:tab w:leader="none" w:pos="19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dispute involving the disputed component of the invoiced amount must be dealt with under clause 17. Where ANZ is found to be (or concedes that it is) incorrect in challenging the correctness of any Valid Tax Invoice, it will pay interest at ANZ’s commercial overdraft rate on the disputed component of the invoiced amount from the date of payment back to the date when the invoiced amount was due for payment. Any other matters in relation to the disputed component of the invoiced amount will be determined as part of the dispute resolution under clause 17.</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amounts payable under this Agreement are payable in RMB unless specified otherwise. (See also Part 1 of the Schedule)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Effect of 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of any amount by ANZ is to be taken only as a payment on account, and is not:</w:t>
      </w:r>
    </w:p>
    <w:p>
      <w:pPr>
        <w:spacing w:after="0" w:line="252"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evidence or an admission by ANZ that the Services have been provided in accordance with this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evidence of the value of the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 admission of liability; nor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acceptance or approval by ANZ of the Service Provider’s performance.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Payments made in error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 Service Provider’s responsibility to:</w:t>
      </w:r>
    </w:p>
    <w:p>
      <w:pPr>
        <w:spacing w:after="0" w:line="252" w:lineRule="exact"/>
        <w:rPr>
          <w:sz w:val="20"/>
          <w:szCs w:val="20"/>
          <w:color w:val="auto"/>
        </w:rPr>
      </w:pPr>
    </w:p>
    <w:p>
      <w:pPr>
        <w:ind w:left="1300" w:hanging="644"/>
        <w:spacing w:after="0"/>
        <w:tabs>
          <w:tab w:leader="none" w:pos="13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ensure that ANZ is only requested to pay Fees properly due and owing;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provide a refund to ANZ for any amounts in respect of these items paid in error.</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Ownership of Confidential Information</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Service Provider acknowledges that the Confidential Information is, and remains at all times, the property of ANZ. This Agreement does not convey any proprietary or other interest in the Confidential Information to the Service Provider or any other person.</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Protection of Confidential Information</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Service Provider must keep, and procure that each of its Personnel keep, the Confidential Information strictly confidential and not disclose it or allow it to become available directly or indirectly to any third party, except as provided for in this Agreement. This obligation continues after the termination of this Agreement and will continue until the information no longer constitutes Confidential Information.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Authorised use of Confidential Information</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Service Provider must not access or use the Confidential Information for any reason except as strictly necessary for performing its obligations or exercising its rights under this Agreement, or otherwise with ANZ’s prior written consent and if any specific purpose has been identified by ANZ as the purpose for which the Confidential Information was provided to the Service Provider, the Service Provider may use the Confidential Information for such specified purpose only. The Service Provider must strictly comply with: (i) all Laws and Regulatory Requirements (including guidelines and codes or conducts) application to the Confidential Information) any restraint on the use of the Confidential Information that may be stipulated by ANZ at any time.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1364" w:right="239" w:bottom="387"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586740</wp:posOffset>
            </wp:positionV>
            <wp:extent cx="1115060" cy="3771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Authorised disclosure of Confidential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Service Provider may only disclose the Confidential Information:</w:t>
      </w:r>
    </w:p>
    <w:p>
      <w:pPr>
        <w:spacing w:after="0" w:line="252" w:lineRule="exact"/>
        <w:rPr>
          <w:sz w:val="20"/>
          <w:szCs w:val="20"/>
          <w:color w:val="auto"/>
        </w:rPr>
      </w:pPr>
    </w:p>
    <w:p>
      <w:pPr>
        <w:ind w:left="1300" w:right="20" w:hanging="644"/>
        <w:spacing w:after="0" w:line="277" w:lineRule="auto"/>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its Personnel, provided that it strictly complies with clause 8.6 and each applicable Law or Regulatory requirement (including guidelines and codes of conduct) relating to such disclosure;</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a specific third party (other than its Personnel), provided that it has obtained the prior written consent of ANZ to disclose the specific Confidential Information to that specific third party, and provided that the Service Provider and the third party strictly comply with clause 8.6, and with any conditions that may be stipulated by ANZ at any time; and</w:t>
      </w:r>
    </w:p>
    <w:p>
      <w:pPr>
        <w:spacing w:after="0" w:line="181"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the extent strictly required to comply with any Law or Regulatory Requirement provided the Service Provider must: (i) minimise the extent of the disclosure and give ANZ prompt notice containing reasonable details of the circumstances of the proposed disclosure and the relevant Confidential Information to be disclosed; and (ii) obtain ANZ’s written consent prior to disclosure.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Insider trading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clauses 8.3 and 8.4, the Service Provider must not, directly or indirectly:</w:t>
      </w:r>
    </w:p>
    <w:p>
      <w:pPr>
        <w:spacing w:after="0" w:line="252" w:lineRule="exact"/>
        <w:rPr>
          <w:sz w:val="20"/>
          <w:szCs w:val="20"/>
          <w:color w:val="auto"/>
        </w:rPr>
      </w:pPr>
    </w:p>
    <w:p>
      <w:pPr>
        <w:jc w:val="both"/>
        <w:ind w:left="1300" w:hanging="644"/>
        <w:spacing w:after="0" w:line="264"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deal in, or cause, procure or authorise another person to deal in, any securities listed on any stock exchange on the basis of the Confidential Information or any other price sensitive non-public information of which the Service Provider becomes aware as a result of the provision of, or in the course of providing, the Services (</w:t>
      </w:r>
      <w:r>
        <w:rPr>
          <w:rFonts w:ascii="Arial" w:cs="Arial" w:eastAsia="Arial" w:hAnsi="Arial"/>
          <w:sz w:val="18"/>
          <w:szCs w:val="18"/>
          <w:b w:val="1"/>
          <w:bCs w:val="1"/>
          <w:i w:val="1"/>
          <w:iCs w:val="1"/>
          <w:color w:val="auto"/>
        </w:rPr>
        <w:t>Inside Information</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communicate, or cause to be communicated, the Inside Information to any person, in contravention of any relevant Laws or Regulatory Requirements in relation to insider trading.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Reasonable precautions to maintain confidentiality</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Without limiting clause 8.2, the Service Provider must use best endeavours to maintain the confidentiality of the Confidential Information and to protect it from unauthorised access, use and disclosure, including:</w:t>
      </w:r>
    </w:p>
    <w:p>
      <w:pPr>
        <w:spacing w:after="0" w:line="197" w:lineRule="exact"/>
        <w:rPr>
          <w:sz w:val="20"/>
          <w:szCs w:val="20"/>
          <w:color w:val="auto"/>
        </w:rPr>
      </w:pPr>
    </w:p>
    <w:p>
      <w:pPr>
        <w:jc w:val="both"/>
        <w:ind w:left="1300" w:hanging="644"/>
        <w:spacing w:after="0" w:line="264"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restricting access to, and use of, the Confidential Information to those of its Personnel on a strictly and genuine need to know basis for the specific purpose for which the Confidential Information was disclosed by ANZ or, in the absence of an express or implied specific purpose, the purpose of performing this Agreement;</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notifying each of its Personnel and Authorised Disclosees that has access to the Confidential Information of the Service Provider’s obligations under this Agreement;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ensuring that its Personnel, former Personnel and Authorised Disclosees observe the terms of this clause as if they were the Service Provider;</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requested by ANZ, obtaining from each of its Personnel and Authorised Disclosees that has access to the Confidential Information, whether or not prior to disclosure of any Confidential Information to that person, an executed confidentiality statement in favour of ANZ in a form as set out in Annexure 1, and ensuring that such Personnel and Authorised Disclosees are aware of and comply with the requirements posed in relevant applicable laws;</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copying, modifying, summarising, producing derivations of, or incorporating within other material or otherwise reproducing the Confidential Information only as strictly required for performing this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complying with any reasonable security and safety procedures notified in writing to the Service Provider by ANZ;</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immediately notifying ANZ of any circumstance that comes to its attention regarding any actual or potential breach of confidentiality or any unauthorised access, disclosure or use of Confidential Information (including any such breach by any of the Service Provider’s Personnel or Authorised Subcontractor);</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making every effort to cooperate with ANZ in any investigation, prosecution or remedial action taken by ANZ in relation to the protection of the Confidential Information; and</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ensuring that it uses all practical and legal options available to it to ensure that the conduct of its Personnel, former Personnel and Authorised Disclosees does not result in a breach of this clause, and if such a breach does arise, that it is immediately ceased and remedied to the reasonable satisfaction of ANZ.</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1364" w:right="239" w:bottom="495"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Return of Confidential Information</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Upon the termination or expiry of this Agreement, or at any time upon the written request of ANZ (at its absolute discretion), the Service Provider must, subject to clause 8.8:</w:t>
      </w:r>
    </w:p>
    <w:p>
      <w:pPr>
        <w:spacing w:after="0" w:line="197" w:lineRule="exact"/>
        <w:rPr>
          <w:sz w:val="20"/>
          <w:szCs w:val="20"/>
          <w:color w:val="auto"/>
        </w:rPr>
      </w:pPr>
    </w:p>
    <w:p>
      <w:pPr>
        <w:ind w:left="1300" w:hanging="644"/>
        <w:spacing w:after="0" w:line="277" w:lineRule="auto"/>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deliver to ANZ any Confidential Information in the Service Provider’s (including its Personnel’s) possession or control that is reasonably capable of being delivered; and</w:t>
      </w:r>
    </w:p>
    <w:p>
      <w:pPr>
        <w:spacing w:after="0" w:line="170"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irretrievably delete, erase or otherwise destroy all Confidential Information in the Service Provider’s (including its Personnel’s) possession or control that is not capable of delivery to ANZ, including that contained in computer memory, magnetic, optical, laser, electronic or other media, and confirm in writing to ANZ that it has done so including the method, time and place of destruction.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Retention of Confidential Information</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Provided that the Service Provider continues to comply with its obligations under this clause 8, the Service Provider may retain any Confidential Information that the Service Provider is required by Law to retain.</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purposes of this clause 8.8: (i) the Service Provider must minimise the extent of retention and give ANZ notice and documentary evidence of the circumstances of the proposed retention and the relevant Confidential Information to be retained; (ii) the Service Provider must obtain ANZ’s written consent prior to retention; and (iii) under no circumstances shall the Service Provider be permitted to retain any ANZ Data, Customer Information, Personal Data or ANZ employee information.</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Unauthorised Disclosure or Use of Confidential Information</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Service Provider acknowledges that damages alone are unlikely to be an adequate remedy in respect of any breach of the Service Provider’s obligations under this Agreement. Accordingly, in addition to other remedies that may be available, ANZ may seek the immediate granting of injunctive or other equitable and/or interlocutory relief to protect ANZ’s rights and interest in the Confidential Information against any actual or potential breach of this Agreement, without proof of actual damages, in addition to any other remedy to which ANZ would be entitled.</w:t>
      </w:r>
    </w:p>
    <w:p>
      <w:pPr>
        <w:spacing w:after="0" w:line="167"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Compliance with Data Protection Legislation and Laws</w:t>
      </w:r>
    </w:p>
    <w:p>
      <w:pPr>
        <w:spacing w:after="0" w:line="225"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Service Provider shall, and procure that its Personnel shall, at all times comply with any applicable Data Protection Legislation and any other applicable Laws governing the use and disclosure of Personal Data, and treat Personal Data as Confidential Information in accordance with clause 8.</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Service Provider’s Warranties and Undertakings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the event that the Service Provider or any of its Personnel process, hold, store, copy, use transmit, transfer, receive or carry out any operation on the Personal Data for the purposes of this Agreement, the Service Provider hereby warrants and undertakes that it shall, and will procure in a contract made in writing that each of its Personnel shall:</w:t>
      </w:r>
    </w:p>
    <w:p>
      <w:pPr>
        <w:spacing w:after="0" w:line="208" w:lineRule="exact"/>
        <w:rPr>
          <w:sz w:val="20"/>
          <w:szCs w:val="20"/>
          <w:color w:val="auto"/>
        </w:rPr>
      </w:pPr>
    </w:p>
    <w:p>
      <w:pPr>
        <w:ind w:left="1300" w:hanging="644"/>
        <w:spacing w:after="0" w:line="277"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only use the Personal Data for the purposes in which it was disclosed or provided to it and within the parameters of the consent given by the individual to which the Personal Data relates and do not wrongfully disclose or misuse any Personal Data;</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comply with any request made or direction given by ANZ in connection with the obligation of ANZ under any Data Protection Legislation;</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keep all Personal Data provided by ANZ segregated from any other Personal Data;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act only on instructions from ANZ regarding the processing of the Personal Data provided by ANZ;</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1364"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1300" w:hanging="644"/>
        <w:spacing w:after="0" w:line="277"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 transfer or process any Personal Data provided by ANZ without ANZ’s prior written consent or the prior written consent of the relevant individual that the Personal Data in question relates to;</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promptly notify ANZ in the event that the Service Provider becomes aware that it has breached the provisions of this clause 9 and/or a complaint is made by an individual to which the Personal Data relates; and</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provide full co-operation to ANZ in the event that ANZ is subject to any investigations by a Government Agency in relation to the Data Protection Legislation, provided that, the reasonable and proper costs incurred by Service Provider in providing such co-operation shall be reimbursed promptly to Service Provider by ANZ, save where the investigation is to do with a breach by Service Provider of its obligation under this Agreement, in which case Service Provider shall bear such costs itself.</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Indemnity</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Service Provider shall indemnify ANZ against any and all losses, damages, reasonably and properly incurred costs and reasonably and properly incurred expenses (including, without limitation, reasonably and properly incurred legal expenses) suffered or incurred by ANZ as a result of the acts or omissions of the Service Provider or its Personnel in connection with a breach of this clause 9.</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Service Provider’s obligation to protect Personal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Service Provider must:</w:t>
      </w:r>
    </w:p>
    <w:p>
      <w:pPr>
        <w:spacing w:after="0" w:line="252" w:lineRule="exact"/>
        <w:rPr>
          <w:sz w:val="20"/>
          <w:szCs w:val="20"/>
          <w:color w:val="auto"/>
        </w:rPr>
      </w:pPr>
    </w:p>
    <w:p>
      <w:pPr>
        <w:ind w:left="1300" w:hanging="644"/>
        <w:spacing w:after="0" w:line="277"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take all reasonable steps to protect all Personal Data in its possession or control against misuse and loss and from unauthorised access, modification or disclosure;</w:t>
      </w:r>
    </w:p>
    <w:p>
      <w:pPr>
        <w:spacing w:after="0" w:line="170"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take all appropriate technical and organisational measures in accordance with the Data Protection Legislation and otherwise in accordance with industry best practice against unauthorised or unlawful processing of, and against accidental loss or destruction of, Personal Data, and in order to maintain the integrity of Personal Data, including by isolating, segregating and clearly identifying Personal Data provided by ANZ and ensuring a level of security appropriate to the harm that might result from such unauthorised or unlawful processing or accidental loss, destruction or damage and appropriate to the nature of Personal Data;</w:t>
      </w:r>
    </w:p>
    <w:p>
      <w:pPr>
        <w:spacing w:after="0" w:line="172"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take reasonable steps to ensure the reliability of all Personnel who have access to the Personal Data and ensure that such Personnel are aware of Service Provider’s obligation under this clause;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only allow its Personnel to access any Personal Data where necessary for the purposes of this Agreement;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the earlier of the expiry or termination of the Agreement or when requested by ANZ, and at the option of ANZ either;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return to ANZ copies of all Personal Data in the possession or control of the Service Provider;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destroy all Personal Data in the possession or control of the Service Provider;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 identify all Personal Data in the possession or control of the Service Provider.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Incident notification</w:t>
      </w:r>
    </w:p>
    <w:p>
      <w:pPr>
        <w:spacing w:after="0" w:line="225"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Service Provider must immediately notify ANZ if the Service Provider becomes aware of a breach or possible breach of its obligations in relation to the collection, use, disclosure, storage or handling of Personal Data under or in connection with this Agreement.</w:t>
      </w:r>
    </w:p>
    <w:p>
      <w:pPr>
        <w:spacing w:after="0" w:line="143"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25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Service Provider must not publicise the existence of this Agreement or any of its terms nor any other matter related to it (including the business relationship between the parties) without first obtaining the written approval of ANZ.</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AND MORAL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Service Provider’s Intellectual Property</w:t>
      </w:r>
    </w:p>
    <w:p>
      <w:pPr>
        <w:spacing w:after="0" w:line="225" w:lineRule="exact"/>
        <w:rPr>
          <w:sz w:val="20"/>
          <w:szCs w:val="20"/>
          <w:color w:val="auto"/>
        </w:rPr>
      </w:pPr>
    </w:p>
    <w:p>
      <w:pPr>
        <w:jc w:val="both"/>
        <w:ind w:left="1300" w:hanging="644"/>
        <w:spacing w:after="0" w:line="264" w:lineRule="auto"/>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Service Provider represents and warrants that it is the absolute and unencumbered legal and beneficial owner of, or that it holds a valid licence to use, the Service Provider’s Intellectual Property and all other intellectual property rights necessary for it to be able to fulfil its obligations under this Agreement and to permit ANZ to exploit the benefits of the Services.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1364" w:right="239" w:bottom="684"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1300" w:hanging="644"/>
        <w:spacing w:after="0"/>
        <w:tabs>
          <w:tab w:leader="none" w:pos="13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ANZ acknowledges and agrees that the Service Provider’s Intellectual Property remains the property of and vests in the Service Provider.</w:t>
      </w:r>
    </w:p>
    <w:p>
      <w:pPr>
        <w:spacing w:after="0" w:line="248"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Service Provider grants to ANZ a perpetual, irrevocable, non-exclusive, worldwide, transferable, royalty-free licence to exercise all rights in the Service Provider’s Intellectual Property as is necessary for ANZ to enjoy the benefit of the Services for the purposes of its business and the business of ANZ Group members. This licence includes the right to sublicense any of the Service Provider’s Intellectual Property to:</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ANZ Group member; or</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third party engaged by ANZ or any ANZ Group member, for the purpose of providing services to ANZ or any ANZ Group member.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Assignment of Intellectual Property to ANZ</w:t>
      </w:r>
    </w:p>
    <w:p>
      <w:pPr>
        <w:spacing w:after="0" w:line="225" w:lineRule="exact"/>
        <w:rPr>
          <w:sz w:val="20"/>
          <w:szCs w:val="20"/>
          <w:color w:val="auto"/>
        </w:rPr>
      </w:pPr>
    </w:p>
    <w:p>
      <w:pPr>
        <w:jc w:val="both"/>
        <w:ind w:left="1300" w:hanging="644"/>
        <w:spacing w:after="0" w:line="264" w:lineRule="auto"/>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Service Provider hereby assigns to ANZ all rights, title and interest in any copyright subsisting in the Developed Intellectual Property with effect from the date of this Agreement and all remaining Developed Intellectual Property with effect from the date of creation of that Developed Intellectual Property.</w:t>
      </w:r>
    </w:p>
    <w:p>
      <w:pPr>
        <w:spacing w:after="0" w:line="181"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Service Provider must at the request of ANZ execute all further documents and assurances and take such further action, including assisting in relation to any litigation commenced by or brought against ANZ, as ANZ may deem necessary or desirable to allow or assist ANZ to obtain, perfect, enforce, assert or defend its interests in or rights to use, disclose, reproduce, publish, exhibit, transmit, communicate or adapt the Developed Intellectual Property or any materials in which Developed Intellectual Property subsists or generally to give effect to this clause 11.2, or to prevent, or to obtain other remedies from, others infringing any of those interests or rights, provided that ANZ meets the Service Provider’s reasonable costs of complying with this clause 11.2(b).</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ANZ’s Intellectual Property</w:t>
      </w:r>
    </w:p>
    <w:p>
      <w:pPr>
        <w:spacing w:after="0" w:line="225" w:lineRule="exact"/>
        <w:rPr>
          <w:sz w:val="20"/>
          <w:szCs w:val="20"/>
          <w:color w:val="auto"/>
        </w:rPr>
      </w:pPr>
    </w:p>
    <w:p>
      <w:pPr>
        <w:ind w:left="1300" w:hanging="644"/>
        <w:spacing w:after="0"/>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Service Provider acknowledges and agrees that: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ANZ’s Intellectual Property remains the property of the relevant member of the ANZ Group;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this Agreement does not confer on the Service Provider any proprietary right or title to any of ANZ’s Intellectual Property; and</w:t>
      </w:r>
    </w:p>
    <w:p>
      <w:pPr>
        <w:spacing w:after="0" w:line="236" w:lineRule="exact"/>
        <w:rPr>
          <w:rFonts w:ascii="Arial" w:cs="Arial" w:eastAsia="Arial" w:hAnsi="Arial"/>
          <w:sz w:val="17"/>
          <w:szCs w:val="17"/>
          <w:color w:val="auto"/>
        </w:rPr>
      </w:pPr>
    </w:p>
    <w:p>
      <w:pPr>
        <w:ind w:left="1960" w:hanging="655"/>
        <w:spacing w:after="0" w:line="277" w:lineRule="auto"/>
        <w:tabs>
          <w:tab w:leader="none" w:pos="19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rights granted under this clause 11.3 are personal to the Service Provider and that it has no right to sub-license, sub-contract, assign or transfer any of its rights under this clause 3 without the prior written consent of ANZ.</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ANZ grants, subject to the restrictions in clauses 11.3(c) and 11.3(d), a non-exclusive, royalty-free licence to the Service Provider during the Term to use and reproduce ANZ's Intellectual Property for the sole purpose of performing its obligations under this Agreement.</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using or reproducing any items of ANZ’s Intellectual Property licensed under clause 11.3(b), the Service Provider must ensure that the use or reproduction is strictly for the purposes of performing its obligations under this Agreement and that it has the prior written approval of ANZ for each proposed type of use or reproduction.</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Upon termination or expiry of this Agreement, the Service Provider must deliver or render faithful account to ANZ for all ANZ’s Intellectual Property including all Documentation and other things containing ANZ’s Intellectual Property that came into the Service Provider’s possession or under its control in the course of providing the Services.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Notification of infringement by third parties</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Service Provider must notify ANZ as soon as practicable of any infringement or suspected infringement of the Developed Intellectual Property by a third party.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Moral Rights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To the extent permitted by applicable Law, the Service Provider irrevocably and unconditionally consents, and will obtain all other necessary consents from its Personnel so that ANZ’s use of the Developed Intellectual Property does not infringe any Moral Rights in any Developed Intellectual Property, anywhere in the world.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1364"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5"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WORKERS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Types of insurance</w:t>
      </w:r>
    </w:p>
    <w:p>
      <w:pPr>
        <w:spacing w:after="0" w:line="225" w:lineRule="exact"/>
        <w:rPr>
          <w:sz w:val="20"/>
          <w:szCs w:val="20"/>
          <w:color w:val="auto"/>
        </w:rPr>
      </w:pPr>
    </w:p>
    <w:p>
      <w:pPr>
        <w:jc w:val="both"/>
        <w:ind w:left="1300" w:hanging="644"/>
        <w:spacing w:after="0" w:line="279" w:lineRule="auto"/>
        <w:tabs>
          <w:tab w:leader="none" w:pos="13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Service Provider must effect on or prior to the Commencement Date and continuously maintain for the Term of this Agreement public liability insurance with a minimum indemnity limit of at least that stated in Part 3 of the Schedule, and the additional requirements stated in Part 3 of the Schedule, which covers liability to the public in respect of any loss or damage to real or personal property (including property belonging to ANZ) and any person who is injured or killed during the performance of the Services.</w:t>
      </w:r>
    </w:p>
    <w:p>
      <w:pPr>
        <w:spacing w:after="0" w:line="103"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required by ANZ. the Service Provider must effect on or prior to the Commencement Date and continuously maintain for a period of seven (7) years after the termination or expiry of this Agreement professional indemnity and fidelity insurance with a minimum indemnity limit of at least that stated in Part 3 of the Schedule, and the additional requirements stated in Part 3 of the Schedule, which covers liability to ANZ arising from a breach of professional duty, whether owed in contract or otherwise, caused by any negligent or other act or omission of the Service Provider, or any of its Personnel, (such policies to apply during that further period in respect of liabilities of the Service Provider accrued as at the date of termination or expiration of this Agreement, and liabilities of the Service Provider arising under or in connection with this Agreement following the date of such termination or expiration)</w:t>
      </w:r>
    </w:p>
    <w:p>
      <w:pPr>
        <w:spacing w:after="0" w:line="11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Service Provider must effect and maintain insurance against all liability (including work injury compensation) in relation to all Personnel employed by the Service Provider (particularly the Contractor) who are directly or indirectly involved in the provision of the Services.</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Evidence of Insurance</w:t>
      </w:r>
    </w:p>
    <w:p>
      <w:pPr>
        <w:spacing w:after="0" w:line="1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On request by ANZ, the Service Provider must produce to ANZ satisfactory evidence that the Service Provider has complied with and continues to comply with its obligations under this clause and will give ANZ copies of all receipts for the premiums paid.</w:t>
      </w:r>
    </w:p>
    <w:p>
      <w:pPr>
        <w:spacing w:after="0" w:line="99"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POWER AND AUTHORITY</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party represents and warrants that it has full power and authority to enter into and perform its obligations under this Agreement.</w:t>
      </w:r>
    </w:p>
    <w:p>
      <w:pPr>
        <w:spacing w:after="0" w:line="153" w:lineRule="exact"/>
        <w:rPr>
          <w:rFonts w:ascii="Arial" w:cs="Arial" w:eastAsia="Arial" w:hAnsi="Arial"/>
          <w:sz w:val="18"/>
          <w:szCs w:val="18"/>
          <w:b w:val="1"/>
          <w:bCs w:val="1"/>
          <w:color w:val="auto"/>
        </w:rPr>
      </w:pPr>
    </w:p>
    <w:p>
      <w:pPr>
        <w:ind w:left="660" w:right="7540" w:hanging="652"/>
        <w:spacing w:after="0" w:line="440" w:lineRule="auto"/>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 PROVIDER'S WARRANTIES </w:t>
      </w:r>
      <w:r>
        <w:rPr>
          <w:rFonts w:ascii="Arial" w:cs="Arial" w:eastAsia="Arial" w:hAnsi="Arial"/>
          <w:sz w:val="18"/>
          <w:szCs w:val="18"/>
          <w:color w:val="auto"/>
        </w:rPr>
        <w:t>The Service Provider warrants that:</w:t>
      </w:r>
    </w:p>
    <w:p>
      <w:pPr>
        <w:spacing w:after="0" w:line="1"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Contractors of the Service Provider engaged in the performance of the Services or any of them have the qualifications, skills and experience reasonably necessary to perform those Services;</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Services will:</w:t>
      </w:r>
    </w:p>
    <w:p>
      <w:pPr>
        <w:spacing w:after="0" w:line="157" w:lineRule="exact"/>
        <w:rPr>
          <w:rFonts w:ascii="Arial" w:cs="Arial" w:eastAsia="Arial" w:hAnsi="Arial"/>
          <w:sz w:val="18"/>
          <w:szCs w:val="18"/>
          <w:color w:val="auto"/>
        </w:rPr>
      </w:pPr>
    </w:p>
    <w:p>
      <w:pPr>
        <w:ind w:left="1960" w:hanging="655"/>
        <w:spacing w:after="0"/>
        <w:tabs>
          <w:tab w:leader="none" w:pos="196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comply with any requirements or specifications agreed in writing by the parties;</w:t>
      </w:r>
    </w:p>
    <w:p>
      <w:pPr>
        <w:spacing w:after="0" w:line="157" w:lineRule="exact"/>
        <w:rPr>
          <w:rFonts w:ascii="Arial" w:cs="Arial" w:eastAsia="Arial" w:hAnsi="Arial"/>
          <w:sz w:val="18"/>
          <w:szCs w:val="18"/>
          <w:color w:val="auto"/>
        </w:rPr>
      </w:pPr>
    </w:p>
    <w:p>
      <w:pPr>
        <w:ind w:left="1960" w:hanging="655"/>
        <w:spacing w:after="0"/>
        <w:tabs>
          <w:tab w:leader="none" w:pos="196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be fit for the purposes for which they are provided;</w:t>
      </w:r>
    </w:p>
    <w:p>
      <w:pPr>
        <w:spacing w:after="0" w:line="157" w:lineRule="exact"/>
        <w:rPr>
          <w:rFonts w:ascii="Arial" w:cs="Arial" w:eastAsia="Arial" w:hAnsi="Arial"/>
          <w:sz w:val="18"/>
          <w:szCs w:val="18"/>
          <w:color w:val="auto"/>
        </w:rPr>
      </w:pPr>
    </w:p>
    <w:p>
      <w:pPr>
        <w:ind w:left="1960" w:hanging="655"/>
        <w:spacing w:after="0"/>
        <w:tabs>
          <w:tab w:leader="none" w:pos="1960" w:val="left"/>
        </w:tabs>
        <w:numPr>
          <w:ilvl w:val="2"/>
          <w:numId w:val="178"/>
        </w:numPr>
        <w:rPr>
          <w:rFonts w:ascii="Arial" w:cs="Arial" w:eastAsia="Arial" w:hAnsi="Arial"/>
          <w:sz w:val="18"/>
          <w:szCs w:val="18"/>
          <w:color w:val="auto"/>
        </w:rPr>
      </w:pPr>
      <w:r>
        <w:rPr>
          <w:rFonts w:ascii="Arial" w:cs="Arial" w:eastAsia="Arial" w:hAnsi="Arial"/>
          <w:sz w:val="18"/>
          <w:szCs w:val="18"/>
          <w:color w:val="auto"/>
        </w:rPr>
        <w:t>comply with all applicable Laws; and</w:t>
      </w:r>
    </w:p>
    <w:p>
      <w:pPr>
        <w:spacing w:after="0" w:line="15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provision or receipt of the Services, will not infringe any rights (including rights to Intellectual Property) of any person or give rise to any obligation on behalf of ANZ or any of its licensees or assignees to pay compensation or royalty to any person.</w:t>
      </w:r>
    </w:p>
    <w:p>
      <w:pPr>
        <w:spacing w:after="0" w:line="98" w:lineRule="exact"/>
        <w:rPr>
          <w:rFonts w:ascii="Arial" w:cs="Arial" w:eastAsia="Arial" w:hAnsi="Arial"/>
          <w:sz w:val="18"/>
          <w:szCs w:val="18"/>
          <w:color w:val="auto"/>
        </w:rPr>
      </w:pPr>
    </w:p>
    <w:p>
      <w:pPr>
        <w:ind w:left="660" w:hanging="652"/>
        <w:spacing w:after="0"/>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 AND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-2606040</wp:posOffset>
            </wp:positionV>
            <wp:extent cx="72466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-2125980</wp:posOffset>
            </wp:positionV>
            <wp:extent cx="72466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Indemnities from Service Provider</w:t>
      </w:r>
    </w:p>
    <w:p>
      <w:pPr>
        <w:spacing w:after="0" w:line="1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Service Provider indemnifies and must keep indemnified ANZ and the relevant ANZ Group members from and against any and all Claims suffered or incurred by ANZ or the relevant ANZ Group member directly or indirectly in connection with any of the following:</w:t>
      </w:r>
    </w:p>
    <w:p>
      <w:pPr>
        <w:spacing w:after="0" w:line="170"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breach by the Service Provider or its Personnel of the Service Provider’s obligations under this Agreement;</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negligence by the Service Provider or its Personnel in relation to this Agreement or the provision of the Services;</w:t>
      </w:r>
    </w:p>
    <w:p>
      <w:pPr>
        <w:spacing w:after="0" w:line="15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 or receipt of any Services infringing the rights (including rights to Intellectual Property) of any person and any allegations of such infringements;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1364"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603885</wp:posOffset>
            </wp:positionV>
            <wp:extent cx="1115060" cy="3771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300" w:right="20" w:hanging="644"/>
        <w:spacing w:after="0" w:line="277"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fraud, or fraudulent misrepresentation, wilful misconduct or repudiation of this Agreement by the Service Provider or its Personnel in relation to this Agreement or the provision of the Services;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breach of any obligation of confidentiality or privacy (including a breach of clauses 8);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failure by any of the Personnel to have any necessary visas, consents or other Authorisations required at Law to permit them to work in P.R.C. or to perform the Services.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Operation and nature of indemnities</w:t>
      </w:r>
    </w:p>
    <w:p>
      <w:pPr>
        <w:spacing w:after="0" w:line="225" w:lineRule="exact"/>
        <w:rPr>
          <w:sz w:val="20"/>
          <w:szCs w:val="20"/>
          <w:color w:val="auto"/>
        </w:rPr>
      </w:pPr>
    </w:p>
    <w:p>
      <w:pPr>
        <w:ind w:left="1300" w:hanging="644"/>
        <w:spacing w:after="0" w:line="308" w:lineRule="auto"/>
        <w:tabs>
          <w:tab w:leader="none" w:pos="13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Each indemnity in this Agreement is a continuing obligation of the indemnifying party, whether or not legal proceedings are instituted, and despite any settlement of account or the occurrence of any other thing, and survives the termination or expiry of this Agreement.</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indemnity in this Agreement is an additional, separate and independent obligation of the indemnifying party and no one indemnity limits the generality of any other indemnity.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party may recover a payment under an indemnity in this Agreement before it makes the payment in respect of which the indemnity is given.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indemnities in this Agreement:</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apply whether the Claim arises in connection with negligence, misrepresentation, or other cause and whether or not the Claim is foreseeable; and</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include legal expenses on a full indemnity basis and damages and other compensation paid on the advice of legal advisers to compromise or settle any claim, whether of the parties or another person.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Limitation of liability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Party shall be liable to the other party for damages in connection with this Agreement in respect of any Indirect Loss.</w:t>
      </w:r>
    </w:p>
    <w:p>
      <w:pPr>
        <w:spacing w:after="0" w:line="225" w:lineRule="exact"/>
        <w:rPr>
          <w:sz w:val="20"/>
          <w:szCs w:val="20"/>
          <w:color w:val="auto"/>
        </w:rPr>
      </w:pPr>
    </w:p>
    <w:p>
      <w:pPr>
        <w:jc w:val="both"/>
        <w:ind w:left="1300" w:hanging="644"/>
        <w:spacing w:after="0" w:line="264" w:lineRule="auto"/>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extent permitted by applicable Law, if either party is liable for damages to the Service Provider in connection with this Agreement, then the aggregate amount of damages recoverable against the other party will not exceed an amount equal to the amount stated in Part 3 of the Schedule.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Neither Party shall be liable to the other party for damages in connection with this Agreement in respect of any Indirect Loss.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Application of Indemnification Rights</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When a third party brings a Claim which is within the scope of clause 15.1, ANZ must give the Service Provider prompt written notice of the Claim. If the Service Provider provides ANZ with prompt acknowledgement that the Claim would be covered by clause 15.1 if successful, and also provides (if reasonably requested by ANZ) security to cover the amount of the Claim if successful then the following provisions apply:</w:t>
      </w:r>
    </w:p>
    <w:p>
      <w:pPr>
        <w:spacing w:after="0" w:line="186" w:lineRule="exact"/>
        <w:rPr>
          <w:rFonts w:ascii="Arial" w:cs="Arial" w:eastAsia="Arial" w:hAnsi="Arial"/>
          <w:sz w:val="18"/>
          <w:szCs w:val="18"/>
          <w:color w:val="auto"/>
        </w:rPr>
      </w:pPr>
    </w:p>
    <w:p>
      <w:pPr>
        <w:jc w:val="both"/>
        <w:ind w:left="1960" w:hanging="655"/>
        <w:spacing w:after="0" w:line="198" w:lineRule="auto"/>
        <w:tabs>
          <w:tab w:leader="none" w:pos="1960" w:val="left"/>
        </w:tabs>
        <w:numPr>
          <w:ilvl w:val="1"/>
          <w:numId w:val="183"/>
        </w:numPr>
        <w:rPr>
          <w:rFonts w:ascii="Arial" w:cs="Arial" w:eastAsia="Arial" w:hAnsi="Arial"/>
          <w:sz w:val="31"/>
          <w:szCs w:val="31"/>
          <w:color w:val="auto"/>
          <w:vertAlign w:val="subscript"/>
        </w:rPr>
      </w:pPr>
      <w:r>
        <w:rPr>
          <w:rFonts w:ascii="Arial" w:cs="Arial" w:eastAsia="Arial" w:hAnsi="Arial"/>
          <w:sz w:val="16"/>
          <w:szCs w:val="16"/>
          <w:color w:val="auto"/>
        </w:rPr>
        <w:t>the Service Provider shall have control over the defence, compromise, or settlement at the Service Provider’s expense of the Claim, provided that ANZ or the relevant ANZ Group member may observe the proceeding and reasonably participate in such proceeding;</w:t>
      </w:r>
    </w:p>
    <w:p>
      <w:pPr>
        <w:spacing w:after="0" w:line="202" w:lineRule="exact"/>
        <w:rPr>
          <w:rFonts w:ascii="Arial" w:cs="Arial" w:eastAsia="Arial" w:hAnsi="Arial"/>
          <w:sz w:val="31"/>
          <w:szCs w:val="31"/>
          <w:color w:val="auto"/>
          <w:vertAlign w:val="subscript"/>
        </w:rPr>
      </w:pPr>
    </w:p>
    <w:p>
      <w:pPr>
        <w:ind w:left="1960" w:hanging="655"/>
        <w:spacing w:after="0" w:line="182" w:lineRule="auto"/>
        <w:tabs>
          <w:tab w:leader="none" w:pos="1960" w:val="left"/>
        </w:tabs>
        <w:numPr>
          <w:ilvl w:val="1"/>
          <w:numId w:val="183"/>
        </w:numPr>
        <w:rPr>
          <w:rFonts w:ascii="Arial" w:cs="Arial" w:eastAsia="Arial" w:hAnsi="Arial"/>
          <w:sz w:val="34"/>
          <w:szCs w:val="34"/>
          <w:color w:val="auto"/>
          <w:vertAlign w:val="subscript"/>
        </w:rPr>
      </w:pPr>
      <w:r>
        <w:rPr>
          <w:rFonts w:ascii="Arial" w:cs="Arial" w:eastAsia="Arial" w:hAnsi="Arial"/>
          <w:sz w:val="17"/>
          <w:szCs w:val="17"/>
          <w:color w:val="auto"/>
        </w:rPr>
        <w:t>ANZ or the relevant ANZ Group member shall give the Service Provider all reasonable information, assistance, and authority to enable the Service Provider to defend the Claim; and</w:t>
      </w:r>
    </w:p>
    <w:p>
      <w:pPr>
        <w:spacing w:after="0" w:line="203" w:lineRule="exact"/>
        <w:rPr>
          <w:rFonts w:ascii="Arial" w:cs="Arial" w:eastAsia="Arial" w:hAnsi="Arial"/>
          <w:sz w:val="34"/>
          <w:szCs w:val="34"/>
          <w:color w:val="auto"/>
          <w:vertAlign w:val="subscript"/>
        </w:rPr>
      </w:pPr>
    </w:p>
    <w:p>
      <w:pPr>
        <w:ind w:left="1960" w:hanging="655"/>
        <w:spacing w:after="0" w:line="182" w:lineRule="auto"/>
        <w:tabs>
          <w:tab w:leader="none" w:pos="1960" w:val="left"/>
        </w:tabs>
        <w:numPr>
          <w:ilvl w:val="1"/>
          <w:numId w:val="183"/>
        </w:numPr>
        <w:rPr>
          <w:rFonts w:ascii="Arial" w:cs="Arial" w:eastAsia="Arial" w:hAnsi="Arial"/>
          <w:sz w:val="34"/>
          <w:szCs w:val="34"/>
          <w:color w:val="auto"/>
          <w:vertAlign w:val="subscript"/>
        </w:rPr>
      </w:pPr>
      <w:r>
        <w:rPr>
          <w:rFonts w:ascii="Arial" w:cs="Arial" w:eastAsia="Arial" w:hAnsi="Arial"/>
          <w:sz w:val="17"/>
          <w:szCs w:val="17"/>
          <w:color w:val="auto"/>
        </w:rPr>
        <w:t>the Service Provider will not settle or compromise any Claim without first obtaining the prior written consent of ANZ or the relevant ANZ Group member, such consent not to be unreasonably withheld.</w:t>
      </w:r>
    </w:p>
    <w:p>
      <w:pPr>
        <w:spacing w:after="0" w:line="203" w:lineRule="exact"/>
        <w:rPr>
          <w:rFonts w:ascii="Arial" w:cs="Arial" w:eastAsia="Arial" w:hAnsi="Arial"/>
          <w:sz w:val="34"/>
          <w:szCs w:val="34"/>
          <w:color w:val="auto"/>
          <w:vertAlign w:val="subscript"/>
        </w:rPr>
      </w:pPr>
    </w:p>
    <w:p>
      <w:pPr>
        <w:jc w:val="both"/>
        <w:ind w:left="1300" w:hanging="644"/>
        <w:spacing w:after="0" w:line="272" w:lineRule="auto"/>
        <w:tabs>
          <w:tab w:leader="none" w:pos="13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Without limiting the Service Provider’s obligations under this Agreement, if the Service Provider fails to provide the acknowledgement described in paragraph (a) above promptly or does not take action promptly to defend a Claim as required by this Agreement, and does not remedy such failure within 10 days after receipt of written notice from ANZ or the relevant ANZ Group member requiring the Service Provider to do so, ANZ or the relevant ANZ Group member may, but shall not be obligated to, take such action as it sees fit in respect of the Claim (including defending or settling the Claim) without the consent of the Service Provider, and may recover from the Service Provider all losses, damages, costs, expenses (including legal fees on a solicitor own client basis) and other liabilities incurred in connection with such action. ANZ or the relevant ANZ Group member must act reasonably and in good faith in taking such action.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1391" w:right="239" w:bottom="738"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543560</wp:posOffset>
            </wp:positionV>
            <wp:extent cx="1115060" cy="3771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SET-OFF AND DEDUCTIONS</w:t>
      </w:r>
    </w:p>
    <w:p>
      <w:pPr>
        <w:spacing w:after="0" w:line="18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ANZ may deduct and set-off from any moneys otherwise due to the Service Provider from ANZ, any money due from the Service Provider to ANZ or paid by ANZ on behalf of the Service Provider, including any Claims incurred by ANZ as result of the termination of this Agreement. This right of set-off is without prejudice to, and is not in limitation of, any other remedies of ANZ.</w:t>
      </w:r>
    </w:p>
    <w:p>
      <w:pPr>
        <w:spacing w:after="0" w:line="109" w:lineRule="exact"/>
        <w:rPr>
          <w:rFonts w:ascii="Arial" w:cs="Arial" w:eastAsia="Arial" w:hAnsi="Arial"/>
          <w:sz w:val="18"/>
          <w:szCs w:val="18"/>
          <w:b w:val="1"/>
          <w:bCs w:val="1"/>
          <w:color w:val="auto"/>
        </w:rPr>
      </w:pPr>
    </w:p>
    <w:p>
      <w:pPr>
        <w:ind w:left="660" w:hanging="652"/>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Application of clause</w:t>
      </w:r>
    </w:p>
    <w:p>
      <w:pPr>
        <w:spacing w:after="0" w:line="1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Except as stated expressly to the contrary in this Agreement, all disputes, differences or disagreements in relation to this Agreement (</w:t>
      </w:r>
      <w:r>
        <w:rPr>
          <w:rFonts w:ascii="Arial" w:cs="Arial" w:eastAsia="Arial" w:hAnsi="Arial"/>
          <w:sz w:val="18"/>
          <w:szCs w:val="18"/>
          <w:b w:val="1"/>
          <w:bCs w:val="1"/>
          <w:i w:val="1"/>
          <w:iCs w:val="1"/>
          <w:color w:val="auto"/>
        </w:rPr>
        <w:t>Disputes</w:t>
      </w:r>
      <w:r>
        <w:rPr>
          <w:rFonts w:ascii="Arial" w:cs="Arial" w:eastAsia="Arial" w:hAnsi="Arial"/>
          <w:sz w:val="18"/>
          <w:szCs w:val="18"/>
          <w:color w:val="auto"/>
        </w:rPr>
        <w:t>) must first be dealt with in accordance with this clause 17.</w:t>
      </w:r>
    </w:p>
    <w:p>
      <w:pPr>
        <w:spacing w:after="0" w:line="1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Continued performance of Agreement during dispute</w:t>
      </w:r>
    </w:p>
    <w:p>
      <w:pPr>
        <w:spacing w:after="0" w:line="15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Both parties must continue to perform the Agreement despite the existence of any Dispute provided that nothing in this clause prevents or restricts either party from lawfully exercising any of its rights under clause 2 of this Agreement at any time.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Further Proceedings</w:t>
      </w:r>
    </w:p>
    <w:p>
      <w:pPr>
        <w:spacing w:after="0" w:line="1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Disputes should be in the first place settled via negotiation by parties hereunder. If, following negotiation of a Dispute the Dispute has not been resolved, the parties hereunder agree to resolve the Dispute according to clause 19.2.</w:t>
      </w:r>
    </w:p>
    <w:p>
      <w:pPr>
        <w:spacing w:after="0" w:line="99"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How notices must be given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 notice, request, demand, consent or approval (each a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xml:space="preserve">) from one party to another party (in this clause, the </w:t>
      </w:r>
      <w:r>
        <w:rPr>
          <w:rFonts w:ascii="Arial" w:cs="Arial" w:eastAsia="Arial" w:hAnsi="Arial"/>
          <w:sz w:val="16"/>
          <w:szCs w:val="16"/>
          <w:b w:val="1"/>
          <w:bCs w:val="1"/>
          <w:i w:val="1"/>
          <w:iCs w:val="1"/>
          <w:color w:val="auto"/>
        </w:rPr>
        <w:t>Recipient</w:t>
      </w:r>
      <w:r>
        <w:rPr>
          <w:rFonts w:ascii="Arial" w:cs="Arial" w:eastAsia="Arial" w:hAnsi="Arial"/>
          <w:sz w:val="16"/>
          <w:szCs w:val="16"/>
          <w:color w:val="auto"/>
        </w:rPr>
        <w:t>) under this Agreement:</w:t>
      </w:r>
    </w:p>
    <w:p>
      <w:pPr>
        <w:spacing w:after="0" w:line="248"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must be in writing;</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addressed to the Recipient;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delivered to the Recipient’s address in person; or</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sent by registered mail to the Recipient’s address; or</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transmitted by facsimile to the Recipient’s fax number subject to a correct and complete transmission report being received by the sender; or</w:t>
      </w:r>
    </w:p>
    <w:p>
      <w:pPr>
        <w:spacing w:after="0" w:line="180" w:lineRule="exact"/>
        <w:rPr>
          <w:rFonts w:ascii="Arial" w:cs="Arial" w:eastAsia="Arial" w:hAnsi="Arial"/>
          <w:sz w:val="16"/>
          <w:szCs w:val="16"/>
          <w:color w:val="auto"/>
        </w:rPr>
      </w:pPr>
    </w:p>
    <w:p>
      <w:pPr>
        <w:ind w:left="1300" w:right="20" w:hanging="644"/>
        <w:spacing w:after="0" w:line="182" w:lineRule="auto"/>
        <w:tabs>
          <w:tab w:leader="none" w:pos="1300" w:val="left"/>
        </w:tabs>
        <w:numPr>
          <w:ilvl w:val="0"/>
          <w:numId w:val="186"/>
        </w:numPr>
        <w:rPr>
          <w:rFonts w:ascii="Arial" w:cs="Arial" w:eastAsia="Arial" w:hAnsi="Arial"/>
          <w:sz w:val="34"/>
          <w:szCs w:val="34"/>
          <w:color w:val="auto"/>
          <w:vertAlign w:val="subscript"/>
        </w:rPr>
      </w:pPr>
      <w:r>
        <w:rPr>
          <w:rFonts w:ascii="Arial" w:cs="Arial" w:eastAsia="Arial" w:hAnsi="Arial"/>
          <w:sz w:val="17"/>
          <w:szCs w:val="17"/>
          <w:color w:val="auto"/>
        </w:rPr>
        <w:t>transmitted by email to the Recipient’s email address subject to a correct and complete receipt acknowledgement being received by the sender and a follow up method of delivery (as described in clauses 18.1(c), 18.1(d) or 18.1(e) being undertaken.</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Recipient’s address, fax number and email address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purpose of this clause the address, fax number and email address of the Recipient is initially as set out in Part 1 of the Schedule or (if any) the latest notified address, fax number or email address that the Recipient has notified to the other party.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When notice taken as given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notice given to the Recipient in accordance with clause 18.1 will be treated as having been received by the Recipient:</w:t>
      </w:r>
    </w:p>
    <w:p>
      <w:pPr>
        <w:spacing w:after="0" w:line="225"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delivered to the Recipient’s address in person, on the day and at the time of delivery;</w:t>
      </w:r>
    </w:p>
    <w:p>
      <w:pPr>
        <w:spacing w:after="0" w:line="157" w:lineRule="exact"/>
        <w:rPr>
          <w:rFonts w:ascii="Arial" w:cs="Arial" w:eastAsia="Arial" w:hAnsi="Arial"/>
          <w:sz w:val="18"/>
          <w:szCs w:val="18"/>
          <w:color w:val="auto"/>
        </w:rPr>
      </w:pPr>
    </w:p>
    <w:p>
      <w:pPr>
        <w:ind w:left="1300" w:right="20" w:hanging="644"/>
        <w:spacing w:after="0" w:line="182" w:lineRule="auto"/>
        <w:tabs>
          <w:tab w:leader="none" w:pos="1300" w:val="left"/>
        </w:tabs>
        <w:numPr>
          <w:ilvl w:val="0"/>
          <w:numId w:val="187"/>
        </w:numPr>
        <w:rPr>
          <w:rFonts w:ascii="Arial" w:cs="Arial" w:eastAsia="Arial" w:hAnsi="Arial"/>
          <w:sz w:val="34"/>
          <w:szCs w:val="34"/>
          <w:color w:val="auto"/>
          <w:vertAlign w:val="subscript"/>
        </w:rPr>
      </w:pPr>
      <w:r>
        <w:rPr>
          <w:rFonts w:ascii="Arial" w:cs="Arial" w:eastAsia="Arial" w:hAnsi="Arial"/>
          <w:sz w:val="17"/>
          <w:szCs w:val="17"/>
          <w:color w:val="auto"/>
        </w:rPr>
        <w:t>if sent by registered mail to the Recipient’s address, on the third Business Day after posting (where posted within P.R.C. or) on the tenth Business Day after posting (where posted outside P.R.C.);</w:t>
      </w:r>
    </w:p>
    <w:p>
      <w:pPr>
        <w:spacing w:after="0" w:line="136" w:lineRule="exact"/>
        <w:rPr>
          <w:rFonts w:ascii="Arial" w:cs="Arial" w:eastAsia="Arial" w:hAnsi="Arial"/>
          <w:sz w:val="34"/>
          <w:szCs w:val="34"/>
          <w:color w:val="auto"/>
          <w:vertAlign w:val="subscript"/>
        </w:rPr>
      </w:pPr>
    </w:p>
    <w:p>
      <w:pPr>
        <w:ind w:left="1300"/>
        <w:spacing w:after="0"/>
        <w:rPr>
          <w:rFonts w:ascii="Arial" w:cs="Arial" w:eastAsia="Arial" w:hAnsi="Arial"/>
          <w:sz w:val="34"/>
          <w:szCs w:val="34"/>
          <w:color w:val="auto"/>
          <w:vertAlign w:val="subscript"/>
        </w:rPr>
      </w:pPr>
      <w:r>
        <w:rPr>
          <w:rFonts w:ascii="Arial" w:cs="Arial" w:eastAsia="Arial" w:hAnsi="Arial"/>
          <w:sz w:val="17"/>
          <w:szCs w:val="17"/>
          <w:color w:val="auto"/>
        </w:rPr>
        <w:t>if transmitted by facsimile to the Recipient’s fax number on receipt by the sender of a transmission control report from the despatching</w:t>
      </w:r>
    </w:p>
    <w:p>
      <w:pPr>
        <w:spacing w:after="0" w:line="34" w:lineRule="exact"/>
        <w:rPr>
          <w:rFonts w:ascii="Arial" w:cs="Arial" w:eastAsia="Arial" w:hAnsi="Arial"/>
          <w:sz w:val="34"/>
          <w:szCs w:val="34"/>
          <w:color w:val="auto"/>
          <w:vertAlign w:val="subscript"/>
        </w:rPr>
      </w:pPr>
    </w:p>
    <w:p>
      <w:pPr>
        <w:ind w:left="1300" w:hanging="644"/>
        <w:spacing w:after="0" w:line="261" w:lineRule="auto"/>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machine showing the relevant number of pages and the correct destination fax number and indicating that the transmission has been received without error; and</w:t>
      </w:r>
    </w:p>
    <w:p>
      <w:pPr>
        <w:spacing w:after="0" w:line="11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if transmitted by email to the Recipient’s email address on receipt by the sender of a confirmation message from the recipient’s mail server</w:t>
      </w:r>
    </w:p>
    <w:p>
      <w:pPr>
        <w:spacing w:after="0" w:line="46"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indicating that the message has been received by the person to whom it was addressed without error, provided that the sender must follow up such email notice with one of the other methods of notice delivery referred to above.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1296"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586740</wp:posOffset>
            </wp:positionV>
            <wp:extent cx="1115060" cy="3771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Provided that if the result of the above provisions would be to deem the notice to have been received on a day which is not a Business Day or after 4pm on a Business Day then the notice will be deemed to have been received on the next Business Day.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Other legal modes of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clause are in addition to any other mode of service permitted by Law.</w:t>
      </w:r>
    </w:p>
    <w:p>
      <w:pPr>
        <w:spacing w:after="0" w:line="221"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governed by the Laws in P.R.C.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Jurisdiction</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relation to any legal action or proceedings arising out of or in connection with this Agreement each party irrevocably submits to the non-exclusive jurisdiction of the courts of P.R.C. of ANZ’s domicile and waives any objection to proceedings in any such court on the grounds of venue or on the grounds that the proceedings have been brought in an inconvenient forum.</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This Agreement supersedes all previous agreements in respect of its subject matter and embodies the entire agreement between the parties with respect to the matters dealt with in this Agreement and there are no oral or written understandings, representations, warranties or commitments of any kind, express or implied, in relation to the matters dealt with in this Agreement that are not expressly set out in this Agreement.</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5"/>
          <w:szCs w:val="15"/>
          <w:color w:val="auto"/>
        </w:rPr>
        <w:t>Taxes and duties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Annexure 2 apply.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GST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Annexure 2 apply.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Relationship of parties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Nothing in this Agreement is to be construed as constituting one party as agent or employee or partner of the other party or in joint venture with the other party. No party has authority to bind or purport to bind the other party.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Amendment</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Any amendment, variation, consent to modification, supplement, replacement, novation, or assignment of any provision of this Agreement must be in writing, and if by ANZ, is effective only if signed by an authorised representative of ANZ.</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5"/>
          <w:szCs w:val="15"/>
          <w:color w:val="auto"/>
        </w:rPr>
        <w:t>Successors and Assignees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a party in this Agreement include references to that party’s successors and permitted assignees or transferees.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No party may assign, novate, dispose of, or otherwise create an interest in its rights under this Agreement unless it has the prior written consent of the other party.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1364"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t>CONTRACTOR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6"/>
          <w:szCs w:val="16"/>
          <w:color w:val="auto"/>
        </w:rPr>
        <w:t>Service Provider’s cost</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Anything the Service Provider is required to perform in respect of the Services or otherwise to do under this Agreement must be done at the Service Provider’s cost, unless stated otherwise.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color w:val="auto"/>
        </w:rPr>
        <w:t>Waivers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 waiver of any right, power, authority, discretion or remedy arising on default under this Agreement must be in writing and signed by the party granting the waiver. A failure or delay in exercise, or partial exercise, of a right, power, authority, discretion or remedy created or arising on default under this Agreement does not result in a waiver of that right, power, authority, discretion or remedy.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or part of any provision of this Agreement that is illegal, invalid or unenforceable will be severed from this Agreement and the remaining provisions (and parts of provisions) will continue in force.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5"/>
          <w:szCs w:val="15"/>
          <w:color w:val="auto"/>
        </w:rPr>
        <w:t>Counterparts</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This Agreement and any documents to executed under it may be executed in any number of counterparts. All counterparts of this Agreement or any such document together will be taken to constitute one instrument.</w:t>
      </w:r>
    </w:p>
    <w:p>
      <w:pPr>
        <w:spacing w:after="0" w:line="170" w:lineRule="exact"/>
        <w:rPr>
          <w:sz w:val="20"/>
          <w:szCs w:val="20"/>
          <w:color w:val="auto"/>
        </w:rPr>
      </w:pPr>
    </w:p>
    <w:p>
      <w:pPr>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19.14</w:t>
      </w:r>
      <w:r>
        <w:rPr>
          <w:sz w:val="20"/>
          <w:szCs w:val="20"/>
          <w:color w:val="auto"/>
        </w:rPr>
        <w:tab/>
      </w:r>
      <w:r>
        <w:rPr>
          <w:rFonts w:ascii="Arial" w:cs="Arial" w:eastAsia="Arial" w:hAnsi="Arial"/>
          <w:sz w:val="16"/>
          <w:szCs w:val="16"/>
          <w:color w:val="auto"/>
        </w:rPr>
        <w:t>Parties hereunder have negotiated thoroughly with regard to all the terms and conditions herein and each party further confirms that it has been asked to pay particular attention to, fully understood and accepted all the terms and conditions relating to its rights and obligations hereunder.</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19.15</w:t>
      </w:r>
      <w:r>
        <w:rPr>
          <w:sz w:val="20"/>
          <w:szCs w:val="20"/>
          <w:color w:val="auto"/>
        </w:rPr>
        <w:tab/>
      </w:r>
      <w:r>
        <w:rPr>
          <w:rFonts w:ascii="Arial" w:cs="Arial" w:eastAsia="Arial" w:hAnsi="Arial"/>
          <w:sz w:val="17"/>
          <w:szCs w:val="17"/>
          <w:color w:val="auto"/>
        </w:rPr>
        <w:t>Audit</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You must on reasonable notice (not required to exceed 5 Business days) provide ANZ (and, subject to this clause, its designated representatives) with facilities and records sufficient to allow ANZ to perform an audit to the extent reasonably necessary to confirm the Service Provider’s compliance with this Agreement, or otherwise to the extent required to comply with all applicable laws.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ANZ CONTRACT NUMBER: [ 2014C217  ]</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1364" w:right="239" w:bottom="1440" w:gutter="0" w:footer="0" w:header="0"/>
        </w:sectPr>
      </w:pPr>
    </w:p>
    <w:bookmarkStart w:id="197" w:name="page198"/>
    <w:bookmarkEnd w:id="1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6289040</wp:posOffset>
            </wp:positionH>
            <wp:positionV relativeFrom="page">
              <wp:posOffset>586105</wp:posOffset>
            </wp:positionV>
            <wp:extent cx="1115060" cy="3771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CONTRACTOR AGREEMENT</w:t>
            </w: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an agreement.</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2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r>
              <w:rPr>
                <w:rFonts w:ascii="Arial" w:cs="Arial" w:eastAsia="Arial" w:hAnsi="Arial"/>
                <w:sz w:val="18"/>
                <w:szCs w:val="18"/>
                <w:b w:val="1"/>
                <w:bCs w:val="1"/>
                <w:color w:val="auto"/>
              </w:rPr>
              <w:t xml:space="preserve"> ANZ GLOBAL SERVICES</w:t>
            </w:r>
          </w:p>
        </w:tc>
        <w:tc>
          <w:tcPr>
            <w:tcW w:w="22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AND OPERATIONS (CHENGDU) COMPANY LIMITED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Signature of authorized representative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Name and title of authorized representative</w:t>
            </w:r>
          </w:p>
        </w:tc>
        <w:tc>
          <w:tcPr>
            <w:tcW w:w="0" w:type="dxa"/>
            <w:vAlign w:val="bottom"/>
          </w:tcPr>
          <w:p>
            <w:pPr>
              <w:spacing w:after="0"/>
              <w:rPr>
                <w:sz w:val="1"/>
                <w:szCs w:val="1"/>
                <w:color w:val="auto"/>
              </w:rPr>
            </w:pPr>
          </w:p>
        </w:tc>
      </w:tr>
      <w:tr>
        <w:trPr>
          <w:trHeight w:val="94"/>
        </w:trPr>
        <w:tc>
          <w:tcPr>
            <w:tcW w:w="5620" w:type="dxa"/>
            <w:vAlign w:val="bottom"/>
            <w:tcBorders>
              <w:left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620" w:type="dxa"/>
            <w:vAlign w:val="bottom"/>
            <w:tcBorders>
              <w:left w:val="single" w:sz="8" w:color="auto"/>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562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 of Execution</w:t>
            </w:r>
          </w:p>
        </w:tc>
        <w:tc>
          <w:tcPr>
            <w:tcW w:w="220" w:type="dxa"/>
            <w:vAlign w:val="bottom"/>
            <w:tcBorders>
              <w:bottom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 seal</w:t>
            </w:r>
          </w:p>
        </w:tc>
        <w:tc>
          <w:tcPr>
            <w:tcW w:w="0" w:type="dxa"/>
            <w:vAlign w:val="bottom"/>
          </w:tcPr>
          <w:p>
            <w:pPr>
              <w:spacing w:after="0"/>
              <w:rPr>
                <w:sz w:val="1"/>
                <w:szCs w:val="1"/>
                <w:color w:val="auto"/>
              </w:rPr>
            </w:pPr>
          </w:p>
        </w:tc>
      </w:tr>
      <w:tr>
        <w:trPr>
          <w:trHeight w:val="224"/>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Place of Execution</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auto"/>
            </w:tcBorders>
            <w:gridSpan w:val="2"/>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4"/>
              </w:rPr>
              <w:t xml:space="preserve">SIGNED </w:t>
            </w:r>
            <w:r>
              <w:rPr>
                <w:rFonts w:ascii="Arial" w:cs="Arial" w:eastAsia="Arial" w:hAnsi="Arial"/>
                <w:sz w:val="18"/>
                <w:szCs w:val="18"/>
                <w:color w:val="auto"/>
                <w:w w:val="94"/>
              </w:rPr>
              <w:t>for and on behalf of</w:t>
            </w:r>
            <w:r>
              <w:rPr>
                <w:rFonts w:ascii="Arial" w:cs="Arial" w:eastAsia="Arial" w:hAnsi="Arial"/>
                <w:sz w:val="18"/>
                <w:szCs w:val="18"/>
                <w:b w:val="1"/>
                <w:bCs w:val="1"/>
                <w:color w:val="auto"/>
                <w:w w:val="94"/>
              </w:rPr>
              <w:t xml:space="preserve"> ChinaLink Professional Services Co., Ltd</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Signature of authorised representative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Name and title of authorised representative</w:t>
            </w:r>
          </w:p>
        </w:tc>
        <w:tc>
          <w:tcPr>
            <w:tcW w:w="0" w:type="dxa"/>
            <w:vAlign w:val="bottom"/>
          </w:tcPr>
          <w:p>
            <w:pPr>
              <w:spacing w:after="0"/>
              <w:rPr>
                <w:sz w:val="1"/>
                <w:szCs w:val="1"/>
                <w:color w:val="auto"/>
              </w:rPr>
            </w:pPr>
          </w:p>
        </w:tc>
      </w:tr>
      <w:tr>
        <w:trPr>
          <w:trHeight w:val="94"/>
        </w:trPr>
        <w:tc>
          <w:tcPr>
            <w:tcW w:w="5620" w:type="dxa"/>
            <w:vAlign w:val="bottom"/>
            <w:tcBorders>
              <w:left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620" w:type="dxa"/>
            <w:vAlign w:val="bottom"/>
            <w:tcBorders>
              <w:left w:val="single" w:sz="8" w:color="auto"/>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5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6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 seal</w:t>
            </w:r>
          </w:p>
        </w:tc>
        <w:tc>
          <w:tcPr>
            <w:tcW w:w="0" w:type="dxa"/>
            <w:vAlign w:val="bottom"/>
          </w:tcPr>
          <w:p>
            <w:pPr>
              <w:spacing w:after="0"/>
              <w:rPr>
                <w:sz w:val="1"/>
                <w:szCs w:val="1"/>
                <w:color w:val="auto"/>
              </w:rPr>
            </w:pPr>
          </w:p>
        </w:tc>
      </w:tr>
      <w:tr>
        <w:trPr>
          <w:trHeight w:val="224"/>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 of Execution</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right w:val="single" w:sz="8" w:color="auto"/>
            </w:tcBorders>
            <w:vMerge w:val="restart"/>
          </w:tcPr>
          <w:p>
            <w:pPr>
              <w:spacing w:after="0"/>
              <w:rPr>
                <w:sz w:val="17"/>
                <w:szCs w:val="17"/>
                <w:color w:val="auto"/>
              </w:rPr>
            </w:pPr>
          </w:p>
        </w:tc>
        <w:tc>
          <w:tcPr>
            <w:tcW w:w="5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Place of Execution</w:t>
            </w:r>
          </w:p>
        </w:tc>
        <w:tc>
          <w:tcPr>
            <w:tcW w:w="220" w:type="dxa"/>
            <w:vAlign w:val="bottom"/>
            <w:tcBorders>
              <w:right w:val="single" w:sz="8" w:color="auto"/>
            </w:tcBorders>
            <w:vMerge w:val="continue"/>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49"/>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ANZ CONTRACT NUMBER: [ 2014C217  ]</w:t>
            </w:r>
          </w:p>
        </w:tc>
        <w:tc>
          <w:tcPr>
            <w:tcW w:w="5580" w:type="dxa"/>
            <w:vAlign w:val="bottom"/>
            <w:tcBorders>
              <w:bottom w:val="single" w:sz="8" w:color="auto"/>
            </w:tcBorders>
          </w:tcPr>
          <w:p>
            <w:pPr>
              <w:ind w:left="5400"/>
              <w:spacing w:after="0"/>
              <w:rPr>
                <w:sz w:val="20"/>
                <w:szCs w:val="20"/>
                <w:color w:val="auto"/>
              </w:rPr>
            </w:pPr>
            <w:r>
              <w:rPr>
                <w:rFonts w:ascii="Arial" w:cs="Arial" w:eastAsia="Arial" w:hAnsi="Arial"/>
                <w:sz w:val="17"/>
                <w:szCs w:val="17"/>
                <w:color w:val="auto"/>
                <w:w w:val="73"/>
              </w:rPr>
              <w:t>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64"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Rental Contract for Shanghai Pudong Software Park Guo Shoujing Park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Both parties to this contract: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Party A (Lessor): Shanghai Pudong Software Park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Party B (Lessee): ChinaLink Professional Services Co., Ltd.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b w:val="1"/>
          <w:bCs w:val="1"/>
          <w:i w:val="1"/>
          <w:iCs w:val="1"/>
          <w:color w:val="auto"/>
        </w:rPr>
        <w:t>Contract Law of the People's Republic of China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Regulations of Shanghai Municipality on House Leasing</w:t>
      </w:r>
      <w:r>
        <w:rPr>
          <w:rFonts w:ascii="Arial" w:cs="Arial" w:eastAsia="Arial" w:hAnsi="Arial"/>
          <w:sz w:val="18"/>
          <w:szCs w:val="18"/>
          <w:color w:val="auto"/>
        </w:rPr>
        <w:t>, both parties conclude the contract on the basis of equality, voluntariness, fairness, honesty and credibility, for consenting that Party B should lease the house that Party A can lease according to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252" w:lineRule="exact"/>
        <w:rPr>
          <w:sz w:val="20"/>
          <w:szCs w:val="20"/>
          <w:color w:val="auto"/>
        </w:rPr>
      </w:pPr>
    </w:p>
    <w:p>
      <w:pPr>
        <w:jc w:val="both"/>
        <w:ind w:left="480" w:hanging="418"/>
        <w:spacing w:after="0" w:line="259" w:lineRule="auto"/>
        <w:tabs>
          <w:tab w:leader="none" w:pos="460" w:val="left"/>
        </w:tabs>
        <w:rPr>
          <w:sz w:val="20"/>
          <w:szCs w:val="20"/>
          <w:color w:val="auto"/>
        </w:rPr>
      </w:pPr>
      <w:r>
        <w:rPr>
          <w:rFonts w:ascii="Arial" w:cs="Arial" w:eastAsia="Arial" w:hAnsi="Arial"/>
          <w:sz w:val="18"/>
          <w:szCs w:val="18"/>
          <w:color w:val="auto"/>
        </w:rPr>
        <w:t>1-1</w:t>
        <w:tab/>
        <w:t>The house which is rented to Party B by Party A is located in Room 18201/18202/18203/18204/18205/18206/18207/18208, Building 17, Guo Shoujing Road No.498, Zhang Jiang High Tech Park, Pudong, Shanghai (hereinafter referred to as “the House”). The building area of the House is 1259.94 square meters. The House should be used for research and development and office. The structure of the House is reinforced concrete structure. The plan of the house is shown in Annex I (of this contract).</w:t>
      </w:r>
    </w:p>
    <w:p>
      <w:pPr>
        <w:spacing w:after="0" w:line="187" w:lineRule="exact"/>
        <w:rPr>
          <w:sz w:val="20"/>
          <w:szCs w:val="20"/>
          <w:color w:val="auto"/>
        </w:rPr>
      </w:pPr>
    </w:p>
    <w:p>
      <w:pPr>
        <w:jc w:val="both"/>
        <w:ind w:left="480" w:hanging="418"/>
        <w:spacing w:after="0" w:line="277" w:lineRule="auto"/>
        <w:tabs>
          <w:tab w:leader="none" w:pos="460" w:val="left"/>
        </w:tabs>
        <w:rPr>
          <w:sz w:val="20"/>
          <w:szCs w:val="20"/>
          <w:color w:val="auto"/>
        </w:rPr>
      </w:pPr>
      <w:r>
        <w:rPr>
          <w:rFonts w:ascii="Arial" w:cs="Arial" w:eastAsia="Arial" w:hAnsi="Arial"/>
          <w:sz w:val="18"/>
          <w:szCs w:val="18"/>
          <w:color w:val="auto"/>
        </w:rPr>
        <w:t>1-2</w:t>
        <w:tab/>
        <w:t>Party A establishes a leasing relationship with Party B as the real estate owner of the House. Party A has told Party B and Party B has fully known that the House has been mortgaged before the contract is signed.</w:t>
      </w:r>
    </w:p>
    <w:p>
      <w:pPr>
        <w:spacing w:after="0" w:line="170" w:lineRule="exact"/>
        <w:rPr>
          <w:sz w:val="20"/>
          <w:szCs w:val="20"/>
          <w:color w:val="auto"/>
        </w:rPr>
      </w:pPr>
    </w:p>
    <w:p>
      <w:pPr>
        <w:jc w:val="both"/>
        <w:ind w:left="480" w:hanging="418"/>
        <w:spacing w:after="0" w:line="279" w:lineRule="auto"/>
        <w:tabs>
          <w:tab w:leader="none" w:pos="4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71" w:lineRule="exact"/>
        <w:rPr>
          <w:sz w:val="20"/>
          <w:szCs w:val="20"/>
          <w:color w:val="auto"/>
        </w:rPr>
      </w:pPr>
    </w:p>
    <w:p>
      <w:pPr>
        <w:jc w:val="both"/>
        <w:ind w:left="480" w:hanging="418"/>
        <w:spacing w:after="0" w:line="264" w:lineRule="auto"/>
        <w:tabs>
          <w:tab w:leader="none" w:pos="460" w:val="left"/>
        </w:tabs>
        <w:rPr>
          <w:sz w:val="20"/>
          <w:szCs w:val="20"/>
          <w:color w:val="auto"/>
        </w:rPr>
      </w:pPr>
      <w:r>
        <w:rPr>
          <w:rFonts w:ascii="Arial" w:cs="Arial" w:eastAsia="Arial" w:hAnsi="Arial"/>
          <w:sz w:val="18"/>
          <w:szCs w:val="18"/>
          <w:color w:val="auto"/>
        </w:rPr>
        <w:t>1-4</w:t>
        <w:tab/>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2. Rental Purposes</w:t>
      </w:r>
    </w:p>
    <w:p>
      <w:pPr>
        <w:spacing w:after="0" w:line="252" w:lineRule="exact"/>
        <w:rPr>
          <w:sz w:val="20"/>
          <w:szCs w:val="20"/>
          <w:color w:val="auto"/>
        </w:rPr>
      </w:pPr>
    </w:p>
    <w:p>
      <w:pPr>
        <w:jc w:val="both"/>
        <w:ind w:left="420" w:right="20" w:hanging="418"/>
        <w:spacing w:after="0" w:line="277" w:lineRule="auto"/>
        <w:tabs>
          <w:tab w:leader="none" w:pos="400" w:val="left"/>
        </w:tabs>
        <w:rPr>
          <w:sz w:val="20"/>
          <w:szCs w:val="20"/>
          <w:color w:val="auto"/>
        </w:rPr>
      </w:pPr>
      <w:r>
        <w:rPr>
          <w:rFonts w:ascii="Arial" w:cs="Arial" w:eastAsia="Arial" w:hAnsi="Arial"/>
          <w:sz w:val="18"/>
          <w:szCs w:val="18"/>
          <w:color w:val="auto"/>
        </w:rPr>
        <w:t>2-1</w:t>
        <w:tab/>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97" w:lineRule="exact"/>
        <w:rPr>
          <w:sz w:val="20"/>
          <w:szCs w:val="20"/>
          <w:color w:val="auto"/>
        </w:rPr>
      </w:pPr>
    </w:p>
    <w:p>
      <w:pPr>
        <w:jc w:val="both"/>
        <w:ind w:left="420" w:hanging="418"/>
        <w:spacing w:after="0" w:line="277" w:lineRule="auto"/>
        <w:tabs>
          <w:tab w:leader="none" w:pos="400" w:val="left"/>
        </w:tabs>
        <w:rPr>
          <w:sz w:val="20"/>
          <w:szCs w:val="20"/>
          <w:color w:val="auto"/>
        </w:rPr>
      </w:pPr>
      <w:r>
        <w:rPr>
          <w:rFonts w:ascii="Arial" w:cs="Arial" w:eastAsia="Arial" w:hAnsi="Arial"/>
          <w:sz w:val="18"/>
          <w:szCs w:val="18"/>
          <w:color w:val="auto"/>
        </w:rPr>
        <w:t>2-2</w:t>
        <w:tab/>
        <w:t>Party B promises that the above-mentioned purpose of the use will not be changed during the rental term unless such change gets Party A's written consent and is approved by the relevant departments according to relative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Renewal Term</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Contract is a renewal contract based on the original contract (No. ZL20150059) which was signed for renting the House.</w:t>
      </w:r>
    </w:p>
    <w:p>
      <w:pPr>
        <w:spacing w:after="0" w:line="23" w:lineRule="exact"/>
        <w:rPr>
          <w:sz w:val="20"/>
          <w:szCs w:val="20"/>
          <w:color w:val="auto"/>
        </w:rPr>
      </w:pPr>
    </w:p>
    <w:p>
      <w:pPr>
        <w:jc w:val="both"/>
        <w:ind w:left="420" w:hanging="418"/>
        <w:spacing w:after="0" w:line="205" w:lineRule="auto"/>
        <w:tabs>
          <w:tab w:leader="none" w:pos="400" w:val="left"/>
        </w:tabs>
        <w:rPr>
          <w:sz w:val="20"/>
          <w:szCs w:val="20"/>
          <w:color w:val="auto"/>
        </w:rPr>
      </w:pPr>
      <w:r>
        <w:rPr>
          <w:rFonts w:ascii="Arial" w:cs="Arial" w:eastAsia="Arial" w:hAnsi="Arial"/>
          <w:sz w:val="36"/>
          <w:szCs w:val="36"/>
          <w:color w:val="auto"/>
          <w:vertAlign w:val="superscript"/>
        </w:rPr>
        <w:t>3-2</w:t>
      </w:r>
      <w:r>
        <w:rPr>
          <w:rFonts w:ascii="Arial" w:cs="Arial" w:eastAsia="Arial" w:hAnsi="Arial"/>
          <w:sz w:val="18"/>
          <w:szCs w:val="18"/>
          <w:color w:val="auto"/>
        </w:rPr>
        <w:tab/>
        <w:t>The renewal term is from July 1</w:t>
      </w:r>
      <w:r>
        <w:rPr>
          <w:rFonts w:ascii="Arial" w:cs="Arial" w:eastAsia="Arial" w:hAnsi="Arial"/>
          <w:sz w:val="30"/>
          <w:szCs w:val="30"/>
          <w:color w:val="auto"/>
          <w:vertAlign w:val="superscript"/>
        </w:rPr>
        <w:t>st</w:t>
      </w:r>
      <w:r>
        <w:rPr>
          <w:rFonts w:ascii="Arial" w:cs="Arial" w:eastAsia="Arial" w:hAnsi="Arial"/>
          <w:sz w:val="18"/>
          <w:szCs w:val="18"/>
          <w:color w:val="auto"/>
        </w:rPr>
        <w:t>, 2017 (hereinafter referred to as “lease date”) to June 30</w:t>
      </w:r>
      <w:r>
        <w:rPr>
          <w:rFonts w:ascii="Arial" w:cs="Arial" w:eastAsia="Arial" w:hAnsi="Arial"/>
          <w:sz w:val="30"/>
          <w:szCs w:val="30"/>
          <w:color w:val="auto"/>
          <w:vertAlign w:val="superscript"/>
        </w:rPr>
        <w:t>th</w:t>
      </w:r>
      <w:r>
        <w:rPr>
          <w:rFonts w:ascii="Arial" w:cs="Arial" w:eastAsia="Arial" w:hAnsi="Arial"/>
          <w:sz w:val="18"/>
          <w:szCs w:val="18"/>
          <w:color w:val="auto"/>
        </w:rPr>
        <w:t>, 2019 (hereinafter referred to as “terminal date”). The rent will be counted from July 1st, 2017 (hereinafter referred to as “rent date”) to terminal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4. Rent and Payment Methods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Both Parties agree that the unit rental price is counted according to the daily construction area per square meter.</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From July 1st, 2017 to June 30</w:t>
      </w:r>
      <w:r>
        <w:rPr>
          <w:rFonts w:ascii="Arial" w:cs="Arial" w:eastAsia="Arial" w:hAnsi="Arial"/>
          <w:sz w:val="30"/>
          <w:szCs w:val="30"/>
          <w:color w:val="auto"/>
          <w:vertAlign w:val="superscript"/>
        </w:rPr>
        <w:t>th</w:t>
      </w:r>
      <w:r>
        <w:rPr>
          <w:rFonts w:ascii="Arial" w:cs="Arial" w:eastAsia="Arial" w:hAnsi="Arial"/>
          <w:sz w:val="18"/>
          <w:szCs w:val="18"/>
          <w:color w:val="auto"/>
        </w:rPr>
        <w:t>, 2018, the unit rental price is RMB 3.43 yuan (US$0.51).</w:t>
      </w:r>
    </w:p>
    <w:p>
      <w:pPr>
        <w:ind w:left="420"/>
        <w:spacing w:after="0"/>
        <w:rPr>
          <w:sz w:val="20"/>
          <w:szCs w:val="20"/>
          <w:color w:val="auto"/>
        </w:rPr>
      </w:pPr>
      <w:r>
        <w:rPr>
          <w:rFonts w:ascii="Arial" w:cs="Arial" w:eastAsia="Arial" w:hAnsi="Arial"/>
          <w:sz w:val="18"/>
          <w:szCs w:val="18"/>
          <w:color w:val="auto"/>
        </w:rPr>
        <w:t>From July 1st, 2018 to June 30</w:t>
      </w:r>
      <w:r>
        <w:rPr>
          <w:rFonts w:ascii="Arial" w:cs="Arial" w:eastAsia="Arial" w:hAnsi="Arial"/>
          <w:sz w:val="30"/>
          <w:szCs w:val="30"/>
          <w:color w:val="auto"/>
          <w:vertAlign w:val="superscript"/>
        </w:rPr>
        <w:t>th</w:t>
      </w:r>
      <w:r>
        <w:rPr>
          <w:rFonts w:ascii="Arial" w:cs="Arial" w:eastAsia="Arial" w:hAnsi="Arial"/>
          <w:sz w:val="18"/>
          <w:szCs w:val="18"/>
          <w:color w:val="auto"/>
        </w:rPr>
        <w:t>, 2019, the unit rental price is RMB 3.57 yuan (US$0.53).</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above unit rental prices are tax-inclusive prices)</w:t>
      </w:r>
    </w:p>
    <w:p>
      <w:pPr>
        <w:spacing w:after="0" w:line="252" w:lineRule="exact"/>
        <w:rPr>
          <w:sz w:val="20"/>
          <w:szCs w:val="20"/>
          <w:color w:val="auto"/>
        </w:rPr>
      </w:pPr>
    </w:p>
    <w:p>
      <w:pPr>
        <w:jc w:val="both"/>
        <w:ind w:left="420" w:hanging="418"/>
        <w:spacing w:after="0" w:line="221" w:lineRule="exact"/>
        <w:tabs>
          <w:tab w:leader="none" w:pos="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6"/>
          <w:szCs w:val="16"/>
          <w:color w:val="auto"/>
        </w:rPr>
        <w:t>╳</w:t>
      </w:r>
      <w:r>
        <w:rPr>
          <w:rFonts w:ascii="Arial" w:cs="Arial" w:eastAsia="Arial" w:hAnsi="Arial"/>
          <w:sz w:val="16"/>
          <w:szCs w:val="16"/>
          <w:color w:val="auto"/>
        </w:rPr>
        <w:t xml:space="preserve"> unit rental price </w:t>
      </w:r>
      <w:r>
        <w:rPr>
          <w:rFonts w:ascii="MS PGothic" w:cs="MS PGothic" w:eastAsia="MS PGothic" w:hAnsi="MS PGothic"/>
          <w:sz w:val="16"/>
          <w:szCs w:val="16"/>
          <w:color w:val="auto"/>
        </w:rPr>
        <w:t>╳</w:t>
      </w:r>
      <w:r>
        <w:rPr>
          <w:rFonts w:ascii="Arial" w:cs="Arial" w:eastAsia="Arial" w:hAnsi="Arial"/>
          <w:sz w:val="16"/>
          <w:szCs w:val="16"/>
          <w:color w:val="auto"/>
        </w:rPr>
        <w:t xml:space="preserve"> the calendar days of the month. The monthly rental amount is rounded to one decimal place).</w:t>
      </w:r>
    </w:p>
    <w:p>
      <w:pPr>
        <w:spacing w:after="0" w:line="2" w:lineRule="exact"/>
        <w:rPr>
          <w:sz w:val="20"/>
          <w:szCs w:val="20"/>
          <w:color w:val="auto"/>
        </w:rPr>
      </w:pPr>
    </w:p>
    <w:p>
      <w:pPr>
        <w:jc w:val="both"/>
        <w:ind w:left="420"/>
        <w:spacing w:after="0" w:line="234" w:lineRule="auto"/>
        <w:rPr>
          <w:sz w:val="20"/>
          <w:szCs w:val="20"/>
          <w:color w:val="auto"/>
        </w:rPr>
      </w:pPr>
      <w:r>
        <w:rPr>
          <w:rFonts w:ascii="Arial" w:cs="Arial" w:eastAsia="Arial" w:hAnsi="Arial"/>
          <w:sz w:val="16"/>
          <w:szCs w:val="16"/>
          <w:color w:val="auto"/>
        </w:rPr>
        <w:t>Party B should pay the rent to Party A before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w:t>
      </w:r>
    </w:p>
    <w:p>
      <w:pPr>
        <w:jc w:val="both"/>
        <w:ind w:left="420" w:right="20"/>
        <w:spacing w:after="0" w:line="217" w:lineRule="auto"/>
        <w:rPr>
          <w:sz w:val="20"/>
          <w:szCs w:val="20"/>
          <w:color w:val="auto"/>
        </w:rPr>
      </w:pPr>
      <w:r>
        <w:rPr>
          <w:rFonts w:ascii="Arial" w:cs="Arial" w:eastAsia="Arial" w:hAnsi="Arial"/>
          <w:sz w:val="18"/>
          <w:szCs w:val="18"/>
          <w:color w:val="auto"/>
        </w:rPr>
        <w:t>should be paid before the terminal date. If the days of the last month are not less than 10, the last month’s rent should be paid before the10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0" w:name="page201"/>
    <w:bookmarkEnd w:id="200"/>
    <w:p>
      <w:pPr>
        <w:jc w:val="both"/>
        <w:ind w:left="420" w:hanging="418"/>
        <w:spacing w:after="0" w:line="259" w:lineRule="auto"/>
        <w:tabs>
          <w:tab w:leader="none" w:pos="400" w:val="left"/>
        </w:tabs>
        <w:rPr>
          <w:sz w:val="20"/>
          <w:szCs w:val="20"/>
          <w:color w:val="auto"/>
        </w:rPr>
      </w:pPr>
      <w:r>
        <w:rPr>
          <w:rFonts w:ascii="Arial" w:cs="Arial" w:eastAsia="Arial" w:hAnsi="Arial"/>
          <w:sz w:val="18"/>
          <w:szCs w:val="18"/>
          <w:color w:val="auto"/>
        </w:rPr>
        <w:t>4-3</w:t>
        <w:tab/>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Party B pays the rent to Party A’s following account by check or transfer: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Shanghai Pudong Software Park Co.,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[_]</w:t>
      </w:r>
    </w:p>
    <w:p>
      <w:pPr>
        <w:spacing w:after="0" w:line="229" w:lineRule="exact"/>
        <w:rPr>
          <w:sz w:val="20"/>
          <w:szCs w:val="20"/>
          <w:color w:val="auto"/>
        </w:rPr>
      </w:pPr>
    </w:p>
    <w:p>
      <w:pPr>
        <w:jc w:val="both"/>
        <w:ind w:left="420" w:hanging="418"/>
        <w:spacing w:after="0" w:line="264" w:lineRule="auto"/>
        <w:tabs>
          <w:tab w:leader="none" w:pos="400" w:val="left"/>
        </w:tabs>
        <w:rPr>
          <w:sz w:val="20"/>
          <w:szCs w:val="20"/>
          <w:color w:val="auto"/>
        </w:rPr>
      </w:pPr>
      <w:r>
        <w:rPr>
          <w:rFonts w:ascii="Arial" w:cs="Arial" w:eastAsia="Arial" w:hAnsi="Arial"/>
          <w:sz w:val="18"/>
          <w:szCs w:val="18"/>
          <w:color w:val="auto"/>
        </w:rPr>
        <w:t>4-5</w:t>
        <w:tab/>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Party A may entrust a property management company to assist in collecting the 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 Rental Deposit and Other Fees</w:t>
      </w:r>
    </w:p>
    <w:p>
      <w:pPr>
        <w:spacing w:after="0" w:line="252" w:lineRule="exact"/>
        <w:rPr>
          <w:sz w:val="20"/>
          <w:szCs w:val="20"/>
          <w:color w:val="auto"/>
        </w:rPr>
      </w:pPr>
    </w:p>
    <w:p>
      <w:pPr>
        <w:jc w:val="both"/>
        <w:ind w:left="420" w:hanging="418"/>
        <w:spacing w:after="0" w:line="254" w:lineRule="auto"/>
        <w:tabs>
          <w:tab w:leader="none" w:pos="400" w:val="left"/>
        </w:tabs>
        <w:rPr>
          <w:sz w:val="20"/>
          <w:szCs w:val="20"/>
          <w:color w:val="auto"/>
        </w:rPr>
      </w:pPr>
      <w:r>
        <w:rPr>
          <w:rFonts w:ascii="Arial" w:cs="Arial" w:eastAsia="Arial" w:hAnsi="Arial"/>
          <w:sz w:val="18"/>
          <w:szCs w:val="18"/>
          <w:color w:val="auto"/>
        </w:rPr>
        <w:t>5-1</w:t>
        <w:tab/>
        <w:t>Both Parties agree that Party B shall pay rental deposit to Party A within 5 working days after signing the Contract. The amount of the deposit is equivalent to the rent for the three months (90 days) of the highest unit price within the lease term, which is RMB 404,819.00 (US$59,714) yuan. Party B has paid RMB 374,202.00 (US$55,198) yuan for rental deposit under the original contract, and it will be automatically converted to the deposit under the Contract after the Contract becomes effective. The margin of the deposit is RMB 30,617.00 (US$4,516) yuan, and Party B shall pay it to Party A within 5 working days after signing the Contract. Party A shall issue a receipt to Party B after receiving the deposit. If Party B fails to pay the lease deposit in full to Party A in accordance with the provisions of this contract, Party B shall pay Party A late payment fee of 0.3% of the outstanding amount pre day, until the full payment is completed. If Party B delays or fails to pay more than 15 working days, Party A has the right to rescind the contract.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1" w:name="page202"/>
    <w:bookmarkEnd w:id="201"/>
    <w:p>
      <w:pPr>
        <w:jc w:val="both"/>
        <w:ind w:left="400"/>
        <w:spacing w:after="0" w:line="257" w:lineRule="auto"/>
        <w:rPr>
          <w:sz w:val="20"/>
          <w:szCs w:val="20"/>
          <w:color w:val="auto"/>
        </w:rPr>
      </w:pPr>
      <w:r>
        <w:rPr>
          <w:rFonts w:ascii="Arial" w:cs="Arial" w:eastAsia="Arial" w:hAnsi="Arial"/>
          <w:sz w:val="18"/>
          <w:szCs w:val="18"/>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88" w:lineRule="exact"/>
        <w:rPr>
          <w:sz w:val="20"/>
          <w:szCs w:val="20"/>
          <w:color w:val="auto"/>
        </w:rPr>
      </w:pPr>
    </w:p>
    <w:p>
      <w:pPr>
        <w:jc w:val="both"/>
        <w:ind w:left="420"/>
        <w:spacing w:after="0" w:line="297" w:lineRule="auto"/>
        <w:rPr>
          <w:sz w:val="20"/>
          <w:szCs w:val="20"/>
          <w:color w:val="auto"/>
        </w:rPr>
      </w:pPr>
      <w:r>
        <w:rPr>
          <w:rFonts w:ascii="Arial" w:cs="Arial" w:eastAsia="Arial" w:hAnsi="Arial"/>
          <w:sz w:val="16"/>
          <w:szCs w:val="16"/>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85" w:lineRule="exact"/>
        <w:rPr>
          <w:sz w:val="20"/>
          <w:szCs w:val="20"/>
          <w:color w:val="auto"/>
        </w:rPr>
      </w:pPr>
    </w:p>
    <w:p>
      <w:pPr>
        <w:jc w:val="both"/>
        <w:ind w:left="400" w:hanging="418"/>
        <w:spacing w:after="0" w:line="259" w:lineRule="auto"/>
        <w:tabs>
          <w:tab w:leader="none" w:pos="380" w:val="left"/>
        </w:tabs>
        <w:rPr>
          <w:sz w:val="20"/>
          <w:szCs w:val="20"/>
          <w:color w:val="auto"/>
        </w:rPr>
      </w:pPr>
      <w:r>
        <w:rPr>
          <w:rFonts w:ascii="Arial" w:cs="Arial" w:eastAsia="Arial" w:hAnsi="Arial"/>
          <w:sz w:val="18"/>
          <w:szCs w:val="18"/>
          <w:color w:val="auto"/>
        </w:rPr>
        <w:t>5-2</w:t>
        <w:tab/>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214" w:lineRule="exact"/>
        <w:rPr>
          <w:sz w:val="20"/>
          <w:szCs w:val="20"/>
          <w:color w:val="auto"/>
        </w:rPr>
      </w:pPr>
    </w:p>
    <w:p>
      <w:pPr>
        <w:jc w:val="both"/>
        <w:ind w:left="400" w:hanging="418"/>
        <w:spacing w:after="0" w:line="255" w:lineRule="auto"/>
        <w:tabs>
          <w:tab w:leader="none" w:pos="380" w:val="left"/>
        </w:tabs>
        <w:rPr>
          <w:sz w:val="20"/>
          <w:szCs w:val="20"/>
          <w:color w:val="auto"/>
        </w:rPr>
      </w:pPr>
      <w:r>
        <w:rPr>
          <w:rFonts w:ascii="Arial" w:cs="Arial" w:eastAsia="Arial" w:hAnsi="Arial"/>
          <w:sz w:val="18"/>
          <w:szCs w:val="18"/>
          <w:color w:val="auto"/>
        </w:rPr>
        <w:t>5-3</w:t>
        <w:tab/>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6. Housing Requirements and Maintenance Responsibilities</w:t>
      </w:r>
    </w:p>
    <w:p>
      <w:pPr>
        <w:spacing w:after="0" w:line="252" w:lineRule="exact"/>
        <w:rPr>
          <w:sz w:val="20"/>
          <w:szCs w:val="20"/>
          <w:color w:val="auto"/>
        </w:rPr>
      </w:pPr>
    </w:p>
    <w:p>
      <w:pPr>
        <w:jc w:val="both"/>
        <w:ind w:left="420" w:hanging="418"/>
        <w:spacing w:after="0" w:line="255" w:lineRule="auto"/>
        <w:tabs>
          <w:tab w:leader="none" w:pos="400" w:val="left"/>
        </w:tabs>
        <w:rPr>
          <w:sz w:val="20"/>
          <w:szCs w:val="20"/>
          <w:color w:val="auto"/>
        </w:rPr>
      </w:pPr>
      <w:r>
        <w:rPr>
          <w:rFonts w:ascii="Arial" w:cs="Arial" w:eastAsia="Arial" w:hAnsi="Arial"/>
          <w:sz w:val="18"/>
          <w:szCs w:val="18"/>
          <w:color w:val="auto"/>
        </w:rPr>
        <w:t>6-1</w:t>
        <w:tab/>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220" w:lineRule="exact"/>
        <w:rPr>
          <w:sz w:val="20"/>
          <w:szCs w:val="20"/>
          <w:color w:val="auto"/>
        </w:rPr>
      </w:pPr>
    </w:p>
    <w:p>
      <w:pPr>
        <w:jc w:val="both"/>
        <w:ind w:left="420" w:hanging="418"/>
        <w:spacing w:after="0" w:line="297" w:lineRule="auto"/>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185" w:lineRule="exact"/>
        <w:rPr>
          <w:sz w:val="20"/>
          <w:szCs w:val="20"/>
          <w:color w:val="auto"/>
        </w:rPr>
      </w:pPr>
    </w:p>
    <w:p>
      <w:pPr>
        <w:jc w:val="both"/>
        <w:ind w:left="420" w:hanging="418"/>
        <w:spacing w:after="0" w:line="302" w:lineRule="auto"/>
        <w:tabs>
          <w:tab w:leader="none" w:pos="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81" w:lineRule="exact"/>
        <w:rPr>
          <w:sz w:val="20"/>
          <w:szCs w:val="20"/>
          <w:color w:val="auto"/>
        </w:rPr>
      </w:pPr>
    </w:p>
    <w:p>
      <w:pPr>
        <w:jc w:val="both"/>
        <w:ind w:left="420" w:hanging="418"/>
        <w:spacing w:after="0" w:line="277" w:lineRule="auto"/>
        <w:tabs>
          <w:tab w:leader="none" w:pos="400" w:val="left"/>
        </w:tabs>
        <w:rPr>
          <w:sz w:val="20"/>
          <w:szCs w:val="20"/>
          <w:color w:val="auto"/>
        </w:rPr>
      </w:pPr>
      <w:r>
        <w:rPr>
          <w:rFonts w:ascii="Arial" w:cs="Arial" w:eastAsia="Arial" w:hAnsi="Arial"/>
          <w:sz w:val="18"/>
          <w:szCs w:val="18"/>
          <w:color w:val="auto"/>
        </w:rPr>
        <w:t>6-4</w:t>
        <w:tab/>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3" w:name="page204"/>
    <w:bookmarkEnd w:id="203"/>
    <w:p>
      <w:pPr>
        <w:jc w:val="both"/>
        <w:ind w:left="420" w:right="20" w:hanging="418"/>
        <w:spacing w:after="0" w:line="277" w:lineRule="auto"/>
        <w:tabs>
          <w:tab w:leader="none" w:pos="400" w:val="left"/>
        </w:tabs>
        <w:rPr>
          <w:sz w:val="20"/>
          <w:szCs w:val="20"/>
          <w:color w:val="auto"/>
        </w:rPr>
      </w:pPr>
      <w:r>
        <w:rPr>
          <w:rFonts w:ascii="Arial" w:cs="Arial" w:eastAsia="Arial" w:hAnsi="Arial"/>
          <w:sz w:val="18"/>
          <w:szCs w:val="18"/>
          <w:color w:val="auto"/>
        </w:rPr>
        <w:t>6-5</w:t>
        <w:tab/>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 Decoration and Accretion</w:t>
      </w:r>
    </w:p>
    <w:p>
      <w:pPr>
        <w:spacing w:after="0" w:line="252" w:lineRule="exact"/>
        <w:rPr>
          <w:sz w:val="20"/>
          <w:szCs w:val="20"/>
          <w:color w:val="auto"/>
        </w:rPr>
      </w:pPr>
    </w:p>
    <w:p>
      <w:pPr>
        <w:jc w:val="both"/>
        <w:ind w:left="420" w:hanging="418"/>
        <w:spacing w:after="0" w:line="276" w:lineRule="auto"/>
        <w:tabs>
          <w:tab w:leader="none" w:pos="4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200" w:lineRule="exact"/>
        <w:rPr>
          <w:sz w:val="20"/>
          <w:szCs w:val="20"/>
          <w:color w:val="auto"/>
        </w:rPr>
      </w:pPr>
    </w:p>
    <w:p>
      <w:pPr>
        <w:jc w:val="both"/>
        <w:ind w:left="420" w:hanging="418"/>
        <w:spacing w:after="0" w:line="257" w:lineRule="auto"/>
        <w:tabs>
          <w:tab w:leader="none" w:pos="400" w:val="left"/>
        </w:tabs>
        <w:rPr>
          <w:sz w:val="20"/>
          <w:szCs w:val="20"/>
          <w:color w:val="auto"/>
        </w:rPr>
      </w:pPr>
      <w:r>
        <w:rPr>
          <w:rFonts w:ascii="Arial" w:cs="Arial" w:eastAsia="Arial" w:hAnsi="Arial"/>
          <w:sz w:val="18"/>
          <w:szCs w:val="18"/>
          <w:color w:val="auto"/>
        </w:rPr>
        <w:t>7-2</w:t>
        <w:tab/>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215" w:lineRule="exact"/>
        <w:rPr>
          <w:sz w:val="20"/>
          <w:szCs w:val="20"/>
          <w:color w:val="auto"/>
        </w:rPr>
      </w:pPr>
    </w:p>
    <w:p>
      <w:pPr>
        <w:jc w:val="both"/>
        <w:ind w:left="420" w:hanging="418"/>
        <w:spacing w:after="0" w:line="257" w:lineRule="auto"/>
        <w:tabs>
          <w:tab w:leader="none" w:pos="400" w:val="left"/>
        </w:tabs>
        <w:rPr>
          <w:sz w:val="20"/>
          <w:szCs w:val="20"/>
          <w:color w:val="auto"/>
        </w:rPr>
      </w:pPr>
      <w:r>
        <w:rPr>
          <w:rFonts w:ascii="Arial" w:cs="Arial" w:eastAsia="Arial" w:hAnsi="Arial"/>
          <w:sz w:val="18"/>
          <w:szCs w:val="18"/>
          <w:color w:val="auto"/>
        </w:rPr>
        <w:t>7-3</w:t>
        <w:tab/>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4" w:name="page205"/>
    <w:bookmarkEnd w:id="204"/>
    <w:p>
      <w:pPr>
        <w:jc w:val="both"/>
        <w:ind w:left="420" w:hanging="418"/>
        <w:spacing w:after="0" w:line="312" w:lineRule="auto"/>
        <w:tabs>
          <w:tab w:leader="none" w:pos="4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74" w:lineRule="exact"/>
        <w:rPr>
          <w:sz w:val="20"/>
          <w:szCs w:val="20"/>
          <w:color w:val="auto"/>
        </w:rPr>
      </w:pPr>
    </w:p>
    <w:p>
      <w:pPr>
        <w:jc w:val="both"/>
        <w:ind w:left="420" w:hanging="418"/>
        <w:spacing w:after="0" w:line="257" w:lineRule="auto"/>
        <w:tabs>
          <w:tab w:leader="none" w:pos="400" w:val="left"/>
        </w:tabs>
        <w:rPr>
          <w:sz w:val="20"/>
          <w:szCs w:val="20"/>
          <w:color w:val="auto"/>
        </w:rPr>
      </w:pPr>
      <w:r>
        <w:rPr>
          <w:rFonts w:ascii="Arial" w:cs="Arial" w:eastAsia="Arial" w:hAnsi="Arial"/>
          <w:sz w:val="18"/>
          <w:szCs w:val="18"/>
          <w:color w:val="auto"/>
        </w:rPr>
        <w:t>7-5</w:t>
        <w:tab/>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8. Enter and Check</w:t>
      </w:r>
    </w:p>
    <w:p>
      <w:pPr>
        <w:spacing w:after="0" w:line="252" w:lineRule="exact"/>
        <w:rPr>
          <w:sz w:val="20"/>
          <w:szCs w:val="20"/>
          <w:color w:val="auto"/>
        </w:rPr>
      </w:pPr>
    </w:p>
    <w:p>
      <w:pPr>
        <w:jc w:val="both"/>
        <w:ind w:left="420" w:hanging="418"/>
        <w:spacing w:after="0" w:line="302" w:lineRule="auto"/>
        <w:tabs>
          <w:tab w:leader="none" w:pos="4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81" w:lineRule="exact"/>
        <w:rPr>
          <w:sz w:val="20"/>
          <w:szCs w:val="20"/>
          <w:color w:val="auto"/>
        </w:rPr>
      </w:pPr>
    </w:p>
    <w:p>
      <w:pPr>
        <w:jc w:val="both"/>
        <w:ind w:left="420" w:hanging="418"/>
        <w:spacing w:after="0" w:line="286" w:lineRule="auto"/>
        <w:tabs>
          <w:tab w:leader="none" w:pos="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9. Sublet, Mix, Transfer and Exchange</w:t>
      </w:r>
    </w:p>
    <w:p>
      <w:pPr>
        <w:spacing w:after="0" w:line="252" w:lineRule="exact"/>
        <w:rPr>
          <w:sz w:val="20"/>
          <w:szCs w:val="20"/>
          <w:color w:val="auto"/>
        </w:rPr>
      </w:pPr>
    </w:p>
    <w:p>
      <w:pPr>
        <w:jc w:val="both"/>
        <w:ind w:left="420" w:hanging="418"/>
        <w:spacing w:after="0" w:line="264" w:lineRule="auto"/>
        <w:tabs>
          <w:tab w:leader="none" w:pos="400" w:val="left"/>
        </w:tabs>
        <w:rPr>
          <w:sz w:val="20"/>
          <w:szCs w:val="20"/>
          <w:color w:val="auto"/>
        </w:rPr>
      </w:pPr>
      <w:r>
        <w:rPr>
          <w:rFonts w:ascii="Arial" w:cs="Arial" w:eastAsia="Arial" w:hAnsi="Arial"/>
          <w:sz w:val="18"/>
          <w:szCs w:val="18"/>
          <w:color w:val="auto"/>
        </w:rPr>
        <w:t>9-1</w:t>
        <w:tab/>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208" w:lineRule="exact"/>
        <w:rPr>
          <w:sz w:val="20"/>
          <w:szCs w:val="20"/>
          <w:color w:val="auto"/>
        </w:rPr>
      </w:pPr>
    </w:p>
    <w:p>
      <w:pPr>
        <w:jc w:val="both"/>
        <w:ind w:left="420" w:hanging="418"/>
        <w:spacing w:after="0" w:line="286" w:lineRule="auto"/>
        <w:tabs>
          <w:tab w:leader="none" w:pos="4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10. Priority Renewal Rights</w:t>
      </w:r>
    </w:p>
    <w:p>
      <w:pPr>
        <w:spacing w:after="0" w:line="252" w:lineRule="exact"/>
        <w:rPr>
          <w:sz w:val="20"/>
          <w:szCs w:val="20"/>
          <w:color w:val="auto"/>
        </w:rPr>
      </w:pPr>
    </w:p>
    <w:p>
      <w:pPr>
        <w:jc w:val="both"/>
        <w:ind w:left="420" w:hanging="418"/>
        <w:spacing w:after="0" w:line="257" w:lineRule="auto"/>
        <w:rPr>
          <w:sz w:val="20"/>
          <w:szCs w:val="20"/>
          <w:color w:val="auto"/>
        </w:rPr>
      </w:pPr>
      <w:r>
        <w:rPr>
          <w:rFonts w:ascii="Arial" w:cs="Arial" w:eastAsia="Arial" w:hAnsi="Arial"/>
          <w:sz w:val="18"/>
          <w:szCs w:val="18"/>
          <w:color w:val="auto"/>
        </w:rPr>
        <w:t>10-1 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215" w:lineRule="exact"/>
        <w:rPr>
          <w:sz w:val="20"/>
          <w:szCs w:val="20"/>
          <w:color w:val="auto"/>
        </w:rPr>
      </w:pPr>
    </w:p>
    <w:p>
      <w:pPr>
        <w:jc w:val="both"/>
        <w:ind w:left="420" w:hanging="418"/>
        <w:spacing w:after="0" w:line="264" w:lineRule="auto"/>
        <w:rPr>
          <w:sz w:val="20"/>
          <w:szCs w:val="20"/>
          <w:color w:val="auto"/>
        </w:rPr>
      </w:pPr>
      <w:r>
        <w:rPr>
          <w:rFonts w:ascii="Arial" w:cs="Arial" w:eastAsia="Arial" w:hAnsi="Arial"/>
          <w:sz w:val="18"/>
          <w:szCs w:val="18"/>
          <w:color w:val="auto"/>
        </w:rPr>
        <w:t>10-2 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11. Return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11-1 Party B shall return the House to Party A no later than the expiry date of the lease or the date on which the Contract is terminated prematurely.</w:t>
      </w:r>
    </w:p>
    <w:p>
      <w:pPr>
        <w:spacing w:after="0" w:line="264" w:lineRule="exact"/>
        <w:rPr>
          <w:sz w:val="20"/>
          <w:szCs w:val="20"/>
          <w:color w:val="auto"/>
        </w:rPr>
      </w:pPr>
    </w:p>
    <w:p>
      <w:pPr>
        <w:jc w:val="both"/>
        <w:ind w:left="420" w:hanging="418"/>
        <w:spacing w:after="0" w:line="259" w:lineRule="auto"/>
        <w:rPr>
          <w:sz w:val="20"/>
          <w:szCs w:val="20"/>
          <w:color w:val="auto"/>
        </w:rPr>
      </w:pPr>
      <w:r>
        <w:rPr>
          <w:rFonts w:ascii="Arial" w:cs="Arial" w:eastAsia="Arial" w:hAnsi="Arial"/>
          <w:sz w:val="18"/>
          <w:szCs w:val="18"/>
          <w:color w:val="auto"/>
        </w:rPr>
        <w:t>11-2 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6" w:name="page207"/>
    <w:bookmarkEnd w:id="206"/>
    <w:p>
      <w:pPr>
        <w:jc w:val="both"/>
        <w:ind w:left="420" w:hanging="418"/>
        <w:spacing w:after="0" w:line="255" w:lineRule="auto"/>
        <w:rPr>
          <w:sz w:val="20"/>
          <w:szCs w:val="20"/>
          <w:color w:val="auto"/>
        </w:rPr>
      </w:pPr>
      <w:r>
        <w:rPr>
          <w:rFonts w:ascii="Arial" w:cs="Arial" w:eastAsia="Arial" w:hAnsi="Arial"/>
          <w:sz w:val="18"/>
          <w:szCs w:val="18"/>
          <w:color w:val="auto"/>
        </w:rPr>
        <w:t>11-3 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220" w:lineRule="exact"/>
        <w:rPr>
          <w:sz w:val="20"/>
          <w:szCs w:val="20"/>
          <w:color w:val="auto"/>
        </w:rPr>
      </w:pPr>
    </w:p>
    <w:p>
      <w:pPr>
        <w:jc w:val="both"/>
        <w:ind w:left="420" w:hanging="418"/>
        <w:spacing w:after="0" w:line="271" w:lineRule="auto"/>
        <w:rPr>
          <w:sz w:val="20"/>
          <w:szCs w:val="20"/>
          <w:color w:val="auto"/>
        </w:rPr>
      </w:pPr>
      <w:r>
        <w:rPr>
          <w:rFonts w:ascii="Arial" w:cs="Arial" w:eastAsia="Arial" w:hAnsi="Arial"/>
          <w:sz w:val="17"/>
          <w:szCs w:val="17"/>
          <w:color w:val="auto"/>
        </w:rPr>
        <w:t>11-4 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12. Exemption for Party A</w:t>
      </w:r>
    </w:p>
    <w:p>
      <w:pPr>
        <w:spacing w:after="0" w:line="252" w:lineRule="exact"/>
        <w:rPr>
          <w:sz w:val="20"/>
          <w:szCs w:val="20"/>
          <w:color w:val="auto"/>
        </w:rPr>
      </w:pPr>
    </w:p>
    <w:p>
      <w:pPr>
        <w:jc w:val="both"/>
        <w:ind w:left="420" w:hanging="418"/>
        <w:spacing w:after="0" w:line="264" w:lineRule="auto"/>
        <w:rPr>
          <w:sz w:val="20"/>
          <w:szCs w:val="20"/>
          <w:color w:val="auto"/>
        </w:rPr>
      </w:pPr>
      <w:r>
        <w:rPr>
          <w:rFonts w:ascii="Arial" w:cs="Arial" w:eastAsia="Arial" w:hAnsi="Arial"/>
          <w:sz w:val="18"/>
          <w:szCs w:val="18"/>
          <w:color w:val="auto"/>
        </w:rPr>
        <w:t>12-1 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208" w:lineRule="exact"/>
        <w:rPr>
          <w:sz w:val="20"/>
          <w:szCs w:val="20"/>
          <w:color w:val="auto"/>
        </w:rPr>
      </w:pPr>
    </w:p>
    <w:p>
      <w:pPr>
        <w:ind w:left="5680" w:right="80" w:hanging="5159"/>
        <w:spacing w:after="0" w:line="810" w:lineRule="auto"/>
        <w:tabs>
          <w:tab w:leader="none" w:pos="90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loss or damage due to expropriation, acquisition, confiscation, nationalization or any force majeure caused by state or government agencies;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7" w:name="page208"/>
    <w:bookmarkEnd w:id="207"/>
    <w:p>
      <w:pPr>
        <w:ind w:left="900" w:hanging="379"/>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loss or damage caused by theft, robbery and other criminal cases;</w:t>
      </w:r>
    </w:p>
    <w:p>
      <w:pPr>
        <w:spacing w:after="0" w:line="252" w:lineRule="exact"/>
        <w:rPr>
          <w:rFonts w:ascii="Arial" w:cs="Arial" w:eastAsia="Arial" w:hAnsi="Arial"/>
          <w:sz w:val="18"/>
          <w:szCs w:val="18"/>
          <w:color w:val="auto"/>
        </w:rPr>
      </w:pPr>
    </w:p>
    <w:p>
      <w:pPr>
        <w:jc w:val="both"/>
        <w:ind w:left="900" w:hanging="379"/>
        <w:spacing w:after="0" w:line="264" w:lineRule="auto"/>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208" w:lineRule="exact"/>
        <w:rPr>
          <w:rFonts w:ascii="Arial" w:cs="Arial" w:eastAsia="Arial" w:hAnsi="Arial"/>
          <w:sz w:val="18"/>
          <w:szCs w:val="18"/>
          <w:color w:val="auto"/>
        </w:rPr>
      </w:pPr>
    </w:p>
    <w:p>
      <w:pPr>
        <w:ind w:left="900" w:hanging="379"/>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Party B’s losses and damages caused by other lessees or third parties;</w:t>
      </w:r>
    </w:p>
    <w:p>
      <w:pPr>
        <w:spacing w:after="0" w:line="252" w:lineRule="exact"/>
        <w:rPr>
          <w:rFonts w:ascii="Arial" w:cs="Arial" w:eastAsia="Arial" w:hAnsi="Arial"/>
          <w:sz w:val="18"/>
          <w:szCs w:val="18"/>
          <w:color w:val="auto"/>
        </w:rPr>
      </w:pPr>
    </w:p>
    <w:p>
      <w:pPr>
        <w:ind w:left="900" w:hanging="379"/>
        <w:spacing w:after="0" w:line="277" w:lineRule="auto"/>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Breach of the Contract and Liability for Breach of Contract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13-1 Party A’s default</w:t>
      </w:r>
    </w:p>
    <w:p>
      <w:pPr>
        <w:spacing w:after="0" w:line="252" w:lineRule="exact"/>
        <w:rPr>
          <w:sz w:val="20"/>
          <w:szCs w:val="20"/>
          <w:color w:val="auto"/>
        </w:rPr>
      </w:pPr>
    </w:p>
    <w:p>
      <w:pPr>
        <w:ind w:left="900" w:hanging="379"/>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Party A shall compensate for the loss of Party B due to Party A's transfer of property right caused by Party A's setting up a new mortgage to the House during the rental term as stipulated in this contract.</w:t>
      </w:r>
    </w:p>
    <w:p>
      <w:pPr>
        <w:spacing w:after="0" w:line="197" w:lineRule="exact"/>
        <w:rPr>
          <w:rFonts w:ascii="Arial" w:cs="Arial" w:eastAsia="Arial" w:hAnsi="Arial"/>
          <w:sz w:val="18"/>
          <w:szCs w:val="18"/>
          <w:color w:val="auto"/>
        </w:rPr>
      </w:pPr>
    </w:p>
    <w:p>
      <w:pPr>
        <w:jc w:val="both"/>
        <w:ind w:left="900" w:hanging="379"/>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208" w:lineRule="exact"/>
        <w:rPr>
          <w:rFonts w:ascii="Arial" w:cs="Arial" w:eastAsia="Arial" w:hAnsi="Arial"/>
          <w:sz w:val="18"/>
          <w:szCs w:val="18"/>
          <w:color w:val="auto"/>
        </w:rPr>
      </w:pPr>
    </w:p>
    <w:p>
      <w:pPr>
        <w:jc w:val="both"/>
        <w:ind w:left="900" w:hanging="379"/>
        <w:spacing w:after="0" w:line="255"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13-2 Party B’s default</w:t>
      </w:r>
    </w:p>
    <w:p>
      <w:pPr>
        <w:spacing w:after="0" w:line="252" w:lineRule="exact"/>
        <w:rPr>
          <w:sz w:val="20"/>
          <w:szCs w:val="20"/>
          <w:color w:val="auto"/>
        </w:rPr>
      </w:pPr>
    </w:p>
    <w:p>
      <w:pPr>
        <w:jc w:val="both"/>
        <w:ind w:left="800" w:hanging="373"/>
        <w:spacing w:after="0" w:line="312" w:lineRule="auto"/>
        <w:tabs>
          <w:tab w:leader="none" w:pos="8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173" w:lineRule="exact"/>
        <w:rPr>
          <w:rFonts w:ascii="Arial" w:cs="Arial" w:eastAsia="Arial" w:hAnsi="Arial"/>
          <w:sz w:val="16"/>
          <w:szCs w:val="16"/>
          <w:color w:val="auto"/>
        </w:rPr>
      </w:pPr>
    </w:p>
    <w:p>
      <w:pPr>
        <w:jc w:val="both"/>
        <w:ind w:left="800" w:hanging="373"/>
        <w:spacing w:after="0" w:line="312" w:lineRule="auto"/>
        <w:tabs>
          <w:tab w:leader="none" w:pos="8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73" w:lineRule="exact"/>
        <w:rPr>
          <w:rFonts w:ascii="Arial" w:cs="Arial" w:eastAsia="Arial" w:hAnsi="Arial"/>
          <w:sz w:val="16"/>
          <w:szCs w:val="16"/>
          <w:color w:val="auto"/>
        </w:rPr>
      </w:pPr>
    </w:p>
    <w:p>
      <w:pPr>
        <w:ind w:left="800" w:hanging="373"/>
        <w:spacing w:after="0" w:line="308" w:lineRule="auto"/>
        <w:tabs>
          <w:tab w:leader="none" w:pos="8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73" w:lineRule="exact"/>
        <w:rPr>
          <w:rFonts w:ascii="Arial" w:cs="Arial" w:eastAsia="Arial" w:hAnsi="Arial"/>
          <w:sz w:val="17"/>
          <w:szCs w:val="17"/>
          <w:color w:val="auto"/>
        </w:rPr>
      </w:pPr>
    </w:p>
    <w:p>
      <w:pPr>
        <w:jc w:val="both"/>
        <w:ind w:left="800" w:hanging="373"/>
        <w:spacing w:after="0" w:line="257" w:lineRule="auto"/>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8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6"/>
          <w:szCs w:val="16"/>
          <w:color w:val="auto"/>
        </w:rPr>
        <w:t>Retirement refers to the behavior that Party B decides to terminate the lease relationship early for its own reasons, limited to a written statement.</w:t>
      </w:r>
    </w:p>
    <w:p>
      <w:pPr>
        <w:spacing w:after="0" w:line="275" w:lineRule="exact"/>
        <w:rPr>
          <w:rFonts w:ascii="Arial" w:cs="Arial" w:eastAsia="Arial" w:hAnsi="Arial"/>
          <w:sz w:val="18"/>
          <w:szCs w:val="18"/>
          <w:color w:val="auto"/>
        </w:rPr>
      </w:pPr>
    </w:p>
    <w:p>
      <w:pPr>
        <w:jc w:val="both"/>
        <w:ind w:left="800" w:hanging="373"/>
        <w:spacing w:after="0" w:line="264" w:lineRule="auto"/>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208" w:lineRule="exact"/>
        <w:rPr>
          <w:rFonts w:ascii="Arial" w:cs="Arial" w:eastAsia="Arial" w:hAnsi="Arial"/>
          <w:sz w:val="18"/>
          <w:szCs w:val="18"/>
          <w:color w:val="auto"/>
        </w:rPr>
      </w:pPr>
    </w:p>
    <w:p>
      <w:pPr>
        <w:ind w:left="800" w:hanging="373"/>
        <w:spacing w:after="0"/>
        <w:tabs>
          <w:tab w:leader="none" w:pos="8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Party A has right to request Party B to compensate Party A for the losses suffered thereby, if Party B takes the following actions:</w:t>
      </w:r>
    </w:p>
    <w:p>
      <w:pPr>
        <w:spacing w:after="0" w:line="252" w:lineRule="exact"/>
        <w:rPr>
          <w:rFonts w:ascii="Arial" w:cs="Arial" w:eastAsia="Arial" w:hAnsi="Arial"/>
          <w:sz w:val="18"/>
          <w:szCs w:val="18"/>
          <w:color w:val="auto"/>
        </w:rPr>
      </w:pPr>
    </w:p>
    <w:p>
      <w:pPr>
        <w:ind w:left="1180" w:hanging="375"/>
        <w:spacing w:after="0"/>
        <w:tabs>
          <w:tab w:leader="none" w:pos="11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Intentional or negligent act of Party B and its employees and contractors on any part of the building or the House;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9" w:name="page210"/>
    <w:bookmarkEnd w:id="209"/>
    <w:p>
      <w:pPr>
        <w:ind w:left="1180" w:hanging="375"/>
        <w:spacing w:after="0"/>
        <w:tabs>
          <w:tab w:leader="none" w:pos="11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Party B violates or fails to comply with any applicable provisions of the Contract;</w:t>
      </w:r>
    </w:p>
    <w:p>
      <w:pPr>
        <w:spacing w:after="0" w:line="252" w:lineRule="exact"/>
        <w:rPr>
          <w:rFonts w:ascii="Arial" w:cs="Arial" w:eastAsia="Arial" w:hAnsi="Arial"/>
          <w:sz w:val="18"/>
          <w:szCs w:val="18"/>
          <w:color w:val="auto"/>
        </w:rPr>
      </w:pPr>
    </w:p>
    <w:p>
      <w:pPr>
        <w:jc w:val="both"/>
        <w:ind w:left="1180" w:hanging="375"/>
        <w:spacing w:after="0" w:line="264" w:lineRule="auto"/>
        <w:tabs>
          <w:tab w:leader="none" w:pos="11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Force Majeure</w:t>
      </w:r>
    </w:p>
    <w:p>
      <w:pPr>
        <w:spacing w:after="0" w:line="252" w:lineRule="exact"/>
        <w:rPr>
          <w:sz w:val="20"/>
          <w:szCs w:val="20"/>
          <w:color w:val="auto"/>
        </w:rPr>
      </w:pPr>
    </w:p>
    <w:p>
      <w:pPr>
        <w:jc w:val="both"/>
        <w:ind w:left="420" w:hanging="418"/>
        <w:spacing w:after="0" w:line="273" w:lineRule="auto"/>
        <w:rPr>
          <w:sz w:val="20"/>
          <w:szCs w:val="20"/>
          <w:color w:val="auto"/>
        </w:rPr>
      </w:pPr>
      <w:r>
        <w:rPr>
          <w:rFonts w:ascii="Arial" w:cs="Arial" w:eastAsia="Arial" w:hAnsi="Arial"/>
          <w:sz w:val="17"/>
          <w:szCs w:val="17"/>
          <w:color w:val="auto"/>
        </w:rPr>
        <w:t>14-1 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205" w:lineRule="exact"/>
        <w:rPr>
          <w:sz w:val="20"/>
          <w:szCs w:val="20"/>
          <w:color w:val="auto"/>
        </w:rPr>
      </w:pPr>
    </w:p>
    <w:p>
      <w:pPr>
        <w:jc w:val="both"/>
        <w:ind w:left="420" w:hanging="418"/>
        <w:spacing w:after="0" w:line="264" w:lineRule="auto"/>
        <w:rPr>
          <w:sz w:val="20"/>
          <w:szCs w:val="20"/>
          <w:color w:val="auto"/>
        </w:rPr>
      </w:pPr>
      <w:r>
        <w:rPr>
          <w:rFonts w:ascii="Arial" w:cs="Arial" w:eastAsia="Arial" w:hAnsi="Arial"/>
          <w:sz w:val="18"/>
          <w:szCs w:val="18"/>
          <w:color w:val="auto"/>
        </w:rPr>
        <w:t>14-2 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15. Terminate the Contract</w:t>
      </w:r>
    </w:p>
    <w:p>
      <w:pPr>
        <w:spacing w:after="0" w:line="252" w:lineRule="exact"/>
        <w:rPr>
          <w:sz w:val="20"/>
          <w:szCs w:val="20"/>
          <w:color w:val="auto"/>
        </w:rPr>
      </w:pPr>
    </w:p>
    <w:p>
      <w:pPr>
        <w:jc w:val="both"/>
        <w:ind w:left="420" w:hanging="418"/>
        <w:spacing w:after="0" w:line="312" w:lineRule="auto"/>
        <w:rPr>
          <w:sz w:val="20"/>
          <w:szCs w:val="20"/>
          <w:color w:val="auto"/>
        </w:rPr>
      </w:pPr>
      <w:r>
        <w:rPr>
          <w:rFonts w:ascii="Arial" w:cs="Arial" w:eastAsia="Arial" w:hAnsi="Arial"/>
          <w:sz w:val="16"/>
          <w:szCs w:val="16"/>
          <w:color w:val="auto"/>
        </w:rPr>
        <w:t>15-1 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0" w:name="page211"/>
    <w:bookmarkEnd w:id="210"/>
    <w:p>
      <w:pPr>
        <w:ind w:left="800" w:hanging="373"/>
        <w:spacing w:after="0"/>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Party A fails to deliver the House on time and still cannot deliver the House 30 days after the written notice from Party B;</w:t>
      </w:r>
    </w:p>
    <w:p>
      <w:pPr>
        <w:spacing w:after="0" w:line="219" w:lineRule="exact"/>
        <w:rPr>
          <w:rFonts w:ascii="Arial" w:cs="Arial" w:eastAsia="Arial" w:hAnsi="Arial"/>
          <w:sz w:val="18"/>
          <w:szCs w:val="18"/>
          <w:color w:val="auto"/>
        </w:rPr>
      </w:pPr>
    </w:p>
    <w:p>
      <w:pPr>
        <w:ind w:left="800" w:hanging="373"/>
        <w:spacing w:after="0" w:line="239" w:lineRule="exact"/>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house delivered by Party A does not meet the contract stipulated in Annex </w:t>
      </w:r>
      <w:r>
        <w:rPr>
          <w:rFonts w:ascii="MS PGothic" w:cs="MS PGothic" w:eastAsia="MS PGothic" w:hAnsi="MS PGothic"/>
          <w:sz w:val="18"/>
          <w:szCs w:val="18"/>
          <w:color w:val="auto"/>
        </w:rPr>
        <w:t>Ⅱ</w:t>
      </w:r>
      <w:r>
        <w:rPr>
          <w:rFonts w:ascii="Arial" w:cs="Arial" w:eastAsia="Arial" w:hAnsi="Arial"/>
          <w:sz w:val="18"/>
          <w:szCs w:val="18"/>
          <w:color w:val="auto"/>
        </w:rPr>
        <w:t xml:space="preserve"> of the Contract, resulting in the failure to realize the purpose of the lease; or the House delivered by Party A is defective and endangers the safety of Party B;</w:t>
      </w:r>
    </w:p>
    <w:p>
      <w:pPr>
        <w:spacing w:after="0" w:line="230" w:lineRule="exact"/>
        <w:rPr>
          <w:rFonts w:ascii="Arial" w:cs="Arial" w:eastAsia="Arial" w:hAnsi="Arial"/>
          <w:sz w:val="18"/>
          <w:szCs w:val="18"/>
          <w:color w:val="auto"/>
        </w:rPr>
      </w:pPr>
    </w:p>
    <w:p>
      <w:pPr>
        <w:ind w:left="800" w:hanging="373"/>
        <w:spacing w:after="0"/>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Party B fails to obtain the written consent of Party A to change the use of the House;</w:t>
      </w:r>
    </w:p>
    <w:p>
      <w:pPr>
        <w:spacing w:after="0" w:line="252" w:lineRule="exact"/>
        <w:rPr>
          <w:rFonts w:ascii="Arial" w:cs="Arial" w:eastAsia="Arial" w:hAnsi="Arial"/>
          <w:sz w:val="18"/>
          <w:szCs w:val="18"/>
          <w:color w:val="auto"/>
        </w:rPr>
      </w:pPr>
    </w:p>
    <w:p>
      <w:pPr>
        <w:ind w:left="800" w:hanging="373"/>
        <w:spacing w:after="0"/>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Party B causes damage to the main structure of the House or other irreparable damage;</w:t>
      </w:r>
    </w:p>
    <w:p>
      <w:pPr>
        <w:spacing w:after="0" w:line="252" w:lineRule="exact"/>
        <w:rPr>
          <w:rFonts w:ascii="Arial" w:cs="Arial" w:eastAsia="Arial" w:hAnsi="Arial"/>
          <w:sz w:val="18"/>
          <w:szCs w:val="18"/>
          <w:color w:val="auto"/>
        </w:rPr>
      </w:pPr>
    </w:p>
    <w:p>
      <w:pPr>
        <w:ind w:left="800" w:hanging="373"/>
        <w:spacing w:after="0" w:line="277" w:lineRule="auto"/>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Party B, without the written consent of Party A and the approval of the relevant department, arbitrarily changed the nature of the production and use involved in the property planning;</w:t>
      </w:r>
    </w:p>
    <w:p>
      <w:pPr>
        <w:spacing w:after="0" w:line="197" w:lineRule="exact"/>
        <w:rPr>
          <w:rFonts w:ascii="Arial" w:cs="Arial" w:eastAsia="Arial" w:hAnsi="Arial"/>
          <w:sz w:val="18"/>
          <w:szCs w:val="18"/>
          <w:color w:val="auto"/>
        </w:rPr>
      </w:pPr>
    </w:p>
    <w:p>
      <w:pPr>
        <w:ind w:left="800" w:hanging="373"/>
        <w:spacing w:after="0" w:line="308" w:lineRule="auto"/>
        <w:tabs>
          <w:tab w:leader="none" w:pos="8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73" w:lineRule="exact"/>
        <w:rPr>
          <w:rFonts w:ascii="Arial" w:cs="Arial" w:eastAsia="Arial" w:hAnsi="Arial"/>
          <w:sz w:val="17"/>
          <w:szCs w:val="17"/>
          <w:color w:val="auto"/>
        </w:rPr>
      </w:pPr>
    </w:p>
    <w:p>
      <w:pPr>
        <w:ind w:left="800" w:hanging="373"/>
        <w:spacing w:after="0" w:line="277" w:lineRule="auto"/>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Party B renders part or all of the House to any third party without authorization, or uses it in combination with any third party, or transfers the House to others for rent or exchanges with other people's houses;</w:t>
      </w:r>
    </w:p>
    <w:p>
      <w:pPr>
        <w:spacing w:after="0" w:line="197" w:lineRule="exact"/>
        <w:rPr>
          <w:rFonts w:ascii="Arial" w:cs="Arial" w:eastAsia="Arial" w:hAnsi="Arial"/>
          <w:sz w:val="18"/>
          <w:szCs w:val="18"/>
          <w:color w:val="auto"/>
        </w:rPr>
      </w:pPr>
    </w:p>
    <w:p>
      <w:pPr>
        <w:ind w:left="800" w:hanging="373"/>
        <w:spacing w:after="0"/>
        <w:tabs>
          <w:tab w:leader="none" w:pos="8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Party B has not paid the rent over 30 days, and still cannot pay the rent 30 days after the written notice from Party A.</w:t>
      </w:r>
    </w:p>
    <w:p>
      <w:pPr>
        <w:spacing w:after="0" w:line="252" w:lineRule="exact"/>
        <w:rPr>
          <w:sz w:val="20"/>
          <w:szCs w:val="20"/>
          <w:color w:val="auto"/>
        </w:rPr>
      </w:pPr>
    </w:p>
    <w:p>
      <w:pPr>
        <w:ind w:left="420" w:right="20" w:hanging="418"/>
        <w:spacing w:after="0" w:line="277" w:lineRule="auto"/>
        <w:rPr>
          <w:sz w:val="20"/>
          <w:szCs w:val="20"/>
          <w:color w:val="auto"/>
        </w:rPr>
      </w:pPr>
      <w:r>
        <w:rPr>
          <w:rFonts w:ascii="Arial" w:cs="Arial" w:eastAsia="Arial" w:hAnsi="Arial"/>
          <w:sz w:val="18"/>
          <w:szCs w:val="18"/>
          <w:color w:val="auto"/>
        </w:rPr>
        <w:t>15-2 Due to the breach of item (8) of the preceding paragraph, the Party A has the right to retain all the articles in the House until Party B pays all the money (including the liquidated damages) to Party 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15-3 Both Parties agree that the Contract is terminated under the following situations, and neither of them should be responsible for the termination.</w:t>
      </w:r>
    </w:p>
    <w:p>
      <w:pPr>
        <w:spacing w:after="0" w:line="264" w:lineRule="exact"/>
        <w:rPr>
          <w:sz w:val="20"/>
          <w:szCs w:val="20"/>
          <w:color w:val="auto"/>
        </w:rPr>
      </w:pPr>
    </w:p>
    <w:p>
      <w:pPr>
        <w:ind w:left="800" w:hanging="373"/>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land use rights within the occupied area of the House are recovered early according to law;</w:t>
      </w:r>
    </w:p>
    <w:p>
      <w:pPr>
        <w:spacing w:after="0" w:line="252" w:lineRule="exact"/>
        <w:rPr>
          <w:rFonts w:ascii="Arial" w:cs="Arial" w:eastAsia="Arial" w:hAnsi="Arial"/>
          <w:sz w:val="18"/>
          <w:szCs w:val="18"/>
          <w:color w:val="auto"/>
        </w:rPr>
      </w:pPr>
    </w:p>
    <w:p>
      <w:pPr>
        <w:ind w:left="800" w:hanging="373"/>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House is requisitioned according to law because of public interests;</w:t>
      </w:r>
    </w:p>
    <w:p>
      <w:pPr>
        <w:spacing w:after="0" w:line="252" w:lineRule="exact"/>
        <w:rPr>
          <w:rFonts w:ascii="Arial" w:cs="Arial" w:eastAsia="Arial" w:hAnsi="Arial"/>
          <w:sz w:val="18"/>
          <w:szCs w:val="18"/>
          <w:color w:val="auto"/>
        </w:rPr>
      </w:pPr>
    </w:p>
    <w:p>
      <w:pPr>
        <w:ind w:left="800" w:hanging="373"/>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House is included in the scope of the permit for house demolition due to urban construction;</w:t>
      </w:r>
    </w:p>
    <w:p>
      <w:pPr>
        <w:spacing w:after="0" w:line="252" w:lineRule="exact"/>
        <w:rPr>
          <w:rFonts w:ascii="Arial" w:cs="Arial" w:eastAsia="Arial" w:hAnsi="Arial"/>
          <w:sz w:val="18"/>
          <w:szCs w:val="18"/>
          <w:color w:val="auto"/>
        </w:rPr>
      </w:pPr>
    </w:p>
    <w:p>
      <w:pPr>
        <w:ind w:left="800" w:hanging="373"/>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House is damaged, lost or has been identified as a dangerous house;</w:t>
      </w:r>
    </w:p>
    <w:p>
      <w:pPr>
        <w:spacing w:after="0" w:line="252" w:lineRule="exact"/>
        <w:rPr>
          <w:rFonts w:ascii="Arial" w:cs="Arial" w:eastAsia="Arial" w:hAnsi="Arial"/>
          <w:sz w:val="18"/>
          <w:szCs w:val="18"/>
          <w:color w:val="auto"/>
        </w:rPr>
      </w:pPr>
    </w:p>
    <w:p>
      <w:pPr>
        <w:ind w:left="800" w:hanging="373"/>
        <w:spacing w:after="0"/>
        <w:tabs>
          <w:tab w:leader="none" w:pos="8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Party A has informed Party B that the mortgage has been set before the rental, and is now being disposed 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16. Statements and Guarantees</w:t>
      </w:r>
    </w:p>
    <w:p>
      <w:pPr>
        <w:spacing w:after="0" w:line="252" w:lineRule="exact"/>
        <w:rPr>
          <w:sz w:val="20"/>
          <w:szCs w:val="20"/>
          <w:color w:val="auto"/>
        </w:rPr>
      </w:pPr>
    </w:p>
    <w:p>
      <w:pPr>
        <w:ind w:left="380" w:hanging="372"/>
        <w:spacing w:after="0"/>
        <w:tabs>
          <w:tab w:leader="none" w:pos="3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Party A hereby states and guarantees as follows:</w:t>
      </w:r>
    </w:p>
    <w:p>
      <w:pPr>
        <w:spacing w:after="0" w:line="252" w:lineRule="exact"/>
        <w:rPr>
          <w:rFonts w:ascii="Arial" w:cs="Arial" w:eastAsia="Arial" w:hAnsi="Arial"/>
          <w:sz w:val="18"/>
          <w:szCs w:val="18"/>
          <w:color w:val="auto"/>
        </w:rPr>
      </w:pPr>
    </w:p>
    <w:p>
      <w:pPr>
        <w:ind w:left="760" w:hanging="374"/>
        <w:spacing w:after="0" w:line="277" w:lineRule="auto"/>
        <w:tabs>
          <w:tab w:leader="none" w:pos="7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97" w:lineRule="exact"/>
        <w:rPr>
          <w:rFonts w:ascii="Arial" w:cs="Arial" w:eastAsia="Arial" w:hAnsi="Arial"/>
          <w:sz w:val="18"/>
          <w:szCs w:val="18"/>
          <w:color w:val="auto"/>
        </w:rPr>
      </w:pPr>
    </w:p>
    <w:p>
      <w:pPr>
        <w:ind w:left="760" w:hanging="374"/>
        <w:spacing w:after="0" w:line="277" w:lineRule="auto"/>
        <w:tabs>
          <w:tab w:leader="none" w:pos="7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Party A's signing and performance of the Contract shall not constitute a violation of the applicable law or any contract signed by Party A with any third party.</w:t>
      </w:r>
    </w:p>
    <w:p>
      <w:pPr>
        <w:spacing w:after="0" w:line="197" w:lineRule="exact"/>
        <w:rPr>
          <w:rFonts w:ascii="Arial" w:cs="Arial" w:eastAsia="Arial" w:hAnsi="Arial"/>
          <w:sz w:val="18"/>
          <w:szCs w:val="18"/>
          <w:color w:val="auto"/>
        </w:rPr>
      </w:pPr>
    </w:p>
    <w:p>
      <w:pPr>
        <w:ind w:left="760" w:right="20" w:hanging="374"/>
        <w:spacing w:after="0" w:line="277" w:lineRule="auto"/>
        <w:tabs>
          <w:tab w:leader="none" w:pos="7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Party A guarantees that the House has been built and in good condition in accordance with applicable laws (including but not limited to safety and health related laws and regulations) and has legal ownership over it.</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Party B hereby states and guarantees as follows:</w:t>
      </w:r>
    </w:p>
    <w:p>
      <w:pPr>
        <w:spacing w:after="0" w:line="252" w:lineRule="exact"/>
        <w:rPr>
          <w:rFonts w:ascii="Arial" w:cs="Arial" w:eastAsia="Arial" w:hAnsi="Arial"/>
          <w:sz w:val="18"/>
          <w:szCs w:val="18"/>
          <w:color w:val="auto"/>
        </w:rPr>
      </w:pPr>
    </w:p>
    <w:p>
      <w:pPr>
        <w:ind w:left="760" w:hanging="374"/>
        <w:spacing w:after="0"/>
        <w:tabs>
          <w:tab w:leader="none" w:pos="7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Party B has all the necessary authorizations to formally and effectively sign and perform the Contract.</w:t>
      </w:r>
    </w:p>
    <w:p>
      <w:pPr>
        <w:spacing w:after="0" w:line="252" w:lineRule="exact"/>
        <w:rPr>
          <w:rFonts w:ascii="Arial" w:cs="Arial" w:eastAsia="Arial" w:hAnsi="Arial"/>
          <w:sz w:val="18"/>
          <w:szCs w:val="18"/>
          <w:color w:val="auto"/>
        </w:rPr>
      </w:pPr>
    </w:p>
    <w:p>
      <w:pPr>
        <w:ind w:left="760" w:hanging="374"/>
        <w:spacing w:after="0" w:line="308" w:lineRule="auto"/>
        <w:tabs>
          <w:tab w:leader="none" w:pos="76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73" w:lineRule="exact"/>
        <w:rPr>
          <w:rFonts w:ascii="Arial" w:cs="Arial" w:eastAsia="Arial" w:hAnsi="Arial"/>
          <w:sz w:val="17"/>
          <w:szCs w:val="17"/>
          <w:color w:val="auto"/>
        </w:rPr>
      </w:pPr>
    </w:p>
    <w:p>
      <w:pPr>
        <w:ind w:left="760" w:hanging="374"/>
        <w:spacing w:after="0" w:line="277" w:lineRule="auto"/>
        <w:tabs>
          <w:tab w:leader="none" w:pos="7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17. Safe Production</w:t>
      </w:r>
    </w:p>
    <w:p>
      <w:pPr>
        <w:spacing w:after="0" w:line="252" w:lineRule="exact"/>
        <w:rPr>
          <w:sz w:val="20"/>
          <w:szCs w:val="20"/>
          <w:color w:val="auto"/>
        </w:rPr>
      </w:pPr>
    </w:p>
    <w:p>
      <w:pPr>
        <w:jc w:val="both"/>
        <w:ind w:left="420" w:hanging="418"/>
        <w:spacing w:after="0" w:line="219" w:lineRule="exact"/>
        <w:rPr>
          <w:sz w:val="20"/>
          <w:szCs w:val="20"/>
          <w:color w:val="auto"/>
        </w:rPr>
      </w:pPr>
      <w:r>
        <w:rPr>
          <w:rFonts w:ascii="Arial" w:cs="Arial" w:eastAsia="Arial" w:hAnsi="Arial"/>
          <w:sz w:val="18"/>
          <w:szCs w:val="18"/>
          <w:color w:val="auto"/>
        </w:rPr>
        <w:t xml:space="preserve">17-1 Party B shall strictly comply with the safety management code of the park including the Notice on Enterprise Safety Management in Shanghai Pudong Software Park (see Annex </w:t>
      </w:r>
      <w:r>
        <w:rPr>
          <w:rFonts w:ascii="MS PGothic" w:cs="MS PGothic" w:eastAsia="MS PGothic" w:hAnsi="MS PGothic"/>
          <w:sz w:val="18"/>
          <w:szCs w:val="18"/>
          <w:color w:val="auto"/>
        </w:rPr>
        <w:t>Ⅲ</w:t>
      </w:r>
      <w:r>
        <w:rPr>
          <w:rFonts w:ascii="Arial" w:cs="Arial" w:eastAsia="Arial" w:hAnsi="Arial"/>
          <w:sz w:val="18"/>
          <w:szCs w:val="18"/>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2" w:name="page213"/>
    <w:bookmarkEnd w:id="212"/>
    <w:p>
      <w:pPr>
        <w:jc w:val="both"/>
        <w:ind w:left="420" w:right="20" w:hanging="418"/>
        <w:spacing w:after="0" w:line="308" w:lineRule="auto"/>
        <w:rPr>
          <w:sz w:val="20"/>
          <w:szCs w:val="20"/>
          <w:color w:val="auto"/>
        </w:rPr>
      </w:pPr>
      <w:r>
        <w:rPr>
          <w:rFonts w:ascii="Arial" w:cs="Arial" w:eastAsia="Arial" w:hAnsi="Arial"/>
          <w:sz w:val="17"/>
          <w:szCs w:val="17"/>
          <w:color w:val="auto"/>
        </w:rPr>
        <w:t>17-2 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17-3 Party B's safety records shall be used as a reference for Party B's priority rights such as renewal and extension of lease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 Other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18-1 The Contract takes effect immediately after both parties have signed and sealed the contract.</w:t>
      </w:r>
    </w:p>
    <w:p>
      <w:pPr>
        <w:spacing w:after="0" w:line="252" w:lineRule="exact"/>
        <w:rPr>
          <w:sz w:val="20"/>
          <w:szCs w:val="20"/>
          <w:color w:val="auto"/>
        </w:rPr>
      </w:pPr>
    </w:p>
    <w:p>
      <w:pPr>
        <w:jc w:val="both"/>
        <w:ind w:left="420" w:right="20" w:hanging="418"/>
        <w:spacing w:after="0" w:line="264" w:lineRule="auto"/>
        <w:rPr>
          <w:sz w:val="20"/>
          <w:szCs w:val="20"/>
          <w:color w:val="auto"/>
        </w:rPr>
      </w:pPr>
      <w:r>
        <w:rPr>
          <w:rFonts w:ascii="Arial" w:cs="Arial" w:eastAsia="Arial" w:hAnsi="Arial"/>
          <w:sz w:val="18"/>
          <w:szCs w:val="18"/>
          <w:color w:val="auto"/>
        </w:rPr>
        <w:t>18-2 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208" w:lineRule="exact"/>
        <w:rPr>
          <w:sz w:val="20"/>
          <w:szCs w:val="20"/>
          <w:color w:val="auto"/>
        </w:rPr>
      </w:pPr>
    </w:p>
    <w:p>
      <w:pPr>
        <w:jc w:val="both"/>
        <w:ind w:left="420" w:hanging="418"/>
        <w:spacing w:after="0" w:line="308" w:lineRule="auto"/>
        <w:rPr>
          <w:sz w:val="20"/>
          <w:szCs w:val="20"/>
          <w:color w:val="auto"/>
        </w:rPr>
      </w:pPr>
      <w:r>
        <w:rPr>
          <w:rFonts w:ascii="Arial" w:cs="Arial" w:eastAsia="Arial" w:hAnsi="Arial"/>
          <w:sz w:val="17"/>
          <w:szCs w:val="17"/>
          <w:color w:val="auto"/>
        </w:rPr>
        <w:t>18-3 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174" w:lineRule="exact"/>
        <w:rPr>
          <w:sz w:val="20"/>
          <w:szCs w:val="20"/>
          <w:color w:val="auto"/>
        </w:rPr>
      </w:pPr>
    </w:p>
    <w:p>
      <w:pPr>
        <w:jc w:val="both"/>
        <w:ind w:left="420" w:right="20" w:hanging="418"/>
        <w:spacing w:after="0" w:line="308" w:lineRule="auto"/>
        <w:rPr>
          <w:sz w:val="20"/>
          <w:szCs w:val="20"/>
          <w:color w:val="auto"/>
        </w:rPr>
      </w:pPr>
      <w:r>
        <w:rPr>
          <w:rFonts w:ascii="Arial" w:cs="Arial" w:eastAsia="Arial" w:hAnsi="Arial"/>
          <w:sz w:val="17"/>
          <w:szCs w:val="17"/>
          <w:color w:val="auto"/>
        </w:rPr>
        <w:t>18-4 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74" w:lineRule="exact"/>
        <w:rPr>
          <w:sz w:val="20"/>
          <w:szCs w:val="20"/>
          <w:color w:val="auto"/>
        </w:rPr>
      </w:pPr>
    </w:p>
    <w:p>
      <w:pPr>
        <w:ind w:left="800" w:hanging="373"/>
        <w:spacing w:after="0"/>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submitted to China International Economic and Trade Arbitration Commission Shanghai Branch for arbitration;</w:t>
      </w:r>
    </w:p>
    <w:p>
      <w:pPr>
        <w:spacing w:after="0" w:line="252" w:lineRule="exact"/>
        <w:rPr>
          <w:rFonts w:ascii="Arial" w:cs="Arial" w:eastAsia="Arial" w:hAnsi="Arial"/>
          <w:sz w:val="18"/>
          <w:szCs w:val="18"/>
          <w:color w:val="auto"/>
        </w:rPr>
      </w:pPr>
    </w:p>
    <w:p>
      <w:pPr>
        <w:ind w:left="800" w:hanging="373"/>
        <w:spacing w:after="0"/>
        <w:tabs>
          <w:tab w:leader="none" w:pos="8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bring a lawsuit to the people's court where the House is located.</w:t>
      </w:r>
    </w:p>
    <w:p>
      <w:pPr>
        <w:spacing w:after="0" w:line="252" w:lineRule="exact"/>
        <w:rPr>
          <w:sz w:val="20"/>
          <w:szCs w:val="20"/>
          <w:color w:val="auto"/>
        </w:rPr>
      </w:pPr>
    </w:p>
    <w:p>
      <w:pPr>
        <w:jc w:val="both"/>
        <w:ind w:left="420" w:hanging="418"/>
        <w:spacing w:after="0" w:line="277" w:lineRule="auto"/>
        <w:rPr>
          <w:sz w:val="20"/>
          <w:szCs w:val="20"/>
          <w:color w:val="auto"/>
        </w:rPr>
      </w:pPr>
      <w:r>
        <w:rPr>
          <w:rFonts w:ascii="Arial" w:cs="Arial" w:eastAsia="Arial" w:hAnsi="Arial"/>
          <w:sz w:val="18"/>
          <w:szCs w:val="18"/>
          <w:color w:val="auto"/>
        </w:rPr>
        <w:t>18-5 The Contract has four copies with the Annex, and Party A, Party B, the business department, the tax department each hold a copy. All of them have the same effect.</w:t>
      </w:r>
    </w:p>
    <w:p>
      <w:pPr>
        <w:spacing w:after="0" w:line="197" w:lineRule="exact"/>
        <w:rPr>
          <w:sz w:val="20"/>
          <w:szCs w:val="20"/>
          <w:color w:val="auto"/>
        </w:rPr>
      </w:pPr>
    </w:p>
    <w:p>
      <w:pPr>
        <w:jc w:val="both"/>
        <w:ind w:left="420" w:hanging="418"/>
        <w:spacing w:after="0" w:line="277" w:lineRule="auto"/>
        <w:rPr>
          <w:sz w:val="20"/>
          <w:szCs w:val="20"/>
          <w:color w:val="auto"/>
        </w:rPr>
      </w:pPr>
      <w:r>
        <w:rPr>
          <w:rFonts w:ascii="Arial" w:cs="Arial" w:eastAsia="Arial" w:hAnsi="Arial"/>
          <w:sz w:val="18"/>
          <w:szCs w:val="18"/>
          <w:color w:val="auto"/>
        </w:rPr>
        <w:t>18-6 All fees and taxes related to the registration of the Contract (including but not limited to stamp duty) should be borne by both parties in accordance with the regulations of the People's Republic of China and Shanghai.</w:t>
      </w:r>
    </w:p>
    <w:p>
      <w:pPr>
        <w:spacing w:after="0" w:line="197" w:lineRule="exact"/>
        <w:rPr>
          <w:sz w:val="20"/>
          <w:szCs w:val="20"/>
          <w:color w:val="auto"/>
        </w:rPr>
      </w:pPr>
    </w:p>
    <w:p>
      <w:pPr>
        <w:jc w:val="both"/>
        <w:ind w:left="420" w:hanging="418"/>
        <w:spacing w:after="0" w:line="259" w:lineRule="auto"/>
        <w:rPr>
          <w:sz w:val="20"/>
          <w:szCs w:val="20"/>
          <w:color w:val="auto"/>
        </w:rPr>
      </w:pPr>
      <w:r>
        <w:rPr>
          <w:rFonts w:ascii="Arial" w:cs="Arial" w:eastAsia="Arial" w:hAnsi="Arial"/>
          <w:sz w:val="18"/>
          <w:szCs w:val="18"/>
          <w:color w:val="auto"/>
        </w:rPr>
        <w:t>18-7 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3" w:name="page214"/>
    <w:bookmarkEnd w:id="213"/>
    <w:p>
      <w:pPr>
        <w:jc w:val="center"/>
        <w:ind w:right="-20"/>
        <w:spacing w:after="0"/>
        <w:rPr>
          <w:sz w:val="20"/>
          <w:szCs w:val="20"/>
          <w:color w:val="auto"/>
        </w:rPr>
      </w:pPr>
      <w:r>
        <w:rPr>
          <w:rFonts w:ascii="Arial" w:cs="Arial" w:eastAsia="Arial" w:hAnsi="Arial"/>
          <w:sz w:val="18"/>
          <w:szCs w:val="18"/>
          <w:color w:val="auto"/>
        </w:rPr>
        <w:t>Annex I</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Plan of the House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color w:val="auto"/>
        </w:rPr>
        <w:t>Annex II</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the existing decoration of the House, ancillary facilities and equipment status, and the decoration and additional facilities which Party A allows Party B to do in writing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color w:val="auto"/>
        </w:rPr>
        <w:t>Annex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Shanghai Pudong Software Park Park Enterprise Security Management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81" w:lineRule="exact"/>
        <w:rPr>
          <w:sz w:val="20"/>
          <w:szCs w:val="20"/>
          <w:color w:val="auto"/>
        </w:rPr>
      </w:pPr>
    </w:p>
    <w:p>
      <w:pPr>
        <w:ind w:left="500" w:hanging="492"/>
        <w:spacing w:after="0"/>
        <w:tabs>
          <w:tab w:leader="none" w:pos="5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Safety Management Responsibilities of Companies in the Park</w:t>
      </w:r>
    </w:p>
    <w:p>
      <w:pPr>
        <w:spacing w:after="0" w:line="225"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97" w:lineRule="exact"/>
        <w:rPr>
          <w:rFonts w:ascii="Arial" w:cs="Arial" w:eastAsia="Arial" w:hAnsi="Arial"/>
          <w:sz w:val="18"/>
          <w:szCs w:val="18"/>
          <w:color w:val="auto"/>
        </w:rPr>
      </w:pPr>
    </w:p>
    <w:p>
      <w:pPr>
        <w:jc w:val="both"/>
        <w:ind w:left="880" w:hanging="372"/>
        <w:spacing w:after="0" w:line="312" w:lineRule="auto"/>
        <w:tabs>
          <w:tab w:leader="none" w:pos="88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73" w:lineRule="exact"/>
        <w:rPr>
          <w:rFonts w:ascii="Arial" w:cs="Arial" w:eastAsia="Arial" w:hAnsi="Arial"/>
          <w:sz w:val="16"/>
          <w:szCs w:val="16"/>
          <w:color w:val="auto"/>
        </w:rPr>
      </w:pPr>
    </w:p>
    <w:p>
      <w:pPr>
        <w:ind w:left="880" w:right="20" w:hanging="372"/>
        <w:spacing w:after="0" w:line="277" w:lineRule="auto"/>
        <w:tabs>
          <w:tab w:leader="none" w:pos="8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Strictly abide by the laws, regulations and rules related to safety and possess the qualifications and conditions for safety production required for the operation of the business and industry.</w:t>
      </w:r>
    </w:p>
    <w:p>
      <w:pPr>
        <w:spacing w:after="0" w:line="197" w:lineRule="exact"/>
        <w:rPr>
          <w:rFonts w:ascii="Arial" w:cs="Arial" w:eastAsia="Arial" w:hAnsi="Arial"/>
          <w:sz w:val="18"/>
          <w:szCs w:val="18"/>
          <w:color w:val="auto"/>
        </w:rPr>
      </w:pPr>
    </w:p>
    <w:p>
      <w:pPr>
        <w:jc w:val="both"/>
        <w:ind w:left="880" w:hanging="372"/>
        <w:spacing w:after="0" w:line="264" w:lineRule="auto"/>
        <w:tabs>
          <w:tab w:leader="none" w:pos="8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Safety Requirements of Daily Operation</w:t>
      </w:r>
    </w:p>
    <w:p>
      <w:pPr>
        <w:spacing w:after="0" w:line="252" w:lineRule="exact"/>
        <w:rPr>
          <w:rFonts w:ascii="Arial" w:cs="Arial" w:eastAsia="Arial" w:hAnsi="Arial"/>
          <w:sz w:val="18"/>
          <w:szCs w:val="18"/>
          <w:color w:val="auto"/>
        </w:rPr>
      </w:pPr>
    </w:p>
    <w:p>
      <w:pPr>
        <w:jc w:val="both"/>
        <w:ind w:left="880" w:hanging="372"/>
        <w:spacing w:after="0" w:line="264" w:lineRule="auto"/>
        <w:tabs>
          <w:tab w:leader="none" w:pos="8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208" w:lineRule="exact"/>
        <w:rPr>
          <w:rFonts w:ascii="Arial" w:cs="Arial" w:eastAsia="Arial" w:hAnsi="Arial"/>
          <w:sz w:val="18"/>
          <w:szCs w:val="18"/>
          <w:color w:val="auto"/>
        </w:rPr>
      </w:pPr>
    </w:p>
    <w:p>
      <w:pPr>
        <w:ind w:left="880" w:hanging="372"/>
        <w:spacing w:after="0" w:line="342" w:lineRule="auto"/>
        <w:tabs>
          <w:tab w:leader="none" w:pos="88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50" w:lineRule="exact"/>
        <w:rPr>
          <w:rFonts w:ascii="Arial" w:cs="Arial" w:eastAsia="Arial" w:hAnsi="Arial"/>
          <w:sz w:val="16"/>
          <w:szCs w:val="16"/>
          <w:color w:val="auto"/>
        </w:rPr>
      </w:pPr>
    </w:p>
    <w:p>
      <w:pPr>
        <w:jc w:val="both"/>
        <w:ind w:left="880" w:hanging="372"/>
        <w:spacing w:after="0" w:line="264" w:lineRule="auto"/>
        <w:tabs>
          <w:tab w:leader="none" w:pos="8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6" w:name="page217"/>
    <w:bookmarkEnd w:id="216"/>
    <w:p>
      <w:pPr>
        <w:ind w:left="880" w:hanging="372"/>
        <w:spacing w:after="0"/>
        <w:tabs>
          <w:tab w:leader="none" w:pos="8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Don’t produce, store toxic, harmful, flammable, explosive materials.</w:t>
      </w:r>
    </w:p>
    <w:p>
      <w:pPr>
        <w:spacing w:after="0" w:line="252" w:lineRule="exact"/>
        <w:rPr>
          <w:rFonts w:ascii="Arial" w:cs="Arial" w:eastAsia="Arial" w:hAnsi="Arial"/>
          <w:sz w:val="18"/>
          <w:szCs w:val="18"/>
          <w:color w:val="auto"/>
        </w:rPr>
      </w:pPr>
    </w:p>
    <w:p>
      <w:pPr>
        <w:ind w:left="880" w:hanging="372"/>
        <w:spacing w:after="0"/>
        <w:tabs>
          <w:tab w:leader="none" w:pos="8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Loading and unloading of goods in the designated area, do a good job of on-site safety supervision and support.</w:t>
      </w:r>
    </w:p>
    <w:p>
      <w:pPr>
        <w:spacing w:after="0" w:line="252" w:lineRule="exact"/>
        <w:rPr>
          <w:rFonts w:ascii="Arial" w:cs="Arial" w:eastAsia="Arial" w:hAnsi="Arial"/>
          <w:sz w:val="18"/>
          <w:szCs w:val="18"/>
          <w:color w:val="auto"/>
        </w:rPr>
      </w:pPr>
    </w:p>
    <w:p>
      <w:pPr>
        <w:ind w:left="880" w:hanging="372"/>
        <w:spacing w:after="0"/>
        <w:tabs>
          <w:tab w:leader="none" w:pos="8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It is strictly forbidden to lodge staff in the office area of Shanghai Pudong Software Park.</w:t>
      </w:r>
    </w:p>
    <w:p>
      <w:pPr>
        <w:spacing w:after="0" w:line="252" w:lineRule="exact"/>
        <w:rPr>
          <w:rFonts w:ascii="Arial" w:cs="Arial" w:eastAsia="Arial" w:hAnsi="Arial"/>
          <w:sz w:val="18"/>
          <w:szCs w:val="18"/>
          <w:color w:val="auto"/>
        </w:rPr>
      </w:pPr>
    </w:p>
    <w:p>
      <w:pPr>
        <w:ind w:left="880" w:right="20" w:hanging="372"/>
        <w:spacing w:after="0" w:line="277" w:lineRule="auto"/>
        <w:tabs>
          <w:tab w:leader="none" w:pos="8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risk of accidents or insecurity should be self-examination and timely rectification. Cooperate with Pu soft company and the property management unit for safety inspection and rectification.</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Requirements of Fire Safety</w:t>
      </w:r>
    </w:p>
    <w:p>
      <w:pPr>
        <w:spacing w:after="0" w:line="252" w:lineRule="exact"/>
        <w:rPr>
          <w:rFonts w:ascii="Arial" w:cs="Arial" w:eastAsia="Arial" w:hAnsi="Arial"/>
          <w:sz w:val="18"/>
          <w:szCs w:val="18"/>
          <w:color w:val="auto"/>
        </w:rPr>
      </w:pPr>
    </w:p>
    <w:p>
      <w:pPr>
        <w:ind w:left="880" w:hanging="372"/>
        <w:spacing w:after="0"/>
        <w:tabs>
          <w:tab w:leader="none" w:pos="8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Actively involved in the fire drill and cooperate with Pu soft company and property management units.</w:t>
      </w:r>
    </w:p>
    <w:p>
      <w:pPr>
        <w:spacing w:after="0" w:line="252" w:lineRule="exact"/>
        <w:rPr>
          <w:rFonts w:ascii="Arial" w:cs="Arial" w:eastAsia="Arial" w:hAnsi="Arial"/>
          <w:sz w:val="18"/>
          <w:szCs w:val="18"/>
          <w:color w:val="auto"/>
        </w:rPr>
      </w:pPr>
    </w:p>
    <w:p>
      <w:pPr>
        <w:ind w:left="880" w:right="20" w:hanging="372"/>
        <w:spacing w:after="0" w:line="277" w:lineRule="auto"/>
        <w:tabs>
          <w:tab w:leader="none" w:pos="8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97" w:lineRule="exact"/>
        <w:rPr>
          <w:rFonts w:ascii="Arial" w:cs="Arial" w:eastAsia="Arial" w:hAnsi="Arial"/>
          <w:sz w:val="18"/>
          <w:szCs w:val="18"/>
          <w:color w:val="auto"/>
        </w:rPr>
      </w:pPr>
    </w:p>
    <w:p>
      <w:pPr>
        <w:ind w:left="880" w:hanging="372"/>
        <w:spacing w:after="0"/>
        <w:tabs>
          <w:tab w:leader="none" w:pos="8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Smoking is strictly forbidden in non-smoking areas. It is forbidden to use open flame in violation of regulation.</w:t>
      </w:r>
    </w:p>
    <w:p>
      <w:pPr>
        <w:spacing w:after="0" w:line="252" w:lineRule="exact"/>
        <w:rPr>
          <w:rFonts w:ascii="Arial" w:cs="Arial" w:eastAsia="Arial" w:hAnsi="Arial"/>
          <w:sz w:val="18"/>
          <w:szCs w:val="18"/>
          <w:color w:val="auto"/>
        </w:rPr>
      </w:pPr>
    </w:p>
    <w:p>
      <w:pPr>
        <w:ind w:left="880" w:hanging="372"/>
        <w:spacing w:after="0"/>
        <w:tabs>
          <w:tab w:leader="none" w:pos="8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It is forbidden to block, close, occupy the evacuation routes and entrances and exits.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Requirements of Security and Traffic Safety</w:t>
      </w:r>
    </w:p>
    <w:p>
      <w:pPr>
        <w:spacing w:after="0" w:line="252" w:lineRule="exact"/>
        <w:rPr>
          <w:rFonts w:ascii="Arial" w:cs="Arial" w:eastAsia="Arial" w:hAnsi="Arial"/>
          <w:sz w:val="18"/>
          <w:szCs w:val="18"/>
          <w:color w:val="auto"/>
        </w:rPr>
      </w:pPr>
    </w:p>
    <w:p>
      <w:pPr>
        <w:ind w:left="880" w:right="20" w:hanging="372"/>
        <w:spacing w:after="0" w:line="277" w:lineRule="auto"/>
        <w:tabs>
          <w:tab w:leader="none" w:pos="8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Improve staff's awareness of personal safety, property safety and traffic safety. Properly store their valuables such as cash and securities, and set up more reliable safety precautions to prevent theft.</w:t>
      </w:r>
    </w:p>
    <w:p>
      <w:pPr>
        <w:spacing w:after="0" w:line="197" w:lineRule="exact"/>
        <w:rPr>
          <w:rFonts w:ascii="Arial" w:cs="Arial" w:eastAsia="Arial" w:hAnsi="Arial"/>
          <w:sz w:val="18"/>
          <w:szCs w:val="18"/>
          <w:color w:val="auto"/>
        </w:rPr>
      </w:pPr>
    </w:p>
    <w:p>
      <w:pPr>
        <w:ind w:left="880" w:hanging="372"/>
        <w:spacing w:after="0" w:line="277" w:lineRule="auto"/>
        <w:tabs>
          <w:tab w:leader="none" w:pos="8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motor vehicles owned by their employees or their employees’ relatives shall strictly follow the traffic lights’ instruction and traffic signs’ instruction to drive. Parking in the line with norms and regulations.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b w:val="1"/>
          <w:bCs w:val="1"/>
          <w:color w:val="auto"/>
        </w:rPr>
        <w:t>Exhibit 10.8</w:t>
      </w:r>
    </w:p>
    <w:p>
      <w:pPr>
        <w:spacing w:after="0" w:line="24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Framework Contract of Subcontracting Technical Service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Client (Party A): ChinaLink Professional Services Co., Ltd.</w:t>
      </w:r>
    </w:p>
    <w:p>
      <w:pPr>
        <w:spacing w:after="0" w:line="195" w:lineRule="auto"/>
        <w:rPr>
          <w:sz w:val="20"/>
          <w:szCs w:val="20"/>
          <w:color w:val="auto"/>
        </w:rPr>
      </w:pPr>
      <w:r>
        <w:rPr>
          <w:rFonts w:ascii="Arial" w:cs="Arial" w:eastAsia="Arial" w:hAnsi="Arial"/>
          <w:sz w:val="18"/>
          <w:szCs w:val="18"/>
          <w:color w:val="auto"/>
        </w:rPr>
        <w:t>Registered address: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building 18, Guo Shoujing Road No. 498, Pudong New District, Shanghai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Yang Xiaofeng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Postcode: 201203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021-31268010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021-61682201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 (Party B): Shanghai Zhouyi Information Technology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Registered address: Room 1212, West Zhongshan Road No. 933, Changning District, 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Lu Zhongyi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Postcode: 200051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021-51113716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021-51113717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Signed at: Pudong New District, Shanghai,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Signing: May 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 No. of Party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 No. of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Catalogue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Definition</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Service Model</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Party A’s Obligations</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Party B’s Obligations</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Assessment and Acceptance</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 and Payment</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Confidential</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Intellectual Property Rights</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Liability for Breach of Contract</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Time Limits and Termination</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General Terms</w:t>
            </w:r>
          </w:p>
        </w:tc>
        <w:tc>
          <w:tcPr>
            <w:tcW w:w="7140" w:type="dxa"/>
            <w:vAlign w:val="bottom"/>
            <w:shd w:val="clear" w:color="auto" w:fill="CCEEFF"/>
          </w:tcPr>
          <w:p>
            <w:pPr>
              <w:ind w:left="60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In consideration of:</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Party A is a company established and operating under the laws of the People's Republic of China and hereby authorizes Party B to provide Project Services (“Services”) to Party A's clients.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Party B is a company established and operating under the laws of the People's Republic of China and hereby accepts the trust from Party A to provide Project Services to Party A's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view of this, both parties have reached the following agreement through equal and friendly consultations and jointly abide by the agreement.</w:t>
      </w:r>
    </w:p>
    <w:p>
      <w:pPr>
        <w:spacing w:after="0" w:line="225"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Definition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agreed in writing by both parties or the context otherwise requires, the following terms in this contract have the following meanings: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“Service Location”: refers to the location of the service provided by Party B.</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“Associated Institutions”: refers to the institutions directly or indirectly controlled by one Party, directly or indirectly control one Party, directly or indirectly controlled by an organization as the same with one party. “Organization” refers to any natural person or legal person. “Control” refers to the ability to influence the management of the institution directly or indirectly, whether through ownership, voting shares, agreements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“Working Day”: refers to the business day of commercial bank in the People's Republic of China (excluding rest days and statutory holidays).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 Instructions”: refers to the file which determines the duration, location, standards, project staff, fees and other services related matters. The template is shown in Annex I.</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“Contract”: refers to the text of this contract, an attachment that forms an integral part of this contract and other documents agreed upon by both parties.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“Party A’s Client”: also called “final user”, refers to the subjects which eventually enjoy the services provided by Party B.</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“Technical Document”: refers to the service related technical documents stipulated in this contract, including drawings, manuals, standards, parameters and other texts and / or chart descriptions.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“Assessment”: refers to that Party A understands, verifies and evaluates the service provided by the project personnel according to the standards and time limits according to this contract.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Achievements”: including but not limited to any invisible effects such as concepts, merits, ideas, goals, etc. that reflect service effectiveness, and physical objects such as drawings, documents, molds, model samples and computer storage media.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“Software”: refers to a computer program consisting of hardwired logic instructions and machine-readable code (including but not limited to semiconductor devices or systems) resident in system memory, which can provide basic logic, instructions for operation, and user related application instructions, including the files used to describe, maintain, and use the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“Day”: refers to the natural day.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“Upgrade”: refers to the functional changes made by Party B to the service achievements, including but not limited to changes in functions, increases or decreases the number of concurrent users and adjusts the user interface.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refers to the date of signing this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Written”: including signatures, e-mail, electronic data exchange, and other teletext format.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“Both Parties”: refers to Party A and Party B.</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“Maintain”: refers to that within a certain period after Party A signs the final inspection report, Party B shall rectify the defect in order to make the service achievements possess and maintain the functions stipulated in this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“Site”: refers to the location where Party B provides service and / or installs service achievements.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“Site Maintenance”: refers to that Party B maintains the service locally.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“Project Personnel”: refers to employees of Party B who are assigned by Party B to provide services to Party 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“Acceptance Check”: refers to the action that the acceptance team composed of both parties test, verify and issue a written report on the function of the service achievements delivered by Party B according to the standards and deadlines agreed upon in this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“One Party”: refers to Party A or Party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“Remote Maintenance”: refers to Party B maintains the service achievements by telephone, fax, e-mail, VPN and other off-site ways.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“China”: refers to the People's Republic of China, for the purpose of this contract, excluding the Hong Kong Special Administrative Region, Macao Special Administrative Region and Taiwan.</w:t>
      </w:r>
    </w:p>
    <w:p>
      <w:pPr>
        <w:spacing w:after="0" w:line="170"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Service Model</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Party B shall assign project personnel to provide services in accordance with the contract and the work instructions.</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Terms of service, location, content, assessment standards, project personnel, fees and other services related matters should be appointed in the work instructions.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Both parties each assigned a project leader (see the work instructions) whose specific responsibilities are as follows: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project leader of Party A is responsible for formulating a work plan, assigning tasks for project personnel; communicating the progress of the project; entering the assessment project, confirming the workload and signing the corresponding confirmation files.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project leader of Party B is responsible for arranging project personnel to be in place, communicating the progress of the project and submitting the application files of workload confirmation.</w:t>
      </w:r>
    </w:p>
    <w:p>
      <w:pPr>
        <w:spacing w:after="0" w:line="170"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Party A’s Obligations</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Provide the site, tools, instruments, equipment, software and cooperation required by Party B for completion of the service in time (see the work instructions for details).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2" w:name="page223"/>
    <w:bookmarkEnd w:id="222"/>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Confirm the workload and corresponding costs of project personnel in accordance with the contract and the work instructions.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Pay Party B in accordance with the contract and the work instructions.</w:t>
      </w:r>
    </w:p>
    <w:p>
      <w:pPr>
        <w:spacing w:after="0" w:line="225"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Party B’s Obligations</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Provide project personnel in accordance with the contract and work instructions on qualifications and time limits agreements. Provide service to Party A at the place agreed in the work instructions.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Don not withdraw or change the project personnel without Party A’s consent in written.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Party B shall provide qualified personnel for replacing the personnel who was confirmed unqualified with Party A’s requirement by Party A within [</w:t>
      </w:r>
    </w:p>
    <w:p>
      <w:pPr>
        <w:spacing w:after="0" w:line="23" w:lineRule="exact"/>
        <w:rPr>
          <w:sz w:val="20"/>
          <w:szCs w:val="20"/>
          <w:color w:val="auto"/>
        </w:rPr>
      </w:pPr>
    </w:p>
    <w:p>
      <w:pPr>
        <w:ind w:left="660" w:right="20" w:hanging="4"/>
        <w:spacing w:after="0" w:line="261" w:lineRule="auto"/>
        <w:tabs>
          <w:tab w:leader="none" w:pos="8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days after receiving the written notice from Party A. Alternate handover period and the service fee in the period can be seen in the work instructions.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To ensure that its project personnel will perform confidentiality obligations in accordance with the provisions of Article 7 of the contract.</w:t>
      </w:r>
    </w:p>
    <w:p>
      <w:pPr>
        <w:spacing w:after="0" w:line="225"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 the process of providing service, if it is needed to use the soft or / and hard products of third party (except those provided by Party A or required by Party A), you should obtain the corresponding authorization of third party and do not violate the third party's right of intellectual property, and do not violate the laws and regulations and so on.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Provide the maintenance service in accordance with the work instructions.</w:t>
      </w:r>
    </w:p>
    <w:p>
      <w:pPr>
        <w:spacing w:after="0" w:line="225"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Assessment and Acceptance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standards of personnel assessment and service achievement are detailed in the work instructions.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3" w:name="page224"/>
    <w:bookmarkEnd w:id="223"/>
    <w:p>
      <w:pPr>
        <w:ind w:left="660" w:hanging="652"/>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Fees and Payment</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Party A shall pay service fee to Party B according to the standard stipulated in the work instructions, and Party A shall not pay Party B any additional fees such as travel expenses, accommodation expenses and overtime pay.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Payment</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Both parties understand and confirm that Party A pays service fees to Party B on the premise that Party B's current service quality and workload and expense list are confirmed by Party A in written and Party A receives the current service fee paid by Party A's customers.</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On the last working day of each month, Party B's financial liaison submits a list of expenses for the current month to Party A's financial liaison. If Party A confirms that the service quality of Party B meets the agreement and the list of workload and expense details is correct, Party A shall make a confirmation in writing and notify Party B to issue the invoice. If Party B should pay liquidated damages in the current month, Party A has the right to deduct it directly from the service fee of the current month.</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computational formula of the monthly fee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monthly fee = staff standard rate * the actual service days in the month - deducted fee of the month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thereinto: Standard service hours is 8 hours per day (from9:00 to 18:00, including 1-hour lunch break).</w:t>
      </w:r>
    </w:p>
    <w:p>
      <w:pPr>
        <w:spacing w:after="0" w:line="225"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color w:val="auto"/>
        </w:rPr>
        <w:t>Party A shall, upon receipt of the monthly service fee paid by Party A's client and the tax invoice issued by Party B in compliance with the relevant laws and regulations, shall transfer the payment in RMB to the bank account of Party B which is on the first page of the contract with 30 days.</w:t>
      </w:r>
    </w:p>
    <w:p>
      <w:pPr>
        <w:spacing w:after="0" w:line="124"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8"/>
          <w:szCs w:val="18"/>
          <w:color w:val="auto"/>
        </w:rPr>
        <w:t>If Party A requires, Party B shall cooperate with Party A to verify whether the invoice is true or not, including but not limited to providing the original copy of the invoice stub and the serial number of the invoice purchased. If there is a tax issue on the invoice provided by Party B, including but not limited to taxes, late fees, fines and related losses, Party B shall bear the liability for compensation.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4" w:name="page225"/>
    <w:bookmarkEnd w:id="224"/>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Both parties shall bear the taxes and fees that they shall bear in connection with the contract according to the provisions of the tax law of China.</w:t>
      </w:r>
    </w:p>
    <w:p>
      <w:pPr>
        <w:spacing w:after="0" w:line="225"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Confidential</w:t>
      </w:r>
    </w:p>
    <w:p>
      <w:pPr>
        <w:spacing w:after="0" w:line="22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Before the signing of the contract and its time limits, one party (“disclosing party”) has or may disclose the commercial, technical or other information to the other party (“receiving party”). Such materials or information is confidential if it is defined to be confidential (or has similar label), or it is disclosed in a confidential situation, or it should be confidential based on both parties’ reasonable business judgment (“confidential information”). Both parties particularly clear that the existence and content of this contract and the information of Party A's customers are confidential. Before the confidential information get into the public domain, the receiving party should:</w:t>
      </w:r>
    </w:p>
    <w:p>
      <w:pPr>
        <w:spacing w:after="0" w:line="188" w:lineRule="exact"/>
        <w:rPr>
          <w:sz w:val="20"/>
          <w:szCs w:val="20"/>
          <w:color w:val="auto"/>
        </w:rPr>
      </w:pPr>
    </w:p>
    <w:p>
      <w:pPr>
        <w:ind w:left="1160" w:hanging="504"/>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Keep the confidential information confidential;</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Use the confidential information only for the purpose of this contract;</w:t>
      </w:r>
    </w:p>
    <w:p>
      <w:pPr>
        <w:spacing w:after="0" w:line="225" w:lineRule="exact"/>
        <w:rPr>
          <w:rFonts w:ascii="Arial" w:cs="Arial" w:eastAsia="Arial" w:hAnsi="Arial"/>
          <w:sz w:val="18"/>
          <w:szCs w:val="18"/>
          <w:color w:val="auto"/>
        </w:rPr>
      </w:pPr>
    </w:p>
    <w:p>
      <w:pPr>
        <w:ind w:left="1160" w:hanging="504"/>
        <w:spacing w:after="0" w:line="277" w:lineRule="auto"/>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Do not disclose confidential information to other persons except for the receiving party’s employees who do have a need to know the confidential information for the purpose of providing services.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obligations stipulated in the preceding paragraph do not apply to the following information and materials:</w:t>
      </w:r>
    </w:p>
    <w:p>
      <w:pPr>
        <w:spacing w:after="0" w:line="225" w:lineRule="exact"/>
        <w:rPr>
          <w:sz w:val="20"/>
          <w:szCs w:val="20"/>
          <w:color w:val="auto"/>
        </w:rPr>
      </w:pPr>
    </w:p>
    <w:p>
      <w:pPr>
        <w:ind w:left="1160" w:hanging="504"/>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 has been in the public domain at the time of disclosure or gets into the public domain after disclosure;</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It has been known by the receiving party at the time of disclosure and the receiving party does not assume confidentiality obligations;</w:t>
      </w:r>
    </w:p>
    <w:p>
      <w:pPr>
        <w:spacing w:after="0" w:line="236" w:lineRule="exact"/>
        <w:rPr>
          <w:rFonts w:ascii="Arial" w:cs="Arial" w:eastAsia="Arial" w:hAnsi="Arial"/>
          <w:sz w:val="17"/>
          <w:szCs w:val="17"/>
          <w:color w:val="auto"/>
        </w:rPr>
      </w:pPr>
    </w:p>
    <w:p>
      <w:pPr>
        <w:ind w:left="1160" w:hanging="504"/>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receiving party gets it from the third party without violating this contract;</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 is provided to the third party by the disclosing party and it is unpaid with confidentiality obligations;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 is exploited by the receiving party independently of the confidential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5" w:name="page226"/>
    <w:bookmarkEnd w:id="225"/>
    <w:p>
      <w:pPr>
        <w:ind w:left="652" w:hanging="647"/>
        <w:spacing w:after="0" w:line="277" w:lineRule="auto"/>
        <w:tabs>
          <w:tab w:leader="none" w:pos="6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Upon the termination of this contract, the receiving party shall return all information to the disclosing party (or destroy it as required by the disclosing party), including the confidential information of disclosing party which was provided under this contract.</w:t>
      </w:r>
    </w:p>
    <w:p>
      <w:pPr>
        <w:spacing w:after="0" w:line="170" w:lineRule="exact"/>
        <w:rPr>
          <w:sz w:val="20"/>
          <w:szCs w:val="20"/>
          <w:color w:val="auto"/>
        </w:rPr>
      </w:pPr>
    </w:p>
    <w:p>
      <w:pPr>
        <w:ind w:left="652" w:hanging="647"/>
        <w:spacing w:after="0" w:line="277" w:lineRule="auto"/>
        <w:tabs>
          <w:tab w:leader="none" w:pos="63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Party B shall provide services for Party A's clients in the name of Party A, but shall not make any representations or warranties to Party A's clients in any form.</w:t>
      </w:r>
    </w:p>
    <w:p>
      <w:pPr>
        <w:spacing w:after="0" w:line="170" w:lineRule="exact"/>
        <w:rPr>
          <w:sz w:val="20"/>
          <w:szCs w:val="20"/>
          <w:color w:val="auto"/>
        </w:rPr>
      </w:pPr>
    </w:p>
    <w:p>
      <w:pPr>
        <w:ind w:left="652" w:hanging="647"/>
        <w:spacing w:after="0" w:line="277" w:lineRule="auto"/>
        <w:tabs>
          <w:tab w:leader="none" w:pos="63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 xml:space="preserve">Both parties may sign a </w:t>
      </w:r>
      <w:r>
        <w:rPr>
          <w:rFonts w:ascii="Arial" w:cs="Arial" w:eastAsia="Arial" w:hAnsi="Arial"/>
          <w:sz w:val="18"/>
          <w:szCs w:val="18"/>
          <w:i w:val="1"/>
          <w:iCs w:val="1"/>
          <w:color w:val="auto"/>
        </w:rPr>
        <w:t>Confidentiality Agreement</w:t>
      </w:r>
      <w:r>
        <w:rPr>
          <w:rFonts w:ascii="Arial" w:cs="Arial" w:eastAsia="Arial" w:hAnsi="Arial"/>
          <w:sz w:val="18"/>
          <w:szCs w:val="18"/>
          <w:color w:val="auto"/>
        </w:rPr>
        <w:t xml:space="preserve"> separately. If the </w:t>
      </w:r>
      <w:r>
        <w:rPr>
          <w:rFonts w:ascii="Arial" w:cs="Arial" w:eastAsia="Arial" w:hAnsi="Arial"/>
          <w:sz w:val="18"/>
          <w:szCs w:val="18"/>
          <w:i w:val="1"/>
          <w:iCs w:val="1"/>
          <w:color w:val="auto"/>
        </w:rPr>
        <w:t>Confidentiality Agreement</w:t>
      </w:r>
      <w:r>
        <w:rPr>
          <w:rFonts w:ascii="Arial" w:cs="Arial" w:eastAsia="Arial" w:hAnsi="Arial"/>
          <w:sz w:val="18"/>
          <w:szCs w:val="18"/>
          <w:color w:val="auto"/>
        </w:rPr>
        <w:t xml:space="preserve"> conflicts with Article 7, the </w:t>
      </w:r>
      <w:r>
        <w:rPr>
          <w:rFonts w:ascii="Arial" w:cs="Arial" w:eastAsia="Arial" w:hAnsi="Arial"/>
          <w:sz w:val="18"/>
          <w:szCs w:val="18"/>
          <w:i w:val="1"/>
          <w:iCs w:val="1"/>
          <w:color w:val="auto"/>
        </w:rPr>
        <w:t>Confidentiality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 </w:t>
      </w:r>
      <w:r>
        <w:rPr>
          <w:rFonts w:ascii="Arial" w:cs="Arial" w:eastAsia="Arial" w:hAnsi="Arial"/>
          <w:sz w:val="18"/>
          <w:szCs w:val="18"/>
          <w:color w:val="auto"/>
        </w:rPr>
        <w:t>shall prevail.</w:t>
      </w:r>
    </w:p>
    <w:p>
      <w:pPr>
        <w:spacing w:after="0" w:line="170" w:lineRule="exact"/>
        <w:rPr>
          <w:sz w:val="20"/>
          <w:szCs w:val="20"/>
          <w:color w:val="auto"/>
        </w:rPr>
      </w:pPr>
    </w:p>
    <w:p>
      <w:pPr>
        <w:ind w:left="652" w:hanging="652"/>
        <w:spacing w:after="0"/>
        <w:tabs>
          <w:tab w:leader="none" w:pos="6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Intellectual Property Rights</w:t>
      </w:r>
    </w:p>
    <w:p>
      <w:pPr>
        <w:spacing w:after="0" w:line="225" w:lineRule="exact"/>
        <w:rPr>
          <w:sz w:val="20"/>
          <w:szCs w:val="20"/>
          <w:color w:val="auto"/>
        </w:rPr>
      </w:pPr>
    </w:p>
    <w:p>
      <w:pPr>
        <w:jc w:val="both"/>
        <w:ind w:left="652" w:hanging="647"/>
        <w:spacing w:after="0" w:line="286" w:lineRule="auto"/>
        <w:tabs>
          <w:tab w:leader="none" w:pos="6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Unless otherwise agreed in writing by both parties, the ownership of intellectual property such as copyrights, trademarks, patents and patent applications that existed prior to the signing of this contract shall remain unchanged. If the service achievements delivered by Party B involve the intellectual property rights that existed before the contract came into effect or the intellectual property rights is acquired by Party B (or its affiliates) independent of the services under this contract (“existing intellectual property rights”), in order to ensure that Party A's clients have the right to use the service achievements accomplished by this contract commercially, Party B shall give Party A the non-exclusive, non-transferable, perpetual, irrevocable, worldwide free and sub- licensing permission. In this contract, the words “commercial use” shall have the following meanings: in the case of patent rights and the context of patent law, including but not limited to manufacturing, using, selling, offering to sell, importing patented products or using proprietary methods and the use of the promise of selling, selling and importing the products directly obtained under the patent method. In terms of copyright, means the use of the work as defined in the Copyright Law and relevant laws and regulations, including but not limited to publication, modification, copying, distribution, adaptation, translation, compilation and other means of use of works, but does not include the act of dissemination through the information network. In terms of the right to technical secrets, it means without violating the secrecy of both parties, manufacture, use and sale the products which containing the technical secrets, use the technical secrets and other action permitted by laws. In terms of other intellectual property rights, it means the use of other intellectual property rights under the relevant laws and regulations. However, the commercial use mentioned in this contract does not include permitting or authorizing others to do the above.</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26" w:name="page227"/>
    <w:bookmarkEnd w:id="226"/>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intellectual property rights which is provided by Party B such as copyrights, trademark rights, patent rights and patent application rights shall belong to Party A’s clients, and Party B shall not be entitled to any rights or interests in respect of these service achievements. Party B agrees that Party B shall not make any changes on the service achievements (including but not limited to redevelopment) without permission from Party A and Party A’s clients.</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Party B shall provide related assistance services free of charge on the request of Party A and Party A’s clients in the process of registering / declaring the intellectual property of the service achievements of Party A and Party A’s clients.</w:t>
      </w:r>
    </w:p>
    <w:p>
      <w:pPr>
        <w:spacing w:after="0" w:line="170" w:lineRule="exact"/>
        <w:rPr>
          <w:sz w:val="20"/>
          <w:szCs w:val="20"/>
          <w:color w:val="auto"/>
        </w:rPr>
      </w:pPr>
    </w:p>
    <w:p>
      <w:pPr>
        <w:ind w:left="660" w:hanging="652"/>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Liability for Breach of Contract</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Overdue service responsibility: if Party B late to provide service personnel, Party B shall pay liquidated damages which is 0.05% of the overdue amount per day. If Party B does not pay the liquidated damages up to 15 days, Party A has the right to stop or terminate the service and terminate the contract, in this situation, Party B shall pay all the above liquidated damages and compensate for Party A’s loss.</w:t>
      </w:r>
    </w:p>
    <w:p>
      <w:pPr>
        <w:spacing w:after="0" w:line="16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Overdue payment responsibility: if Party A late to pay, Party A shall pay liquidated damages which is 0.05% of the overdue amount per day, but the total amount of liquidated damages cannot over 10% of the total amount in the work instructions.</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Tortious liability to the third party: if the service that Party B provided violates the right of the third party, Party B shall bear the consequential consequences, and compensate all the losses of Party A.</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Duty of confidentiality: if a party violates the obligation of confidentiality under Article 7, it shall compensate the other party for the entire loss.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7" w:name="page228"/>
    <w:bookmarkEnd w:id="227"/>
    <w:p>
      <w:pPr>
        <w:jc w:val="both"/>
        <w:ind w:left="640" w:hanging="647"/>
        <w:spacing w:after="0" w:line="277" w:lineRule="auto"/>
        <w:tabs>
          <w:tab w:leader="none" w:pos="6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Duty of intellectual property rights: if Party B uses or allows others to use the other Party’s intellectual property in the form of violating the contract, Party B shall compensate all the losses of Party A.</w:t>
      </w:r>
    </w:p>
    <w:p>
      <w:pPr>
        <w:spacing w:after="0" w:line="170"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Commercial bribery responsibility: if Party B violates the anti-commercial bribe obligations stipulated in this contract, Party B shall return in full the fees paid by Party A and pay Party A 30% of the total amount of the contract as breach of contract damages, which if not be enough to make up for the loss of Party A, Party B should also compensate for the full loss.</w:t>
      </w:r>
    </w:p>
    <w:p>
      <w:pPr>
        <w:spacing w:after="0" w:line="181"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Prohibit recruiting responsibility: Party B shall not use any form of recruitment to hire or use any of Party A's active employees and leave within one year after the expiration of the term and without the prior express written consent of Party A. If Party B violates its obligations under this subsection, it shall pay Party A liquidated damages equivalent to one year's salary of the employed employee or the departing employee who has been employed or used by the employer.</w:t>
      </w:r>
    </w:p>
    <w:p>
      <w:pPr>
        <w:spacing w:after="0" w:line="187"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Non-competition responsibility: Party B shall not provide the same or similar services in any form to Party A's clients within the term of this contract and within one year after its termination without the prior written consent of Party A. If Party B violates the obligations under this paragraph, Party B shall return all the service fee which is already paid by Party 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28" w:name="page229"/>
    <w:bookmarkEnd w:id="228"/>
    <w:p>
      <w:pPr>
        <w:ind w:right="8640" w:firstLine="8"/>
        <w:spacing w:after="0" w:line="501" w:lineRule="auto"/>
        <w:tabs>
          <w:tab w:leader="none" w:pos="64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Time Limits and Termination 10.1 Time Limits</w:t>
      </w:r>
    </w:p>
    <w:p>
      <w:pPr>
        <w:ind w:left="660" w:right="20"/>
        <w:spacing w:after="0" w:line="277" w:lineRule="auto"/>
        <w:rPr>
          <w:sz w:val="20"/>
          <w:szCs w:val="20"/>
          <w:color w:val="auto"/>
        </w:rPr>
      </w:pPr>
      <w:r>
        <w:rPr>
          <w:rFonts w:ascii="Arial" w:cs="Arial" w:eastAsia="Arial" w:hAnsi="Arial"/>
          <w:sz w:val="18"/>
          <w:szCs w:val="18"/>
          <w:color w:val="auto"/>
        </w:rPr>
        <w:t>The contract shall be effective after signed by the legal representatives of both parties or their authorized representatives and sealed the company seal or contract seal from the day of signing / sealing to get off work on May 6, 2017.</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Termination</w:t>
      </w:r>
    </w:p>
    <w:p>
      <w:pPr>
        <w:spacing w:after="0" w:line="225"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Under one of the following situation, one party is entitled to notify the other party to terminate this contract and / or related work instructions (such notice should be signed by the legal representatives of both parties or their authorized representatives and sealed the company seal or contract seal).</w:t>
      </w:r>
    </w:p>
    <w:p>
      <w:pPr>
        <w:spacing w:after="0" w:line="124" w:lineRule="exact"/>
        <w:rPr>
          <w:sz w:val="20"/>
          <w:szCs w:val="20"/>
          <w:color w:val="auto"/>
        </w:rPr>
      </w:pPr>
    </w:p>
    <w:p>
      <w:pPr>
        <w:ind w:left="1160" w:hanging="504"/>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Due to force majeure this contract’s purpose cannot be achieved;</w:t>
      </w:r>
    </w:p>
    <w:p>
      <w:pPr>
        <w:spacing w:after="0" w:line="225" w:lineRule="exact"/>
        <w:rPr>
          <w:rFonts w:ascii="Arial" w:cs="Arial" w:eastAsia="Arial" w:hAnsi="Arial"/>
          <w:sz w:val="18"/>
          <w:szCs w:val="18"/>
          <w:color w:val="auto"/>
        </w:rPr>
      </w:pPr>
    </w:p>
    <w:p>
      <w:pPr>
        <w:ind w:left="1160" w:right="20" w:hanging="504"/>
        <w:spacing w:after="0" w:line="277" w:lineRule="auto"/>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other party breaches this contract and fails to remedy the situation effectively or the defaults cannot be remedied by their nature within 30 days from the date of this notification;</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other party is bankrupted, or will enter into bankruptcy, clearing and other similar legal proceedings;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Substantial changes have taken place in each other's equity and such changes will impair their ability to perform.</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10.2.2</w:t>
        <w:tab/>
        <w:t>Due to the special project, Party A can terminate the contract and /or any term of the work instructions with a notice in written notified 10 days before, but Party A shall pay Party B a fee for the service achievements which have been accepted and checked by Party A.</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10.2.3</w:t>
        <w:tab/>
        <w:t>If Party B violates the contract to terminate the contract and /or any term of work instructions, Party B shall return the full cost which is already paid by Party A and compensate all the losses caused to Party A.</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After the termination of this contract, Articles 7, 8, 9, 10 and 11 shall continue to be valid.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9" w:name="page230"/>
    <w:bookmarkEnd w:id="229"/>
    <w:p>
      <w:pPr>
        <w:ind w:left="660" w:hanging="652"/>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General Terms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11.1</w:t>
      </w:r>
      <w:r>
        <w:rPr>
          <w:rFonts w:ascii="Arial" w:cs="Arial" w:eastAsia="Arial" w:hAnsi="Arial"/>
          <w:sz w:val="16"/>
          <w:szCs w:val="16"/>
          <w:color w:val="auto"/>
        </w:rPr>
        <w:t>Force Majeure</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11.1.1</w:t>
        <w:tab/>
        <w:t>After the contract enters into effective, if one party cannot perform the contract according to force majeure, the party’s responsibility is exempted totally or partly due to the effect of force majeure.</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11.1.2</w:t>
        <w:tab/>
        <w:t>After the occurrence of force majeure, the party encountering the force majeure shall inform the other party as soon as possible, and both parties shall take appropriate measures to prevent the loss from expanding. If one party does not take appropriate measures and makes the loss expanded, the party should compensate for the expanded loss.</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11.1.3</w:t>
        <w:tab/>
        <w:t>After the elimination of the effects of force majeure, the party encountering the force majeure shall provide the certificate issued by notarized authority and other competent authorities within 10 days.</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11.1.4</w:t>
        <w:tab/>
        <w:t>After the elimination of the effects of force majeure, unless both parties have reached other written agreements, the party encountering the force majeure shall continue to perform this contract. If the impact of the force majeure lasts for 30 days, both parties should negotiate and conclude the supplementary agreement or terminate the agreement as soon as possible.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Statements and Warranties</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11.2.1</w:t>
        <w:tab/>
        <w:t>Both parties hereby warrant that they are legal entities which lawfully established and in operation in the People's Republic of China and have obtained the approval (if necessary) from the relevant government authorities and / or other necessary authorities to sign and execute the contract. The signing and performance of this contract shall not violate the other documents.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As a supplier who provides services to Party A, Party B promises:</w:t>
      </w:r>
    </w:p>
    <w:p>
      <w:pPr>
        <w:spacing w:after="0" w:line="225" w:lineRule="exact"/>
        <w:rPr>
          <w:sz w:val="20"/>
          <w:szCs w:val="20"/>
          <w:color w:val="auto"/>
        </w:rPr>
      </w:pPr>
    </w:p>
    <w:p>
      <w:pPr>
        <w:jc w:val="both"/>
        <w:ind w:left="660" w:hanging="647"/>
        <w:spacing w:after="0" w:line="286" w:lineRule="auto"/>
        <w:rPr>
          <w:sz w:val="20"/>
          <w:szCs w:val="20"/>
          <w:color w:val="auto"/>
        </w:rPr>
      </w:pPr>
      <w:r>
        <w:rPr>
          <w:rFonts w:ascii="Arial" w:cs="Arial" w:eastAsia="Arial" w:hAnsi="Arial"/>
          <w:sz w:val="17"/>
          <w:szCs w:val="17"/>
          <w:color w:val="auto"/>
        </w:rPr>
        <w:t>11.2.2.1 Business Integrity: any form of corruption, extortion or corruption is strictly prohibited. Party B cannot violate the FCPA, any international anti-corruption convention, nor the anti-corruption laws and regulations of the country in which it operates. Suppliers cannot participate in any form of corruption, extortion or corruption, and suppliers cannot bribe or get unjust enrichment by other means.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0" w:name="page231"/>
    <w:bookmarkEnd w:id="230"/>
    <w:p>
      <w:pPr>
        <w:jc w:val="both"/>
        <w:ind w:left="660" w:hanging="647"/>
        <w:spacing w:after="0" w:line="259" w:lineRule="auto"/>
        <w:rPr>
          <w:sz w:val="20"/>
          <w:szCs w:val="20"/>
          <w:color w:val="auto"/>
        </w:rPr>
      </w:pPr>
      <w:r>
        <w:rPr>
          <w:rFonts w:ascii="Arial" w:cs="Arial" w:eastAsia="Arial" w:hAnsi="Arial"/>
          <w:sz w:val="18"/>
          <w:szCs w:val="18"/>
          <w:color w:val="auto"/>
        </w:rPr>
        <w:t>11.2.2.2 Gifts: avoid giving gifts to Party A’s employees. Even the gifts given out of kindness, in some situation, it may constitute a bribe or a conflict of interest. Do not offer anything of value to gain or maintain the giver's benefits or advantages. Do not provide anything suspected of affecting or disrupting an employee's judgment or responsibility. If you want to provide gifts, catering or hospitality to Party A’s employees, be sure to go through a more concise judgment and decision-making, and grasp the scale.</w:t>
      </w:r>
    </w:p>
    <w:p>
      <w:pPr>
        <w:spacing w:after="0" w:line="187" w:lineRule="exact"/>
        <w:rPr>
          <w:sz w:val="20"/>
          <w:szCs w:val="20"/>
          <w:color w:val="auto"/>
        </w:rPr>
      </w:pPr>
    </w:p>
    <w:p>
      <w:pPr>
        <w:jc w:val="both"/>
        <w:ind w:left="660" w:hanging="647"/>
        <w:spacing w:after="0" w:line="259" w:lineRule="auto"/>
        <w:rPr>
          <w:sz w:val="20"/>
          <w:szCs w:val="20"/>
          <w:color w:val="auto"/>
        </w:rPr>
      </w:pPr>
      <w:r>
        <w:rPr>
          <w:rFonts w:ascii="Arial" w:cs="Arial" w:eastAsia="Arial" w:hAnsi="Arial"/>
          <w:sz w:val="18"/>
          <w:szCs w:val="18"/>
          <w:color w:val="auto"/>
        </w:rPr>
        <w:t>11.2.2.3 Conflicts of Interest: avoid surface or actual misconduct and / or conflicts of interest. Party B shall not directly deal with Party A’s employees who have a significant economic interest in the supplier with their spouses, domestic partners or other family members or relatives. It is equally forbidden to deal directly with spouses, domestic partners or other family members and relatives employed by Party A in negotiating agreements or fulfilling their obligations.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Relationship Between the Two Parties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11.3.1</w:t>
        <w:tab/>
        <w:t>No terms in this contract shall be construed as creating a joint venture, partnership, agency or any other relationship other than the purpose of this contract between Party A and Party B.</w:t>
      </w:r>
    </w:p>
    <w:p>
      <w:pPr>
        <w:spacing w:after="0" w:line="170"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There is no labor contract or labor dispatch relationship between the project personnel and Party A, and the salary, social insurance and housing accumulation fund of the project personnel are paid by Party B, and the occupational injury and other related responsibilities are borne by Party B.</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Transfer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party may assign any of its rights and / or obligations under this contract without the prior permission in written from the other party.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color w:val="auto"/>
        </w:rPr>
        <w:t>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 terms of this contract is found to be invalid or unenforceable, the other terms and conditions remain in effect.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Non-abstaining</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11.6.1</w:t>
      </w:r>
      <w:r>
        <w:rPr>
          <w:sz w:val="20"/>
          <w:szCs w:val="20"/>
          <w:color w:val="auto"/>
        </w:rPr>
        <w:tab/>
      </w:r>
      <w:r>
        <w:rPr>
          <w:rFonts w:ascii="Arial" w:cs="Arial" w:eastAsia="Arial" w:hAnsi="Arial"/>
          <w:sz w:val="16"/>
          <w:szCs w:val="16"/>
          <w:color w:val="auto"/>
        </w:rPr>
        <w:t>Any failure or delay of exercising of any rights under this contract shall not be construed as abstaining.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1" w:name="page232"/>
    <w:bookmarkEnd w:id="231"/>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11.6.2</w:t>
        <w:tab/>
        <w:t>The quitclaim from any party under this contract should be expressly provided in written and is limited to the extent set out in such written documents.</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11.6.3</w:t>
        <w:tab/>
        <w:t>Any party abandons its right of recourse against the other party for breach of the contract shall not be construed as a waiver of his right of recourse in relation to the other party's continued breach of such obligations nor shall it be construed as a waiver of his claim of breach of this recourse rights of other obligations under the contract.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Completeness and Priority</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11.7.1</w:t>
        <w:tab/>
        <w:t>This contract reflects and constitutes the entire agreement between the parties in respect of the subject matter, replacing all prior written and oral notices, intentions, notices, undertakings and agreements.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11.7.2</w:t>
      </w:r>
      <w:r>
        <w:rPr>
          <w:sz w:val="20"/>
          <w:szCs w:val="20"/>
          <w:color w:val="auto"/>
        </w:rPr>
        <w:tab/>
      </w:r>
      <w:r>
        <w:rPr>
          <w:rFonts w:ascii="Arial" w:cs="Arial" w:eastAsia="Arial" w:hAnsi="Arial"/>
          <w:sz w:val="16"/>
          <w:szCs w:val="16"/>
          <w:color w:val="auto"/>
        </w:rPr>
        <w:t>The title under this contract is only for convenience and does not affect the meaning or interpretation of any part of this contract.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11.7.3</w:t>
      </w:r>
      <w:r>
        <w:rPr>
          <w:sz w:val="20"/>
          <w:szCs w:val="20"/>
          <w:color w:val="auto"/>
        </w:rPr>
        <w:tab/>
      </w:r>
      <w:r>
        <w:rPr>
          <w:rFonts w:ascii="Arial" w:cs="Arial" w:eastAsia="Arial" w:hAnsi="Arial"/>
          <w:sz w:val="16"/>
          <w:szCs w:val="16"/>
          <w:color w:val="auto"/>
        </w:rPr>
        <w:t>The annex to this contract includes:</w:t>
      </w:r>
    </w:p>
    <w:p>
      <w:pPr>
        <w:spacing w:after="0" w:line="225" w:lineRule="exact"/>
        <w:rPr>
          <w:sz w:val="20"/>
          <w:szCs w:val="20"/>
          <w:color w:val="auto"/>
        </w:rPr>
      </w:pPr>
    </w:p>
    <w:p>
      <w:pPr>
        <w:ind w:left="1160" w:hanging="504"/>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Work Instructions (template)</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After this contract enters into force, both parties may, if necessary, sign separate attachments which are an integral part of this contract and are binding on both parties.</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11.7.4</w:t>
        <w:tab/>
        <w:t>If the above attachments or other attachments signed by both parties are not in accordance with the terms of this contract, the terms of the attachments will prevail under the premise of the same purpose of this contract.</w:t>
      </w:r>
    </w:p>
    <w:p>
      <w:pPr>
        <w:spacing w:after="0" w:line="170" w:lineRule="exact"/>
        <w:rPr>
          <w:sz w:val="20"/>
          <w:szCs w:val="20"/>
          <w:color w:val="auto"/>
        </w:rPr>
      </w:pPr>
    </w:p>
    <w:p>
      <w:pPr>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11.7.5</w:t>
      </w:r>
      <w:r>
        <w:rPr>
          <w:sz w:val="20"/>
          <w:szCs w:val="20"/>
          <w:color w:val="auto"/>
        </w:rPr>
        <w:tab/>
      </w:r>
      <w:r>
        <w:rPr>
          <w:rFonts w:ascii="Arial" w:cs="Arial" w:eastAsia="Arial" w:hAnsi="Arial"/>
          <w:sz w:val="16"/>
          <w:szCs w:val="16"/>
          <w:color w:val="auto"/>
        </w:rPr>
        <w:t>If there are any unfinished matters or the contract needs to be amended, the two parties shall negotiate and sign the supplemental agreement, which shall be signed by the legal representatives of both parties or their authorized representatives and sealed the company seal or contract seal.</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Publicity</w:t>
      </w:r>
    </w:p>
    <w:p>
      <w:pPr>
        <w:spacing w:after="0" w:line="225"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Party B shall not publish any commercial purpose documents, such as announcements, statements, advertisements and other commercial advertisements related to this contract, or use Party A's name, trade name, trademark, etc. for commercial purposes without Party A's prior written consent.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2" w:name="page233"/>
    <w:bookmarkEnd w:id="232"/>
    <w:p>
      <w:pPr>
        <w:spacing w:after="0"/>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Notice</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11.9.1</w:t>
        <w:tab/>
        <w:t>Unless otherwise agreed in this contract or the work instructions, notices relating to this contract shall be communicated in writing (or in the absence of agreement to the contrary, including by electronic mail, fax) to the other person named in the Statement of Work. If mailing, China Post Speedpost or registered mail should be used.</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11.9.2</w:t>
        <w:tab/>
        <w:t>If the contact information changes, the changing party shall notify the other party within 5 days after the change, otherwise the losses incurred shall be borne by the responsible party.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Law Application and Dispute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11.10.1  The contract applies to the laws of the People's Republic of China, and the legal conflicts cannot be considered.</w:t>
      </w:r>
    </w:p>
    <w:p>
      <w:pPr>
        <w:spacing w:after="0" w:line="225" w:lineRule="exact"/>
        <w:rPr>
          <w:sz w:val="20"/>
          <w:szCs w:val="20"/>
          <w:color w:val="auto"/>
        </w:rPr>
      </w:pPr>
    </w:p>
    <w:p>
      <w:pPr>
        <w:jc w:val="both"/>
        <w:ind w:left="660" w:hanging="647"/>
        <w:spacing w:after="0" w:line="264" w:lineRule="auto"/>
        <w:rPr>
          <w:sz w:val="20"/>
          <w:szCs w:val="20"/>
          <w:color w:val="auto"/>
        </w:rPr>
      </w:pPr>
      <w:r>
        <w:rPr>
          <w:rFonts w:ascii="Arial" w:cs="Arial" w:eastAsia="Arial" w:hAnsi="Arial"/>
          <w:sz w:val="18"/>
          <w:szCs w:val="18"/>
          <w:color w:val="auto"/>
        </w:rPr>
        <w:t>11.10.2 The disputes related to this contract shall be settled through friendly negotiation between both parties at first. If the dispute cannot be settled within 30 days after one party issues the negotiation letter, any party can bring a lawsuit to the people's court in Party A’s registration place. Unless otherwise decided by the court, the costs of the litigation should be borne by the losing party.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Text and Validity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 in quadruplicate, each party has two copies. All of them have the same effect.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text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Annex I: Work Instructions (template)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Work Instructions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Client (Party A): ChinaLink Professional Services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 (Party B): Shanghai Zhouyi Information Technology Co., Ltd.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work instructions was signed on May 1, 2017 on the basis of Framework Contract of Subcontracting Technical Service (“the contract”) signed by Party A and Party B on May 1, 2017 for agreeing on the specific matters of service.</w:t>
      </w:r>
    </w:p>
    <w:p>
      <w:pPr>
        <w:spacing w:after="0" w:line="170"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Name of the Project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860" w:firstLine="8"/>
        <w:spacing w:after="0" w:line="501" w:lineRule="auto"/>
        <w:tabs>
          <w:tab w:leader="none" w:pos="64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Term of the Service From May 5, 2017 to May 6, 2017. (Pay by day)</w:t>
      </w:r>
    </w:p>
    <w:p>
      <w:pPr>
        <w:ind w:left="660" w:hanging="652"/>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Location of the Service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Content of the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Assisting clients with the development of new system and handling issues of existing system.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34" w:name="page235"/>
    <w:bookmarkEnd w:id="234"/>
    <w:p>
      <w:pPr>
        <w:ind w:left="660" w:hanging="652"/>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Type, Level and Qualification Requirements of project personnel</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320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color w:val="auto"/>
              </w:rPr>
              <w:t>Personnel Type</w:t>
            </w:r>
          </w:p>
        </w:tc>
        <w:tc>
          <w:tcPr>
            <w:tcW w:w="262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Personnel Level</w:t>
            </w:r>
          </w:p>
        </w:tc>
        <w:tc>
          <w:tcPr>
            <w:tcW w:w="4880" w:type="dxa"/>
            <w:vAlign w:val="bottom"/>
            <w:tcBorders>
              <w:top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Personnel Qualification Requirements</w:t>
            </w:r>
          </w:p>
        </w:tc>
      </w:tr>
      <w:tr>
        <w:trPr>
          <w:trHeight w:val="195"/>
        </w:trPr>
        <w:tc>
          <w:tcPr>
            <w:tcW w:w="720" w:type="dxa"/>
            <w:vAlign w:val="bottom"/>
            <w:tcBorders>
              <w:left w:val="single" w:sz="8" w:color="auto"/>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1</w:t>
            </w:r>
          </w:p>
        </w:tc>
        <w:tc>
          <w:tcPr>
            <w:tcW w:w="320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ECShop e-commerce platform</w:t>
            </w:r>
          </w:p>
        </w:tc>
        <w:tc>
          <w:tcPr>
            <w:tcW w:w="262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senior consultant</w:t>
            </w:r>
          </w:p>
        </w:tc>
        <w:tc>
          <w:tcPr>
            <w:tcW w:w="488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Familiar with the development of ECShop platform.</w:t>
            </w:r>
          </w:p>
        </w:tc>
      </w:tr>
      <w:tr>
        <w:trPr>
          <w:trHeight w:val="230"/>
        </w:trPr>
        <w:tc>
          <w:tcPr>
            <w:tcW w:w="7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32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development</w:t>
            </w:r>
          </w:p>
        </w:tc>
        <w:tc>
          <w:tcPr>
            <w:tcW w:w="2620" w:type="dxa"/>
            <w:vAlign w:val="bottom"/>
            <w:tcBorders>
              <w:bottom w:val="single" w:sz="8" w:color="auto"/>
              <w:right w:val="single" w:sz="8" w:color="auto"/>
            </w:tcBorders>
            <w:shd w:val="clear" w:color="auto" w:fill="CCEEFF"/>
          </w:tcPr>
          <w:p>
            <w:pPr>
              <w:spacing w:after="0"/>
              <w:rPr>
                <w:sz w:val="20"/>
                <w:szCs w:val="20"/>
                <w:color w:val="auto"/>
              </w:rPr>
            </w:pPr>
          </w:p>
        </w:tc>
        <w:tc>
          <w:tcPr>
            <w:tcW w:w="4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20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r>
      <w:tr>
        <w:trPr>
          <w:trHeight w:val="210"/>
        </w:trPr>
        <w:tc>
          <w:tcPr>
            <w:tcW w:w="7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200" w:type="dxa"/>
            <w:vAlign w:val="bottom"/>
            <w:tcBorders>
              <w:bottom w:val="single" w:sz="8" w:color="auto"/>
              <w:right w:val="single" w:sz="8" w:color="auto"/>
            </w:tcBorders>
            <w:shd w:val="clear" w:color="auto" w:fill="CCEEFF"/>
          </w:tcPr>
          <w:p>
            <w:pPr>
              <w:spacing w:after="0"/>
              <w:rPr>
                <w:sz w:val="18"/>
                <w:szCs w:val="18"/>
                <w:color w:val="auto"/>
              </w:rPr>
            </w:pPr>
          </w:p>
        </w:tc>
        <w:tc>
          <w:tcPr>
            <w:tcW w:w="2620" w:type="dxa"/>
            <w:vAlign w:val="bottom"/>
            <w:tcBorders>
              <w:bottom w:val="single" w:sz="8" w:color="auto"/>
              <w:right w:val="single" w:sz="8" w:color="auto"/>
            </w:tcBorders>
            <w:shd w:val="clear" w:color="auto" w:fill="CCEEFF"/>
          </w:tcPr>
          <w:p>
            <w:pPr>
              <w:spacing w:after="0"/>
              <w:rPr>
                <w:sz w:val="18"/>
                <w:szCs w:val="18"/>
                <w:color w:val="auto"/>
              </w:rPr>
            </w:pPr>
          </w:p>
        </w:tc>
        <w:tc>
          <w:tcPr>
            <w:tcW w:w="48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320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18"/>
                <w:szCs w:val="18"/>
                <w:color w:val="auto"/>
              </w:rPr>
            </w:pPr>
          </w:p>
        </w:tc>
      </w:tr>
      <w:tr>
        <w:trPr>
          <w:trHeight w:val="210"/>
        </w:trPr>
        <w:tc>
          <w:tcPr>
            <w:tcW w:w="7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200" w:type="dxa"/>
            <w:vAlign w:val="bottom"/>
            <w:tcBorders>
              <w:bottom w:val="single" w:sz="8" w:color="auto"/>
              <w:right w:val="single" w:sz="8" w:color="auto"/>
            </w:tcBorders>
            <w:shd w:val="clear" w:color="auto" w:fill="CCEEFF"/>
          </w:tcPr>
          <w:p>
            <w:pPr>
              <w:spacing w:after="0"/>
              <w:rPr>
                <w:sz w:val="18"/>
                <w:szCs w:val="18"/>
                <w:color w:val="auto"/>
              </w:rPr>
            </w:pPr>
          </w:p>
        </w:tc>
        <w:tc>
          <w:tcPr>
            <w:tcW w:w="2620" w:type="dxa"/>
            <w:vAlign w:val="bottom"/>
            <w:tcBorders>
              <w:bottom w:val="single" w:sz="8" w:color="auto"/>
              <w:right w:val="single" w:sz="8" w:color="auto"/>
            </w:tcBorders>
            <w:shd w:val="clear" w:color="auto" w:fill="CCEEFF"/>
          </w:tcPr>
          <w:p>
            <w:pPr>
              <w:spacing w:after="0"/>
              <w:rPr>
                <w:sz w:val="18"/>
                <w:szCs w:val="18"/>
                <w:color w:val="auto"/>
              </w:rPr>
            </w:pPr>
          </w:p>
        </w:tc>
        <w:tc>
          <w:tcPr>
            <w:tcW w:w="488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hanging="652"/>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Service Standards / Assessment Standards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Technical Information and Collaboration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Party A shall provide Party B the following technical information as a basic condition for Party B to complete the services under this work specifications: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Technical Information</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Time Limits of providing</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Way of Providing</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Way of Processing after the termination</w:t>
            </w:r>
          </w:p>
        </w:tc>
      </w:tr>
      <w:tr>
        <w:trPr>
          <w:trHeight w:val="210"/>
        </w:trPr>
        <w:tc>
          <w:tcPr>
            <w:tcW w:w="7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Source</w:t>
            </w:r>
          </w:p>
        </w:tc>
        <w:tc>
          <w:tcPr>
            <w:tcW w:w="2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 day</w:t>
            </w:r>
          </w:p>
        </w:tc>
        <w:tc>
          <w:tcPr>
            <w:tcW w:w="2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Debug, Bug list</w:t>
            </w:r>
          </w:p>
        </w:tc>
        <w:tc>
          <w:tcPr>
            <w:tcW w:w="3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Deliver the revised original code</w:t>
            </w:r>
          </w:p>
        </w:tc>
      </w:tr>
      <w:tr>
        <w:trPr>
          <w:trHeight w:val="210"/>
        </w:trPr>
        <w:tc>
          <w:tcPr>
            <w:tcW w:w="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04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Service Costs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service costs standard of project personnel under this work instructions is as follows: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260" w:type="dxa"/>
            <w:vAlign w:val="bottom"/>
            <w:tcBorders>
              <w:top w:val="single" w:sz="8" w:color="auto"/>
              <w:left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Standard rate with tax</w:t>
            </w:r>
          </w:p>
        </w:tc>
        <w:tc>
          <w:tcPr>
            <w:tcW w:w="1800" w:type="dxa"/>
            <w:vAlign w:val="bottom"/>
            <w:tcBorders>
              <w:top w:val="single" w:sz="8" w:color="auto"/>
              <w:right w:val="single" w:sz="8" w:color="auto"/>
            </w:tcBorders>
          </w:tcPr>
          <w:p>
            <w:pPr>
              <w:spacing w:after="0"/>
              <w:rPr>
                <w:sz w:val="18"/>
                <w:szCs w:val="18"/>
                <w:color w:val="auto"/>
              </w:rPr>
            </w:pPr>
          </w:p>
        </w:tc>
      </w:tr>
      <w:tr>
        <w:trPr>
          <w:trHeight w:val="23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Personnel Type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Personnel Level</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(RMByuan/person/day)</w:t>
            </w:r>
          </w:p>
        </w:tc>
        <w:tc>
          <w:tcPr>
            <w:tcW w:w="180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remarks</w:t>
            </w:r>
          </w:p>
        </w:tc>
      </w:tr>
      <w:tr>
        <w:trPr>
          <w:trHeight w:val="195"/>
        </w:trPr>
        <w:tc>
          <w:tcPr>
            <w:tcW w:w="2260" w:type="dxa"/>
            <w:vAlign w:val="bottom"/>
            <w:tcBorders>
              <w:left w:val="single" w:sz="8" w:color="auto"/>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w:t>
            </w:r>
          </w:p>
        </w:tc>
        <w:tc>
          <w:tcPr>
            <w:tcW w:w="180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Lu Zhongyi</w:t>
            </w:r>
          </w:p>
        </w:tc>
        <w:tc>
          <w:tcPr>
            <w:tcW w:w="18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e-commerce platform</w:t>
            </w:r>
          </w:p>
        </w:tc>
        <w:tc>
          <w:tcPr>
            <w:tcW w:w="18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senior consultant</w:t>
            </w:r>
          </w:p>
        </w:tc>
        <w:tc>
          <w:tcPr>
            <w:tcW w:w="192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RMB 3,000</w:t>
            </w:r>
          </w:p>
        </w:tc>
        <w:tc>
          <w:tcPr>
            <w:tcW w:w="1800" w:type="dxa"/>
            <w:vAlign w:val="bottom"/>
            <w:tcBorders>
              <w:right w:val="single" w:sz="8" w:color="auto"/>
            </w:tcBorders>
            <w:shd w:val="clear" w:color="auto" w:fill="CCEEFF"/>
          </w:tcPr>
          <w:p>
            <w:pPr>
              <w:spacing w:after="0"/>
              <w:rPr>
                <w:sz w:val="16"/>
                <w:szCs w:val="16"/>
                <w:color w:val="auto"/>
              </w:rPr>
            </w:pPr>
          </w:p>
        </w:tc>
      </w:tr>
      <w:tr>
        <w:trPr>
          <w:trHeight w:val="230"/>
        </w:trPr>
        <w:tc>
          <w:tcPr>
            <w:tcW w:w="22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technology</w:t>
            </w:r>
          </w:p>
        </w:tc>
        <w:tc>
          <w:tcPr>
            <w:tcW w:w="1820" w:type="dxa"/>
            <w:vAlign w:val="bottom"/>
            <w:tcBorders>
              <w:bottom w:val="single" w:sz="8" w:color="auto"/>
              <w:right w:val="single" w:sz="8" w:color="auto"/>
            </w:tcBorders>
            <w:shd w:val="clear" w:color="auto" w:fill="CCEEFF"/>
          </w:tcPr>
          <w:p>
            <w:pPr>
              <w:spacing w:after="0"/>
              <w:rPr>
                <w:sz w:val="20"/>
                <w:szCs w:val="20"/>
                <w:color w:val="auto"/>
              </w:rPr>
            </w:pPr>
          </w:p>
        </w:tc>
        <w:tc>
          <w:tcPr>
            <w:tcW w:w="1920" w:type="dxa"/>
            <w:vAlign w:val="bottom"/>
            <w:tcBorders>
              <w:bottom w:val="single" w:sz="8" w:color="auto"/>
              <w:right w:val="single" w:sz="8" w:color="auto"/>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2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8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r>
      <w:tr>
        <w:trPr>
          <w:trHeight w:val="210"/>
        </w:trPr>
        <w:tc>
          <w:tcPr>
            <w:tcW w:w="22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1920" w:type="dxa"/>
            <w:vAlign w:val="bottom"/>
            <w:tcBorders>
              <w:bottom w:val="single" w:sz="8" w:color="auto"/>
              <w:right w:val="single" w:sz="8" w:color="auto"/>
            </w:tcBorders>
            <w:shd w:val="clear" w:color="auto" w:fill="CCEEFF"/>
          </w:tcPr>
          <w:p>
            <w:pPr>
              <w:spacing w:after="0"/>
              <w:rPr>
                <w:sz w:val="18"/>
                <w:szCs w:val="18"/>
                <w:color w:val="auto"/>
              </w:rPr>
            </w:pPr>
          </w:p>
        </w:tc>
        <w:tc>
          <w:tcPr>
            <w:tcW w:w="18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Note:</w:t>
            </w: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Party A only pays service fee to Party B according to the standard rates of personnel listed in the above table, and do not pay to Party B for any fees of travel, accommodation, overtime and other extras.</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replacement period of replacement personnel is 7 days. During the handover period, Party A only pays service fees to Party B for the service of replacement personnel.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5" w:name="page236"/>
    <w:bookmarkEnd w:id="235"/>
    <w:p>
      <w:pPr>
        <w:ind w:left="660" w:hanging="652"/>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Project Management and Contact Information</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0" w:type="dxa"/>
            <w:vAlign w:val="bottom"/>
            <w:tcBorders>
              <w:top w:val="single" w:sz="8" w:color="auto"/>
              <w:lef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2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Party A</w:t>
            </w:r>
          </w:p>
        </w:tc>
        <w:tc>
          <w:tcPr>
            <w:tcW w:w="182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Party B</w:t>
            </w: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Project Leader</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Financial Contact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Project Leader</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Financial Contact</w:t>
            </w: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1"/>
              </w:rPr>
              <w:t>Name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Chen Weigen</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Lin Mingyi</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Lu Zhongyi</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Qiu Jia</w:t>
            </w:r>
          </w:p>
        </w:tc>
      </w:tr>
      <w:tr>
        <w:trPr>
          <w:trHeight w:val="195"/>
        </w:trPr>
        <w:tc>
          <w:tcPr>
            <w:tcW w:w="36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tcPr>
          <w:p>
            <w:pPr>
              <w:jc w:val="center"/>
              <w:ind w:right="270"/>
              <w:spacing w:after="0" w:line="195" w:lineRule="exact"/>
              <w:rPr>
                <w:sz w:val="20"/>
                <w:szCs w:val="20"/>
                <w:color w:val="auto"/>
              </w:rPr>
            </w:pPr>
            <w:r>
              <w:rPr>
                <w:rFonts w:ascii="Arial" w:cs="Arial" w:eastAsia="Arial" w:hAnsi="Arial"/>
                <w:sz w:val="18"/>
                <w:szCs w:val="18"/>
                <w:color w:val="auto"/>
                <w:w w:val="90"/>
              </w:rPr>
              <w:t>Address</w:t>
            </w:r>
          </w:p>
        </w:tc>
        <w:tc>
          <w:tcPr>
            <w:tcW w:w="2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2nd floor, building 18, Guo</w:t>
            </w:r>
          </w:p>
        </w:tc>
        <w:tc>
          <w:tcPr>
            <w:tcW w:w="3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2nd floor, building 18, Guo Shoujing</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Room 1212, West</w:t>
            </w:r>
          </w:p>
        </w:tc>
        <w:tc>
          <w:tcPr>
            <w:tcW w:w="25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Room 1212, West Zhongshan</w:t>
            </w:r>
          </w:p>
        </w:tc>
      </w:tr>
      <w:tr>
        <w:trPr>
          <w:trHeight w:val="216"/>
        </w:trPr>
        <w:tc>
          <w:tcPr>
            <w:tcW w:w="36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Shoujing Road No. 498,</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Road No. 498, Pudong New District,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Zhongshan Road No.</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Road No. 933, Changning</w:t>
            </w:r>
          </w:p>
        </w:tc>
      </w:tr>
      <w:tr>
        <w:trPr>
          <w:trHeight w:val="216"/>
        </w:trPr>
        <w:tc>
          <w:tcPr>
            <w:tcW w:w="36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Pudong New District, Shanghai</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Shanghai</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933, Changning</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District, Shanghai</w:t>
            </w:r>
          </w:p>
        </w:tc>
      </w:tr>
      <w:tr>
        <w:trPr>
          <w:trHeight w:val="230"/>
        </w:trPr>
        <w:tc>
          <w:tcPr>
            <w:tcW w:w="36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District, Shanghai</w:t>
            </w:r>
          </w:p>
        </w:tc>
        <w:tc>
          <w:tcPr>
            <w:tcW w:w="2500" w:type="dxa"/>
            <w:vAlign w:val="bottom"/>
            <w:tcBorders>
              <w:bottom w:val="single" w:sz="8" w:color="auto"/>
              <w:right w:val="single" w:sz="8" w:color="auto"/>
            </w:tcBorders>
          </w:tcPr>
          <w:p>
            <w:pPr>
              <w:spacing w:after="0"/>
              <w:rPr>
                <w:sz w:val="20"/>
                <w:szCs w:val="20"/>
                <w:color w:val="auto"/>
              </w:rPr>
            </w:pPr>
          </w:p>
        </w:tc>
      </w:tr>
      <w:tr>
        <w:trPr>
          <w:trHeight w:val="210"/>
        </w:trPr>
        <w:tc>
          <w:tcPr>
            <w:tcW w:w="360" w:type="dxa"/>
            <w:vAlign w:val="bottom"/>
            <w:tcBorders>
              <w:left w:val="single" w:sz="8" w:color="auto"/>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center"/>
              <w:ind w:right="270"/>
              <w:spacing w:after="0"/>
              <w:rPr>
                <w:sz w:val="20"/>
                <w:szCs w:val="20"/>
                <w:color w:val="auto"/>
              </w:rPr>
            </w:pPr>
            <w:r>
              <w:rPr>
                <w:rFonts w:ascii="Arial" w:cs="Arial" w:eastAsia="Arial" w:hAnsi="Arial"/>
                <w:sz w:val="18"/>
                <w:szCs w:val="18"/>
                <w:color w:val="auto"/>
                <w:w w:val="85"/>
              </w:rPr>
              <w:t>Postcode</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201203</w:t>
            </w:r>
          </w:p>
        </w:tc>
        <w:tc>
          <w:tcPr>
            <w:tcW w:w="3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201203</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200051</w:t>
            </w:r>
          </w:p>
        </w:tc>
        <w:tc>
          <w:tcPr>
            <w:tcW w:w="2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200051</w:t>
            </w: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ind w:right="270"/>
              <w:spacing w:after="0"/>
              <w:rPr>
                <w:sz w:val="20"/>
                <w:szCs w:val="20"/>
                <w:color w:val="auto"/>
              </w:rPr>
            </w:pPr>
            <w:r>
              <w:rPr>
                <w:rFonts w:ascii="Arial" w:cs="Arial" w:eastAsia="Arial" w:hAnsi="Arial"/>
                <w:sz w:val="18"/>
                <w:szCs w:val="18"/>
                <w:color w:val="auto"/>
                <w:w w:val="93"/>
              </w:rPr>
              <w:t>Tel.</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21-31268010</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21-31268010</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21-51113716</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21-51113716</w:t>
            </w:r>
          </w:p>
        </w:tc>
      </w:tr>
      <w:tr>
        <w:trPr>
          <w:trHeight w:val="210"/>
        </w:trPr>
        <w:tc>
          <w:tcPr>
            <w:tcW w:w="360" w:type="dxa"/>
            <w:vAlign w:val="bottom"/>
            <w:tcBorders>
              <w:left w:val="single" w:sz="8" w:color="auto"/>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center"/>
              <w:ind w:right="270"/>
              <w:spacing w:after="0"/>
              <w:rPr>
                <w:sz w:val="20"/>
                <w:szCs w:val="20"/>
                <w:color w:val="auto"/>
              </w:rPr>
            </w:pPr>
            <w:r>
              <w:rPr>
                <w:rFonts w:ascii="Arial" w:cs="Arial" w:eastAsia="Arial" w:hAnsi="Arial"/>
                <w:sz w:val="18"/>
                <w:szCs w:val="18"/>
                <w:color w:val="auto"/>
                <w:w w:val="93"/>
              </w:rPr>
              <w:t>Fax</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21-61682201</w:t>
            </w:r>
          </w:p>
        </w:tc>
        <w:tc>
          <w:tcPr>
            <w:tcW w:w="3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21-61682201</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21-51113717</w:t>
            </w:r>
          </w:p>
        </w:tc>
        <w:tc>
          <w:tcPr>
            <w:tcW w:w="2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21-51113717</w:t>
            </w:r>
          </w:p>
        </w:tc>
      </w:tr>
      <w:tr>
        <w:trPr>
          <w:trHeight w:val="426"/>
        </w:trPr>
        <w:tc>
          <w:tcPr>
            <w:tcW w:w="36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40" w:type="dxa"/>
            <w:vAlign w:val="bottom"/>
          </w:tcPr>
          <w:p>
            <w:pPr>
              <w:ind w:left="300"/>
              <w:spacing w:after="0"/>
              <w:rPr>
                <w:sz w:val="20"/>
                <w:szCs w:val="20"/>
                <w:color w:val="auto"/>
              </w:rPr>
            </w:pPr>
            <w:r>
              <w:rPr>
                <w:rFonts w:ascii="Arial" w:cs="Arial" w:eastAsia="Arial" w:hAnsi="Arial"/>
                <w:sz w:val="18"/>
                <w:szCs w:val="18"/>
                <w:color w:val="auto"/>
              </w:rPr>
              <w:t>Others</w:t>
            </w:r>
          </w:p>
        </w:tc>
        <w:tc>
          <w:tcPr>
            <w:tcW w:w="2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59"/>
        </w:trPr>
        <w:tc>
          <w:tcPr>
            <w:tcW w:w="36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40" w:type="dxa"/>
            <w:vAlign w:val="bottom"/>
          </w:tcPr>
          <w:p>
            <w:pPr>
              <w:ind w:left="300"/>
              <w:spacing w:after="0"/>
              <w:rPr>
                <w:sz w:val="20"/>
                <w:szCs w:val="20"/>
                <w:color w:val="auto"/>
              </w:rPr>
            </w:pPr>
            <w:r>
              <w:rPr>
                <w:rFonts w:ascii="Arial" w:cs="Arial" w:eastAsia="Arial" w:hAnsi="Arial"/>
                <w:sz w:val="18"/>
                <w:szCs w:val="18"/>
                <w:color w:val="auto"/>
              </w:rPr>
              <w:t>N/A</w:t>
            </w:r>
          </w:p>
        </w:tc>
        <w:tc>
          <w:tcPr>
            <w:tcW w:w="2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32"/>
        </w:trPr>
        <w:tc>
          <w:tcPr>
            <w:tcW w:w="36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3560" w:type="dxa"/>
            <w:vAlign w:val="bottom"/>
            <w:gridSpan w:val="2"/>
          </w:tcPr>
          <w:p>
            <w:pPr>
              <w:ind w:left="300"/>
              <w:spacing w:after="0"/>
              <w:rPr>
                <w:sz w:val="20"/>
                <w:szCs w:val="20"/>
                <w:color w:val="auto"/>
              </w:rPr>
            </w:pPr>
            <w:r>
              <w:rPr>
                <w:rFonts w:ascii="Arial" w:cs="Arial" w:eastAsia="Arial" w:hAnsi="Arial"/>
                <w:sz w:val="18"/>
                <w:szCs w:val="18"/>
                <w:color w:val="auto"/>
              </w:rPr>
              <w:t>Normal Terms</w:t>
            </w:r>
          </w:p>
        </w:tc>
        <w:tc>
          <w:tcPr>
            <w:tcW w:w="3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terms and conditions of the contract apply to this work instructions.</w:t>
      </w:r>
    </w:p>
    <w:p>
      <w:pPr>
        <w:spacing w:after="0" w:line="252"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This work instructions reflects and supersedes all prior written and oral notices, intentions, declarations, undertakings and agreements with respect to the entire agreement concluded between the parties under this work instructions.</w:t>
      </w:r>
    </w:p>
    <w:p>
      <w:pPr>
        <w:spacing w:after="0" w:line="19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This work instructions shall be effective on the date of signed by the legal representatives of both parties or their authorized representatives and sealed the company seal or contract seal.</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work instructions in quadruplicate, each party has two copies. All of them have the same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Both parties confirm and sign: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215640" cy="5746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2156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inclusion in this Registration Statement of CLPS Incorporation on Form F-1 of our report dated December 8, 2017, except for Notes 1, 2, 16 and 17 which are dated January 19, 2018, with respect to our audits of CLPS Incorporation and Subsidiaries as of June 30, 2017 and 2016, and the related consolidated statements of income and comprehensive income, changes in shareholders’ equity and cash flows for the years then ended. We also consent to the reference to our Firm under the heading "Experts" in the prospectus.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/s/Friedman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777875</wp:posOffset>
            </wp:positionV>
            <wp:extent cx="5360035" cy="514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360035" cy="51435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1)"/>
      <w:numFmt w:val="decimal"/>
      <w:start w:val="1"/>
    </w:lvl>
  </w:abstractNum>
  <w:abstractNum w:abstractNumId="1">
    <w:nsid w:val="3C5991AA"/>
    <w:multiLevelType w:val="hybridMultilevel"/>
    <w:lvl w:ilvl="0">
      <w:lvlJc w:val="left"/>
      <w:lvlText w:val="(%1)"/>
      <w:numFmt w:val="decimal"/>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
      <w:numFmt w:val="bullet"/>
      <w:start w:val="1"/>
    </w:lvl>
  </w:abstractNum>
  <w:abstractNum w:abstractNumId="6">
    <w:nsid w:val="6C80EC70"/>
    <w:multiLevelType w:val="hybridMultilevel"/>
    <w:lvl w:ilvl="0">
      <w:lvlJc w:val="left"/>
      <w:lvlText w:val="●"/>
      <w:numFmt w:val="bullet"/>
      <w:start w:val="1"/>
    </w:lvl>
  </w:abstractNum>
  <w:abstractNum w:abstractNumId="7">
    <w:nsid w:val="379E21B5"/>
    <w:multiLevelType w:val="hybridMultilevel"/>
    <w:lvl w:ilvl="0">
      <w:lvlJc w:val="left"/>
      <w:lvlText w:val="●"/>
      <w:numFmt w:val="bullet"/>
      <w:start w:val="1"/>
    </w:lvl>
  </w:abstractNum>
  <w:abstractNum w:abstractNumId="8">
    <w:nsid w:val="69E373"/>
    <w:multiLevelType w:val="hybridMultilevel"/>
    <w:lvl w:ilvl="0">
      <w:lvlJc w:val="left"/>
      <w:lvlText w:val="●"/>
      <w:numFmt w:val="bullet"/>
      <w:start w:val="1"/>
    </w:lvl>
    <w:lvl w:ilvl="1">
      <w:lvlJc w:val="left"/>
      <w:lvlText w:val="●"/>
      <w:numFmt w:val="bullet"/>
      <w:start w:val="1"/>
    </w:lvl>
  </w:abstractNum>
  <w:abstractNum w:abstractNumId="9">
    <w:nsid w:val="2C27173B"/>
    <w:multiLevelType w:val="hybridMultilevel"/>
    <w:lvl w:ilvl="0">
      <w:lvlJc w:val="left"/>
      <w:lvlText w:val="●"/>
      <w:numFmt w:val="bullet"/>
      <w:start w:val="1"/>
    </w:lvl>
  </w:abstractNum>
  <w:abstractNum w:abstractNumId="10">
    <w:nsid w:val="4C9B0904"/>
    <w:multiLevelType w:val="hybridMultilevel"/>
    <w:lvl w:ilvl="0">
      <w:lvlJc w:val="left"/>
      <w:lvlText w:val="●"/>
      <w:numFmt w:val="bullet"/>
      <w:start w:val="1"/>
    </w:lvl>
  </w:abstractNum>
  <w:abstractNum w:abstractNumId="11">
    <w:nsid w:val="6AA7B75C"/>
    <w:multiLevelType w:val="hybridMultilevel"/>
    <w:lvl w:ilvl="0">
      <w:lvlJc w:val="left"/>
      <w:lvlText w:val="●"/>
      <w:numFmt w:val="bullet"/>
      <w:start w:val="1"/>
    </w:lvl>
  </w:abstractNum>
  <w:abstractNum w:abstractNumId="12">
    <w:nsid w:val="1DF029D3"/>
    <w:multiLevelType w:val="hybridMultilevel"/>
    <w:lvl w:ilvl="0">
      <w:lvlJc w:val="left"/>
      <w:lvlText w:val="●"/>
      <w:numFmt w:val="bullet"/>
      <w:start w:val="1"/>
    </w:lvl>
  </w:abstractNum>
  <w:abstractNum w:abstractNumId="13">
    <w:nsid w:val="5675FF36"/>
    <w:multiLevelType w:val="hybridMultilevel"/>
    <w:lvl w:ilvl="0">
      <w:lvlJc w:val="left"/>
      <w:lvlText w:val="●"/>
      <w:numFmt w:val="bullet"/>
      <w:start w:val="1"/>
    </w:lvl>
  </w:abstractNum>
  <w:abstractNum w:abstractNumId="14">
    <w:nsid w:val="3DD15094"/>
    <w:multiLevelType w:val="hybridMultilevel"/>
    <w:lvl w:ilvl="0">
      <w:lvlJc w:val="left"/>
      <w:lvlText w:val="●"/>
      <w:numFmt w:val="bullet"/>
      <w:start w:val="1"/>
    </w:lvl>
  </w:abstractNum>
  <w:abstractNum w:abstractNumId="15">
    <w:nsid w:val="3DB012B3"/>
    <w:multiLevelType w:val="hybridMultilevel"/>
    <w:lvl w:ilvl="0">
      <w:lvlJc w:val="left"/>
      <w:lvlText w:val="●"/>
      <w:numFmt w:val="bullet"/>
      <w:start w:val="1"/>
    </w:lvl>
  </w:abstractNum>
  <w:abstractNum w:abstractNumId="16">
    <w:nsid w:val="2708C9AF"/>
    <w:multiLevelType w:val="hybridMultilevel"/>
    <w:lvl w:ilvl="0">
      <w:lvlJc w:val="left"/>
      <w:lvlText w:val="(%1)"/>
      <w:numFmt w:val="decimal"/>
      <w:start w:val="1"/>
    </w:lvl>
  </w:abstractNum>
  <w:abstractNum w:abstractNumId="17">
    <w:nsid w:val="5B25ACE2"/>
    <w:multiLevelType w:val="hybridMultilevel"/>
    <w:lvl w:ilvl="0">
      <w:lvlJc w:val="left"/>
      <w:lvlText w:val="●"/>
      <w:numFmt w:val="bullet"/>
      <w:start w:val="1"/>
    </w:lvl>
  </w:abstractNum>
  <w:abstractNum w:abstractNumId="18">
    <w:nsid w:val="175DFCF0"/>
    <w:multiLevelType w:val="hybridMultilevel"/>
    <w:lvl w:ilvl="0">
      <w:lvlJc w:val="left"/>
      <w:lvlText w:val="●"/>
      <w:numFmt w:val="bullet"/>
      <w:start w:val="1"/>
    </w:lvl>
  </w:abstractNum>
  <w:abstractNum w:abstractNumId="19">
    <w:nsid w:val="4F97E3E4"/>
    <w:multiLevelType w:val="hybridMultilevel"/>
    <w:lvl w:ilvl="0">
      <w:lvlJc w:val="left"/>
      <w:lvlText w:val="●"/>
      <w:numFmt w:val="bullet"/>
      <w:start w:val="1"/>
    </w:lvl>
  </w:abstractNum>
  <w:abstractNum w:abstractNumId="20">
    <w:nsid w:val="53B0A9E"/>
    <w:multiLevelType w:val="hybridMultilevel"/>
    <w:lvl w:ilvl="0">
      <w:lvlJc w:val="left"/>
      <w:lvlText w:val="*"/>
      <w:numFmt w:val="bullet"/>
      <w:start w:val="1"/>
    </w:lvl>
  </w:abstractNum>
  <w:abstractNum w:abstractNumId="21">
    <w:nsid w:val="34FD6B4F"/>
    <w:multiLevelType w:val="hybridMultilevel"/>
    <w:lvl w:ilvl="0">
      <w:lvlJc w:val="left"/>
      <w:lvlText w:val="●"/>
      <w:numFmt w:val="bullet"/>
      <w:start w:val="1"/>
    </w:lvl>
  </w:abstractNum>
  <w:abstractNum w:abstractNumId="22">
    <w:nsid w:val="5915FF32"/>
    <w:multiLevelType w:val="hybridMultilevel"/>
    <w:lvl w:ilvl="0">
      <w:lvlJc w:val="left"/>
      <w:lvlText w:val="●"/>
      <w:numFmt w:val="bullet"/>
      <w:start w:val="1"/>
    </w:lvl>
  </w:abstractNum>
  <w:abstractNum w:abstractNumId="23">
    <w:nsid w:val="56438D15"/>
    <w:multiLevelType w:val="hybridMultilevel"/>
    <w:lvl w:ilvl="0">
      <w:lvlJc w:val="left"/>
      <w:lvlText w:val="%1."/>
      <w:numFmt w:val="decimal"/>
      <w:start w:val="1"/>
    </w:lvl>
  </w:abstractNum>
  <w:abstractNum w:abstractNumId="24">
    <w:nsid w:val="519E3149"/>
    <w:multiLevelType w:val="hybridMultilevel"/>
    <w:lvl w:ilvl="0">
      <w:lvlJc w:val="left"/>
      <w:lvlText w:val="%1."/>
      <w:numFmt w:val="decimal"/>
      <w:start w:val="9"/>
    </w:lvl>
  </w:abstractNum>
  <w:abstractNum w:abstractNumId="25">
    <w:nsid w:val="2C6E4AFD"/>
    <w:multiLevelType w:val="hybridMultilevel"/>
    <w:lvl w:ilvl="0">
      <w:lvlJc w:val="left"/>
      <w:lvlText w:val="●"/>
      <w:numFmt w:val="bullet"/>
      <w:start w:val="1"/>
    </w:lvl>
  </w:abstractNum>
  <w:abstractNum w:abstractNumId="26">
    <w:nsid w:val="17A1B582"/>
    <w:multiLevelType w:val="hybridMultilevel"/>
    <w:lvl w:ilvl="0">
      <w:lvlJc w:val="left"/>
      <w:lvlText w:val="●"/>
      <w:numFmt w:val="bullet"/>
      <w:start w:val="1"/>
    </w:lvl>
  </w:abstractNum>
  <w:abstractNum w:abstractNumId="27">
    <w:nsid w:val="4DF72E4E"/>
    <w:multiLevelType w:val="hybridMultilevel"/>
    <w:lvl w:ilvl="0">
      <w:lvlJc w:val="left"/>
      <w:lvlText w:val="●"/>
      <w:numFmt w:val="bullet"/>
      <w:start w:val="1"/>
    </w:lvl>
  </w:abstractNum>
  <w:abstractNum w:abstractNumId="28">
    <w:nsid w:val="5046B5A9"/>
    <w:multiLevelType w:val="hybridMultilevel"/>
    <w:lvl w:ilvl="0">
      <w:lvlJc w:val="left"/>
      <w:lvlText w:val="●"/>
      <w:numFmt w:val="bullet"/>
      <w:start w:val="1"/>
    </w:lvl>
  </w:abstractNum>
  <w:abstractNum w:abstractNumId="29">
    <w:nsid w:val="5D888A08"/>
    <w:multiLevelType w:val="hybridMultilevel"/>
    <w:lvl w:ilvl="0">
      <w:lvlJc w:val="left"/>
      <w:lvlText w:val="●"/>
      <w:numFmt w:val="bullet"/>
      <w:start w:val="1"/>
    </w:lvl>
  </w:abstractNum>
  <w:abstractNum w:abstractNumId="30">
    <w:nsid w:val="2A082C70"/>
    <w:multiLevelType w:val="hybridMultilevel"/>
    <w:lvl w:ilvl="0">
      <w:lvlJc w:val="left"/>
      <w:lvlText w:val="●"/>
      <w:numFmt w:val="bullet"/>
      <w:start w:val="1"/>
    </w:lvl>
  </w:abstractNum>
  <w:abstractNum w:abstractNumId="31">
    <w:nsid w:val="5EC6AFD4"/>
    <w:multiLevelType w:val="hybridMultilevel"/>
    <w:lvl w:ilvl="0">
      <w:lvlJc w:val="left"/>
      <w:lvlText w:val="●"/>
      <w:numFmt w:val="bullet"/>
      <w:start w:val="1"/>
    </w:lvl>
  </w:abstractNum>
  <w:abstractNum w:abstractNumId="32">
    <w:nsid w:val="19E21BB2"/>
    <w:multiLevelType w:val="hybridMultilevel"/>
    <w:lvl w:ilvl="0">
      <w:lvlJc w:val="left"/>
      <w:lvlText w:val="●"/>
      <w:numFmt w:val="bullet"/>
      <w:start w:val="1"/>
    </w:lvl>
  </w:abstractNum>
  <w:abstractNum w:abstractNumId="33">
    <w:nsid w:val="75E0858A"/>
    <w:multiLevelType w:val="hybridMultilevel"/>
    <w:lvl w:ilvl="0">
      <w:lvlJc w:val="left"/>
      <w:lvlText w:val="*"/>
      <w:numFmt w:val="bullet"/>
      <w:start w:val="1"/>
    </w:lvl>
  </w:abstractNum>
  <w:abstractNum w:abstractNumId="34">
    <w:nsid w:val="57A61A29"/>
    <w:multiLevelType w:val="hybridMultilevel"/>
    <w:lvl w:ilvl="0">
      <w:lvlJc w:val="left"/>
      <w:lvlText w:val="(%1)"/>
      <w:numFmt w:val="decimal"/>
      <w:start w:val="1"/>
    </w:lvl>
  </w:abstractNum>
  <w:abstractNum w:abstractNumId="35">
    <w:nsid w:val="5399C654"/>
    <w:multiLevelType w:val="hybridMultilevel"/>
    <w:lvl w:ilvl="0">
      <w:lvlJc w:val="left"/>
      <w:lvlText w:val="&amp;"/>
      <w:numFmt w:val="bullet"/>
      <w:start w:val="1"/>
    </w:lvl>
  </w:abstractNum>
  <w:abstractNum w:abstractNumId="36">
    <w:nsid w:val="20EE1348"/>
    <w:multiLevelType w:val="hybridMultilevel"/>
    <w:lvl w:ilvl="0">
      <w:lvlJc w:val="left"/>
      <w:lvlText w:val="●"/>
      <w:numFmt w:val="bullet"/>
      <w:start w:val="1"/>
    </w:lvl>
  </w:abstractNum>
  <w:abstractNum w:abstractNumId="37">
    <w:nsid w:val="4427069A"/>
    <w:multiLevelType w:val="hybridMultilevel"/>
    <w:lvl w:ilvl="0">
      <w:lvlJc w:val="left"/>
      <w:lvlText w:val="●"/>
      <w:numFmt w:val="bullet"/>
      <w:start w:val="1"/>
    </w:lvl>
  </w:abstractNum>
  <w:abstractNum w:abstractNumId="38">
    <w:nsid w:val="B37E80A"/>
    <w:multiLevelType w:val="hybridMultilevel"/>
    <w:lvl w:ilvl="0">
      <w:lvlJc w:val="left"/>
      <w:lvlText w:val="●"/>
      <w:numFmt w:val="bullet"/>
      <w:start w:val="1"/>
    </w:lvl>
  </w:abstractNum>
  <w:abstractNum w:abstractNumId="39">
    <w:nsid w:val="2157F6BC"/>
    <w:multiLevelType w:val="hybridMultilevel"/>
    <w:lvl w:ilvl="0">
      <w:lvlJc w:val="left"/>
      <w:lvlText w:val="●"/>
      <w:numFmt w:val="bullet"/>
      <w:start w:val="1"/>
    </w:lvl>
  </w:abstractNum>
  <w:abstractNum w:abstractNumId="40">
    <w:nsid w:val="704E1DD5"/>
    <w:multiLevelType w:val="hybridMultilevel"/>
    <w:lvl w:ilvl="0">
      <w:lvlJc w:val="left"/>
      <w:lvlText w:val="●"/>
      <w:numFmt w:val="bullet"/>
      <w:start w:val="1"/>
    </w:lvl>
  </w:abstractNum>
  <w:abstractNum w:abstractNumId="41">
    <w:nsid w:val="57D2F10E"/>
    <w:multiLevelType w:val="hybridMultilevel"/>
    <w:lvl w:ilvl="0">
      <w:lvlJc w:val="left"/>
      <w:lvlText w:val="(%1)"/>
      <w:numFmt w:val="decimal"/>
      <w:start w:val="1"/>
    </w:lvl>
  </w:abstractNum>
  <w:abstractNum w:abstractNumId="42">
    <w:nsid w:val="BFFAE18"/>
    <w:multiLevelType w:val="hybridMultilevel"/>
    <w:lvl w:ilvl="0">
      <w:lvlJc w:val="left"/>
      <w:lvlText w:val="●"/>
      <w:numFmt w:val="bullet"/>
      <w:start w:val="1"/>
    </w:lvl>
  </w:abstractNum>
  <w:abstractNum w:abstractNumId="43">
    <w:nsid w:val="E3E47A8"/>
    <w:multiLevelType w:val="hybridMultilevel"/>
    <w:lvl w:ilvl="0">
      <w:lvlJc w:val="left"/>
      <w:lvlText w:val="*"/>
      <w:numFmt w:val="bullet"/>
      <w:start w:val="1"/>
    </w:lvl>
  </w:abstractNum>
  <w:abstractNum w:abstractNumId="44">
    <w:nsid w:val="2E48F044"/>
    <w:multiLevelType w:val="hybridMultilevel"/>
    <w:lvl w:ilvl="0">
      <w:lvlJc w:val="left"/>
      <w:lvlText w:val="(%1)"/>
      <w:numFmt w:val="decimal"/>
      <w:start w:val="1"/>
    </w:lvl>
  </w:abstractNum>
  <w:abstractNum w:abstractNumId="45">
    <w:nsid w:val="49D0FEAC"/>
    <w:multiLevelType w:val="hybridMultilevel"/>
    <w:lvl w:ilvl="0">
      <w:lvlJc w:val="left"/>
      <w:lvlText w:val="●"/>
      <w:numFmt w:val="bullet"/>
      <w:start w:val="1"/>
    </w:lvl>
  </w:abstractNum>
  <w:abstractNum w:abstractNumId="46">
    <w:nsid w:val="4BEE5A5B"/>
    <w:multiLevelType w:val="hybridMultilevel"/>
    <w:lvl w:ilvl="0">
      <w:lvlJc w:val="left"/>
      <w:lvlText w:val="●"/>
      <w:numFmt w:val="bullet"/>
      <w:start w:val="1"/>
    </w:lvl>
  </w:abstractNum>
  <w:abstractNum w:abstractNumId="47">
    <w:nsid w:val="5551B9F3"/>
    <w:multiLevelType w:val="hybridMultilevel"/>
    <w:lvl w:ilvl="0">
      <w:lvlJc w:val="left"/>
      <w:lvlText w:val="●"/>
      <w:numFmt w:val="bullet"/>
      <w:start w:val="1"/>
    </w:lvl>
  </w:abstractNum>
  <w:abstractNum w:abstractNumId="48">
    <w:nsid w:val="24F6AB8E"/>
    <w:multiLevelType w:val="hybridMultilevel"/>
    <w:lvl w:ilvl="0">
      <w:lvlJc w:val="left"/>
      <w:lvlText w:val="●"/>
      <w:numFmt w:val="bullet"/>
      <w:start w:val="1"/>
    </w:lvl>
  </w:abstractNum>
  <w:abstractNum w:abstractNumId="49">
    <w:nsid w:val="634C574C"/>
    <w:multiLevelType w:val="hybridMultilevel"/>
    <w:lvl w:ilvl="0">
      <w:lvlJc w:val="left"/>
      <w:lvlText w:val="●"/>
      <w:numFmt w:val="bullet"/>
      <w:start w:val="1"/>
    </w:lvl>
  </w:abstractNum>
  <w:abstractNum w:abstractNumId="50">
    <w:nsid w:val="24E99DD7"/>
    <w:multiLevelType w:val="hybridMultilevel"/>
    <w:lvl w:ilvl="0">
      <w:lvlJc w:val="left"/>
      <w:lvlText w:val="●"/>
      <w:numFmt w:val="bullet"/>
      <w:start w:val="1"/>
    </w:lvl>
  </w:abstractNum>
  <w:abstractNum w:abstractNumId="51">
    <w:nsid w:val="2A31B62D"/>
    <w:multiLevelType w:val="hybridMultilevel"/>
    <w:lvl w:ilvl="0">
      <w:lvlJc w:val="left"/>
      <w:lvlText w:val="●"/>
      <w:numFmt w:val="bullet"/>
      <w:start w:val="1"/>
    </w:lvl>
  </w:abstractNum>
  <w:abstractNum w:abstractNumId="52">
    <w:nsid w:val="1849C29B"/>
    <w:multiLevelType w:val="hybridMultilevel"/>
    <w:lvl w:ilvl="0">
      <w:lvlJc w:val="left"/>
      <w:lvlText w:val="●"/>
      <w:numFmt w:val="bullet"/>
      <w:start w:val="1"/>
    </w:lvl>
  </w:abstractNum>
  <w:abstractNum w:abstractNumId="53">
    <w:nsid w:val="7DFF9D09"/>
    <w:multiLevelType w:val="hybridMultilevel"/>
    <w:lvl w:ilvl="0">
      <w:lvlJc w:val="left"/>
      <w:lvlText w:val="(%1)"/>
      <w:numFmt w:val="decimal"/>
      <w:start w:val="1"/>
    </w:lvl>
  </w:abstractNum>
  <w:abstractNum w:abstractNumId="54">
    <w:nsid w:val="754342"/>
    <w:multiLevelType w:val="hybridMultilevel"/>
    <w:lvl w:ilvl="0">
      <w:lvlJc w:val="left"/>
      <w:lvlText w:val="●"/>
      <w:numFmt w:val="bullet"/>
      <w:start w:val="1"/>
    </w:lvl>
  </w:abstractNum>
  <w:abstractNum w:abstractNumId="55">
    <w:nsid w:val="69E7F3E5"/>
    <w:multiLevelType w:val="hybridMultilevel"/>
    <w:lvl w:ilvl="0">
      <w:lvlJc w:val="left"/>
      <w:lvlText w:val="●"/>
      <w:numFmt w:val="bullet"/>
      <w:start w:val="1"/>
    </w:lvl>
  </w:abstractNum>
  <w:abstractNum w:abstractNumId="56">
    <w:nsid w:val="2A6DE806"/>
    <w:multiLevelType w:val="hybridMultilevel"/>
    <w:lvl w:ilvl="0">
      <w:lvlJc w:val="left"/>
      <w:lvlText w:val="$"/>
      <w:numFmt w:val="bullet"/>
      <w:start w:val="1"/>
    </w:lvl>
  </w:abstractNum>
  <w:abstractNum w:abstractNumId="57">
    <w:nsid w:val="1816F8C4"/>
    <w:multiLevelType w:val="hybridMultilevel"/>
    <w:lvl w:ilvl="0">
      <w:lvlJc w:val="left"/>
      <w:lvlText w:val="*"/>
      <w:numFmt w:val="bullet"/>
      <w:start w:val="1"/>
    </w:lvl>
  </w:abstractNum>
  <w:abstractNum w:abstractNumId="58">
    <w:nsid w:val="37DF2233"/>
    <w:multiLevelType w:val="hybridMultilevel"/>
    <w:lvl w:ilvl="0">
      <w:lvlJc w:val="left"/>
      <w:lvlText w:val="●"/>
      <w:numFmt w:val="bullet"/>
      <w:start w:val="1"/>
    </w:lvl>
  </w:abstractNum>
  <w:abstractNum w:abstractNumId="59">
    <w:nsid w:val="7AB49DAF"/>
    <w:multiLevelType w:val="hybridMultilevel"/>
    <w:lvl w:ilvl="0">
      <w:lvlJc w:val="left"/>
      <w:lvlText w:val="%1."/>
      <w:numFmt w:val="decimal"/>
      <w:start w:val="1"/>
    </w:lvl>
  </w:abstractNum>
  <w:abstractNum w:abstractNumId="60">
    <w:nsid w:val="759F82CD"/>
    <w:multiLevelType w:val="hybridMultilevel"/>
    <w:lvl w:ilvl="0">
      <w:lvlJc w:val="left"/>
      <w:lvlText w:val="(%1)"/>
      <w:numFmt w:val="lowerRoman"/>
      <w:start w:val="3"/>
    </w:lvl>
  </w:abstractNum>
  <w:abstractNum w:abstractNumId="61">
    <w:nsid w:val="61E74EA3"/>
    <w:multiLevelType w:val="hybridMultilevel"/>
    <w:lvl w:ilvl="0">
      <w:lvlJc w:val="left"/>
      <w:lvlText w:val="-"/>
      <w:numFmt w:val="bullet"/>
      <w:start w:val="1"/>
    </w:lvl>
  </w:abstractNum>
  <w:abstractNum w:abstractNumId="62">
    <w:nsid w:val="597B4D84"/>
    <w:multiLevelType w:val="hybridMultilevel"/>
    <w:lvl w:ilvl="0">
      <w:lvlJc w:val="left"/>
      <w:lvlText w:val="-"/>
      <w:numFmt w:val="bullet"/>
      <w:start w:val="1"/>
    </w:lvl>
  </w:abstractNum>
  <w:abstractNum w:abstractNumId="63">
    <w:nsid w:val="F819E7F"/>
    <w:multiLevelType w:val="hybridMultilevel"/>
    <w:lvl w:ilvl="0">
      <w:lvlJc w:val="left"/>
      <w:lvlText w:val="%1."/>
      <w:numFmt w:val="decimal"/>
      <w:start w:val="9"/>
    </w:lvl>
  </w:abstractNum>
  <w:abstractNum w:abstractNumId="64">
    <w:nsid w:val="57C7D42D"/>
    <w:multiLevelType w:val="hybridMultilevel"/>
    <w:lvl w:ilvl="0">
      <w:lvlJc w:val="left"/>
      <w:lvlText w:val="(%1)"/>
      <w:numFmt w:val="lowerRoman"/>
      <w:start w:val="1"/>
    </w:lvl>
  </w:abstractNum>
  <w:abstractNum w:abstractNumId="65">
    <w:nsid w:val="312167AD"/>
    <w:multiLevelType w:val="hybridMultilevel"/>
    <w:lvl w:ilvl="0">
      <w:lvlJc w:val="left"/>
      <w:lvlText w:val="(%1)"/>
      <w:numFmt w:val="lowerLetter"/>
      <w:start w:val="1"/>
    </w:lvl>
  </w:abstractNum>
  <w:abstractNum w:abstractNumId="66">
    <w:nsid w:val="631B64D4"/>
    <w:multiLevelType w:val="hybridMultilevel"/>
    <w:lvl w:ilvl="0">
      <w:lvlJc w:val="left"/>
      <w:lvlText w:val="*"/>
      <w:numFmt w:val="bullet"/>
      <w:start w:val="1"/>
    </w:lvl>
  </w:abstractNum>
  <w:abstractNum w:abstractNumId="67">
    <w:nsid w:val="78B5E776"/>
    <w:multiLevelType w:val="hybridMultilevel"/>
    <w:lvl w:ilvl="0">
      <w:lvlJc w:val="left"/>
      <w:lvlText w:val="(%1)"/>
      <w:numFmt w:val="lowerLetter"/>
      <w:start w:val="1"/>
    </w:lvl>
  </w:abstractNum>
  <w:abstractNum w:abstractNumId="68">
    <w:nsid w:val="75486E47"/>
    <w:multiLevelType w:val="hybridMultilevel"/>
    <w:lvl w:ilvl="0">
      <w:lvlJc w:val="left"/>
      <w:lvlText w:val="(%1)"/>
      <w:numFmt w:val="lowerRoman"/>
      <w:start w:val="1"/>
    </w:lvl>
  </w:abstractNum>
  <w:abstractNum w:abstractNumId="69">
    <w:nsid w:val="6E534CDE"/>
    <w:multiLevelType w:val="hybridMultilevel"/>
    <w:lvl w:ilvl="0">
      <w:lvlJc w:val="left"/>
      <w:lvlText w:val="(%1)"/>
      <w:numFmt w:val="lowerRoman"/>
      <w:start w:val="3"/>
    </w:lvl>
  </w:abstractNum>
  <w:abstractNum w:abstractNumId="70">
    <w:nsid w:val="1A0DDE32"/>
    <w:multiLevelType w:val="hybridMultilevel"/>
    <w:lvl w:ilvl="0">
      <w:lvlJc w:val="left"/>
      <w:lvlText w:val="*"/>
      <w:numFmt w:val="bullet"/>
      <w:start w:val="1"/>
    </w:lvl>
  </w:abstractNum>
  <w:abstractNum w:abstractNumId="71">
    <w:nsid w:val="65968C1C"/>
    <w:multiLevelType w:val="hybridMultilevel"/>
    <w:lvl w:ilvl="0">
      <w:lvlJc w:val="left"/>
      <w:lvlText w:val="(%1)"/>
      <w:numFmt w:val="decimal"/>
      <w:start w:val="1"/>
    </w:lvl>
  </w:abstractNum>
  <w:abstractNum w:abstractNumId="72">
    <w:nsid w:val="46263DEC"/>
    <w:multiLevelType w:val="hybridMultilevel"/>
    <w:lvl w:ilvl="0">
      <w:lvlJc w:val="left"/>
      <w:lvlText w:val="(%1)"/>
      <w:numFmt w:val="lowerLetter"/>
      <w:start w:val="2"/>
    </w:lvl>
  </w:abstractNum>
  <w:abstractNum w:abstractNumId="73">
    <w:nsid w:val="260D8C4A"/>
    <w:multiLevelType w:val="hybridMultilevel"/>
    <w:lvl w:ilvl="0">
      <w:lvlJc w:val="left"/>
      <w:lvlText w:val="(%1)"/>
      <w:numFmt w:val="lowerRoman"/>
      <w:start w:val="1"/>
    </w:lvl>
  </w:abstractNum>
  <w:abstractNum w:abstractNumId="74">
    <w:nsid w:val="73D4D3C4"/>
    <w:multiLevelType w:val="hybridMultilevel"/>
    <w:lvl w:ilvl="0">
      <w:lvlJc w:val="left"/>
      <w:lvlText w:val="(%1)"/>
      <w:numFmt w:val="lowerRoman"/>
      <w:start w:val="1"/>
    </w:lvl>
  </w:abstractNum>
  <w:abstractNum w:abstractNumId="75">
    <w:nsid w:val="746F2E30"/>
    <w:multiLevelType w:val="hybridMultilevel"/>
    <w:lvl w:ilvl="0">
      <w:lvlJc w:val="left"/>
      <w:lvlText w:val="%1."/>
      <w:numFmt w:val="decimal"/>
      <w:start w:val="1"/>
    </w:lvl>
  </w:abstractNum>
  <w:abstractNum w:abstractNumId="76">
    <w:nsid w:val="6FDE8AF6"/>
    <w:multiLevelType w:val="hybridMultilevel"/>
    <w:lvl w:ilvl="0">
      <w:lvlJc w:val="left"/>
      <w:lvlText w:val="%1."/>
      <w:numFmt w:val="decimal"/>
      <w:start w:val="6"/>
    </w:lvl>
  </w:abstractNum>
  <w:abstractNum w:abstractNumId="77">
    <w:nsid w:val="3FC32E20"/>
    <w:multiLevelType w:val="hybridMultilevel"/>
    <w:lvl w:ilvl="0">
      <w:lvlJc w:val="left"/>
      <w:lvlText w:val="%1."/>
      <w:numFmt w:val="decimal"/>
      <w:start w:val="1"/>
    </w:lvl>
    <w:lvl w:ilvl="1">
      <w:lvlJc w:val="left"/>
      <w:lvlText w:val="(%2)"/>
      <w:numFmt w:val="lowerLetter"/>
      <w:start w:val="1"/>
    </w:lvl>
  </w:abstractNum>
  <w:abstractNum w:abstractNumId="78">
    <w:nsid w:val="49C0E82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79">
    <w:nsid w:val="14D5368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80">
    <w:nsid w:val="230F856C"/>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abstractNum>
  <w:abstractNum w:abstractNumId="81">
    <w:nsid w:val="6EAA85F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2">
    <w:nsid w:val="3F06ECB2"/>
    <w:multiLevelType w:val="hybridMultilevel"/>
    <w:lvl w:ilvl="0">
      <w:lvlJc w:val="left"/>
      <w:lvlText w:val="%1"/>
      <w:numFmt w:val="decimal"/>
      <w:start w:val="1"/>
    </w:lvl>
    <w:lvl w:ilvl="1">
      <w:lvlJc w:val="left"/>
      <w:lvlText w:val="(%2)"/>
      <w:numFmt w:val="lowerLetter"/>
      <w:start w:val="3"/>
    </w:lvl>
  </w:abstractNum>
  <w:abstractNum w:abstractNumId="83">
    <w:nsid w:val="3B594807"/>
    <w:multiLevelType w:val="hybridMultilevel"/>
    <w:lvl w:ilvl="0">
      <w:lvlJc w:val="left"/>
      <w:lvlText w:val="%1."/>
      <w:numFmt w:val="decimal"/>
      <w:start w:val="7"/>
    </w:lvl>
    <w:lvl w:ilvl="1">
      <w:lvlJc w:val="left"/>
      <w:lvlText w:val="(%2)"/>
      <w:numFmt w:val="lowerLetter"/>
      <w:start w:val="1"/>
    </w:lvl>
  </w:abstractNum>
  <w:abstractNum w:abstractNumId="84">
    <w:nsid w:val="6CAA2304"/>
    <w:multiLevelType w:val="hybridMultilevel"/>
    <w:lvl w:ilvl="0">
      <w:lvlJc w:val="left"/>
      <w:lvlText w:val="%1."/>
      <w:numFmt w:val="decimal"/>
      <w:start w:val="8"/>
    </w:lvl>
    <w:lvl w:ilvl="1">
      <w:lvlJc w:val="left"/>
      <w:lvlText w:val="(%2)"/>
      <w:numFmt w:val="lowerLetter"/>
      <w:start w:val="1"/>
    </w:lvl>
  </w:abstractNum>
  <w:abstractNum w:abstractNumId="85">
    <w:nsid w:val="3F7C2FF4"/>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86">
    <w:nsid w:val="25413BEC"/>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87">
    <w:nsid w:val="17180B0B"/>
    <w:multiLevelType w:val="hybridMultilevel"/>
    <w:lvl w:ilvl="0">
      <w:lvlJc w:val="left"/>
      <w:lvlText w:val="(%1)"/>
      <w:numFmt w:val="decimal"/>
      <w:start w:val="9"/>
    </w:lvl>
    <w:lvl w:ilvl="1">
      <w:lvlJc w:val="left"/>
      <w:lvlText w:val="%2"/>
      <w:numFmt w:val="decimal"/>
      <w:start w:val="1"/>
    </w:lvl>
    <w:lvl w:ilvl="2">
      <w:lvlJc w:val="left"/>
      <w:lvlText w:val="(%3)"/>
      <w:numFmt w:val="lowerLetter"/>
      <w:start w:val="2"/>
    </w:lvl>
  </w:abstractNum>
  <w:abstractNum w:abstractNumId="88">
    <w:nsid w:val="579328B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89">
    <w:nsid w:val="5D205E20"/>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4"/>
    </w:lvl>
  </w:abstractNum>
  <w:abstractNum w:abstractNumId="90">
    <w:nsid w:val="11CCA8BA"/>
    <w:multiLevelType w:val="hybridMultilevel"/>
    <w:lvl w:ilvl="0">
      <w:lvlJc w:val="left"/>
      <w:lvlText w:val="%1."/>
      <w:numFmt w:val="decimal"/>
      <w:start w:val="12"/>
    </w:lvl>
    <w:lvl w:ilvl="1">
      <w:lvlJc w:val="left"/>
      <w:lvlText w:val="(%2)"/>
      <w:numFmt w:val="lowerLetter"/>
      <w:start w:val="1"/>
    </w:lvl>
  </w:abstractNum>
  <w:abstractNum w:abstractNumId="91">
    <w:nsid w:val="4D32AB86"/>
    <w:multiLevelType w:val="hybridMultilevel"/>
    <w:lvl w:ilvl="0">
      <w:lvlJc w:val="left"/>
      <w:lvlText w:val="(%1)"/>
      <w:numFmt w:val="lowerLetter"/>
      <w:start w:val="2"/>
    </w:lvl>
  </w:abstractNum>
  <w:abstractNum w:abstractNumId="92">
    <w:nsid w:val="3F07ACC3"/>
    <w:multiLevelType w:val="hybridMultilevel"/>
    <w:lvl w:ilvl="0">
      <w:lvlJc w:val="left"/>
      <w:lvlText w:val="%1."/>
      <w:numFmt w:val="decimal"/>
      <w:start w:val="13"/>
    </w:lvl>
  </w:abstractNum>
  <w:abstractNum w:abstractNumId="93">
    <w:nsid w:val="6B47F63E"/>
    <w:multiLevelType w:val="hybridMultilevel"/>
    <w:lvl w:ilvl="0">
      <w:lvlJc w:val="left"/>
      <w:lvlText w:val="%1."/>
      <w:numFmt w:val="decimal"/>
      <w:start w:val="1"/>
    </w:lvl>
    <w:lvl w:ilvl="1">
      <w:lvlJc w:val="left"/>
      <w:lvlText w:val="(%2)"/>
      <w:numFmt w:val="lowerLetter"/>
      <w:start w:val="1"/>
    </w:lvl>
  </w:abstractNum>
  <w:abstractNum w:abstractNumId="94">
    <w:nsid w:val="5CB44A05"/>
    <w:multiLevelType w:val="hybridMultilevel"/>
    <w:lvl w:ilvl="0">
      <w:lvlJc w:val="left"/>
      <w:lvlText w:val="%1"/>
      <w:numFmt w:val="decimal"/>
      <w:start w:val="1"/>
    </w:lvl>
    <w:lvl w:ilvl="1">
      <w:lvlJc w:val="left"/>
      <w:lvlText w:val="(%2)"/>
      <w:numFmt w:val="lowerLetter"/>
      <w:start w:val="2"/>
    </w:lvl>
  </w:abstractNum>
  <w:abstractNum w:abstractNumId="95">
    <w:nsid w:val="16CF80F1"/>
    <w:multiLevelType w:val="hybridMultilevel"/>
    <w:lvl w:ilvl="0">
      <w:lvlJc w:val="left"/>
      <w:lvlText w:val="%1."/>
      <w:numFmt w:val="decimal"/>
      <w:start w:val="2"/>
    </w:lvl>
    <w:lvl w:ilvl="1">
      <w:lvlJc w:val="left"/>
      <w:lvlText w:val="(%2)"/>
      <w:numFmt w:val="lowerLetter"/>
      <w:start w:val="1"/>
    </w:lvl>
  </w:abstractNum>
  <w:abstractNum w:abstractNumId="96">
    <w:nsid w:val="1C695D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97">
    <w:nsid w:val="3FCFAED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98">
    <w:nsid w:val="F856867"/>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abstractNum>
  <w:abstractNum w:abstractNumId="99">
    <w:nsid w:val="11B1CC3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0">
    <w:nsid w:val="2E22FBB7"/>
    <w:multiLevelType w:val="hybridMultilevel"/>
    <w:lvl w:ilvl="0">
      <w:lvlJc w:val="left"/>
      <w:lvlText w:val="%1"/>
      <w:numFmt w:val="decimal"/>
      <w:start w:val="1"/>
    </w:lvl>
    <w:lvl w:ilvl="1">
      <w:lvlJc w:val="left"/>
      <w:lvlText w:val="(%2)"/>
      <w:numFmt w:val="lowerLetter"/>
      <w:start w:val="3"/>
    </w:lvl>
  </w:abstractNum>
  <w:abstractNum w:abstractNumId="101">
    <w:nsid w:val="29934699"/>
    <w:multiLevelType w:val="hybridMultilevel"/>
    <w:lvl w:ilvl="0">
      <w:lvlJc w:val="left"/>
      <w:lvlText w:val="%1."/>
      <w:numFmt w:val="decimal"/>
      <w:start w:val="7"/>
    </w:lvl>
    <w:lvl w:ilvl="1">
      <w:lvlJc w:val="left"/>
      <w:lvlText w:val="(%2)"/>
      <w:numFmt w:val="lowerLetter"/>
      <w:start w:val="1"/>
    </w:lvl>
  </w:abstractNum>
  <w:abstractNum w:abstractNumId="102">
    <w:nsid w:val="77485850"/>
    <w:multiLevelType w:val="hybridMultilevel"/>
    <w:lvl w:ilvl="0">
      <w:lvlJc w:val="left"/>
      <w:lvlText w:val="%1."/>
      <w:numFmt w:val="decimal"/>
      <w:start w:val="8"/>
    </w:lvl>
    <w:lvl w:ilvl="1">
      <w:lvlJc w:val="left"/>
      <w:lvlText w:val="(%2)"/>
      <w:numFmt w:val="lowerLetter"/>
      <w:start w:val="1"/>
    </w:lvl>
  </w:abstractNum>
  <w:abstractNum w:abstractNumId="103">
    <w:nsid w:val="744939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04">
    <w:nsid w:val="4FA0D2E3"/>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05">
    <w:nsid w:val="6B1D2C14"/>
    <w:multiLevelType w:val="hybridMultilevel"/>
    <w:lvl w:ilvl="0">
      <w:lvlJc w:val="left"/>
      <w:lvlText w:val="(%1)"/>
      <w:numFmt w:val="decimal"/>
      <w:start w:val="9"/>
    </w:lvl>
    <w:lvl w:ilvl="1">
      <w:lvlJc w:val="left"/>
      <w:lvlText w:val="%2"/>
      <w:numFmt w:val="decimal"/>
      <w:start w:val="1"/>
    </w:lvl>
    <w:lvl w:ilvl="2">
      <w:lvlJc w:val="left"/>
      <w:lvlText w:val="(%3)"/>
      <w:numFmt w:val="lowerLetter"/>
      <w:start w:val="2"/>
    </w:lvl>
  </w:abstractNum>
  <w:abstractNum w:abstractNumId="106">
    <w:nsid w:val="68B867D3"/>
    <w:multiLevelType w:val="hybridMultilevel"/>
    <w:lvl w:ilvl="0">
      <w:lvlJc w:val="left"/>
      <w:lvlText w:val="%1"/>
      <w:numFmt w:val="decimal"/>
      <w:start w:val="1"/>
    </w:lvl>
    <w:lvl w:ilvl="1">
      <w:lvlJc w:val="left"/>
      <w:lvlText w:val="(%2)"/>
      <w:numFmt w:val="lowerLetter"/>
      <w:start w:val="3"/>
    </w:lvl>
  </w:abstractNum>
  <w:abstractNum w:abstractNumId="107">
    <w:nsid w:val="3F7F5DD9"/>
    <w:multiLevelType w:val="hybridMultilevel"/>
    <w:lvl w:ilvl="0">
      <w:lvlJc w:val="left"/>
      <w:lvlText w:val="%1."/>
      <w:numFmt w:val="decimal"/>
      <w:start w:val="10"/>
    </w:lvl>
    <w:lvl w:ilvl="1">
      <w:lvlJc w:val="left"/>
      <w:lvlText w:val="%2"/>
      <w:numFmt w:val="lowerLetter"/>
      <w:start w:val="1"/>
    </w:lvl>
  </w:abstractNum>
  <w:abstractNum w:abstractNumId="108">
    <w:nsid w:val="2AE05A34"/>
    <w:multiLevelType w:val="hybridMultilevel"/>
    <w:lvl w:ilvl="0">
      <w:lvlJc w:val="left"/>
      <w:lvlText w:val="%1."/>
      <w:numFmt w:val="decimal"/>
      <w:start w:val="12"/>
    </w:lvl>
    <w:lvl w:ilvl="1">
      <w:lvlJc w:val="left"/>
      <w:lvlText w:val="(%2)"/>
      <w:numFmt w:val="lowerLetter"/>
      <w:start w:val="1"/>
    </w:lvl>
  </w:abstractNum>
  <w:abstractNum w:abstractNumId="109">
    <w:nsid w:val="32794FF7"/>
    <w:multiLevelType w:val="hybridMultilevel"/>
    <w:lvl w:ilvl="0">
      <w:lvlJc w:val="left"/>
      <w:lvlText w:val="%1."/>
      <w:numFmt w:val="decimal"/>
      <w:start w:val="1"/>
    </w:lvl>
    <w:lvl w:ilvl="1">
      <w:lvlJc w:val="left"/>
      <w:lvlText w:val="(%2)"/>
      <w:numFmt w:val="lowerLetter"/>
      <w:start w:val="1"/>
    </w:lvl>
  </w:abstractNum>
  <w:abstractNum w:abstractNumId="110">
    <w:nsid w:val="5454945E"/>
    <w:multiLevelType w:val="hybridMultilevel"/>
    <w:lvl w:ilvl="0">
      <w:lvlJc w:val="left"/>
      <w:lvlText w:val="%1"/>
      <w:numFmt w:val="decimal"/>
      <w:start w:val="1"/>
    </w:lvl>
    <w:lvl w:ilvl="1">
      <w:lvlJc w:val="left"/>
      <w:lvlText w:val="(%2)"/>
      <w:numFmt w:val="lowerLetter"/>
      <w:start w:val="2"/>
    </w:lvl>
  </w:abstractNum>
  <w:abstractNum w:abstractNumId="111">
    <w:nsid w:val="4DEFDFA0"/>
    <w:multiLevelType w:val="hybridMultilevel"/>
    <w:lvl w:ilvl="0">
      <w:lvlJc w:val="left"/>
      <w:lvlText w:val="%1."/>
      <w:numFmt w:val="decimal"/>
      <w:start w:val="3"/>
    </w:lvl>
    <w:lvl w:ilvl="1">
      <w:lvlJc w:val="left"/>
      <w:lvlText w:val="(%2)"/>
      <w:numFmt w:val="lowerLetter"/>
      <w:start w:val="1"/>
    </w:lvl>
  </w:abstractNum>
  <w:abstractNum w:abstractNumId="112">
    <w:nsid w:val="2123D5F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3">
    <w:nsid w:val="135B8110"/>
    <w:multiLevelType w:val="hybridMultilevel"/>
    <w:lvl w:ilvl="0">
      <w:lvlJc w:val="left"/>
      <w:lvlText w:val="%1."/>
      <w:numFmt w:val="decimal"/>
      <w:start w:val="7"/>
    </w:lvl>
    <w:lvl w:ilvl="1">
      <w:lvlJc w:val="left"/>
      <w:lvlText w:val="(%2)"/>
      <w:numFmt w:val="lowerLetter"/>
      <w:start w:val="1"/>
    </w:lvl>
  </w:abstractNum>
  <w:abstractNum w:abstractNumId="114">
    <w:nsid w:val="94927A8"/>
    <w:multiLevelType w:val="hybridMultilevel"/>
    <w:lvl w:ilvl="0">
      <w:lvlJc w:val="left"/>
      <w:lvlText w:val="%1."/>
      <w:numFmt w:val="decimal"/>
      <w:start w:val="8"/>
    </w:lvl>
    <w:lvl w:ilvl="1">
      <w:lvlJc w:val="left"/>
      <w:lvlText w:val="(%2)"/>
      <w:numFmt w:val="lowerLetter"/>
      <w:start w:val="1"/>
    </w:lvl>
  </w:abstractNum>
  <w:abstractNum w:abstractNumId="115">
    <w:nsid w:val="DCDF8F6"/>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16">
    <w:nsid w:val="52D7B105"/>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17">
    <w:nsid w:val="2E8A6394"/>
    <w:multiLevelType w:val="hybridMultilevel"/>
    <w:lvl w:ilvl="0">
      <w:lvlJc w:val="left"/>
      <w:lvlText w:val="(%1)"/>
      <w:numFmt w:val="decimal"/>
      <w:start w:val="9"/>
    </w:lvl>
    <w:lvl w:ilvl="1">
      <w:lvlJc w:val="left"/>
      <w:lvlText w:val="%2"/>
      <w:numFmt w:val="decimal"/>
      <w:start w:val="1"/>
    </w:lvl>
    <w:lvl w:ilvl="2">
      <w:lvlJc w:val="left"/>
      <w:lvlText w:val="(%3)"/>
      <w:numFmt w:val="lowerLetter"/>
      <w:start w:val="2"/>
    </w:lvl>
  </w:abstractNum>
  <w:abstractNum w:abstractNumId="118">
    <w:nsid w:val="24E60401"/>
    <w:multiLevelType w:val="hybridMultilevel"/>
    <w:lvl w:ilvl="0">
      <w:lvlJc w:val="left"/>
      <w:lvlText w:val="%1"/>
      <w:numFmt w:val="decimal"/>
      <w:start w:val="1"/>
    </w:lvl>
    <w:lvl w:ilvl="1">
      <w:lvlJc w:val="left"/>
      <w:lvlText w:val="(%2)"/>
      <w:numFmt w:val="lowerLetter"/>
      <w:start w:val="3"/>
    </w:lvl>
  </w:abstractNum>
  <w:abstractNum w:abstractNumId="119">
    <w:nsid w:val="2A6AD9BE"/>
    <w:multiLevelType w:val="hybridMultilevel"/>
    <w:lvl w:ilvl="0">
      <w:lvlJc w:val="left"/>
      <w:lvlText w:val="%1."/>
      <w:numFmt w:val="decimal"/>
      <w:start w:val="10"/>
    </w:lvl>
    <w:lvl w:ilvl="1">
      <w:lvlJc w:val="left"/>
      <w:lvlText w:val="%2"/>
      <w:numFmt w:val="lowerLetter"/>
      <w:start w:val="1"/>
    </w:lvl>
  </w:abstractNum>
  <w:abstractNum w:abstractNumId="120">
    <w:nsid w:val="BAAC1B4"/>
    <w:multiLevelType w:val="hybridMultilevel"/>
    <w:lvl w:ilvl="0">
      <w:lvlJc w:val="left"/>
      <w:lvlText w:val="%1."/>
      <w:numFmt w:val="decimal"/>
      <w:start w:val="12"/>
    </w:lvl>
    <w:lvl w:ilvl="1">
      <w:lvlJc w:val="left"/>
      <w:lvlText w:val="(%2)"/>
      <w:numFmt w:val="lowerLetter"/>
      <w:start w:val="1"/>
    </w:lvl>
  </w:abstractNum>
  <w:abstractNum w:abstractNumId="121">
    <w:nsid w:val="36B2ACBC"/>
    <w:multiLevelType w:val="hybridMultilevel"/>
    <w:lvl w:ilvl="0">
      <w:lvlJc w:val="left"/>
      <w:lvlText w:val="(%1)"/>
      <w:numFmt w:val="lowerLetter"/>
      <w:start w:val="2"/>
    </w:lvl>
  </w:abstractNum>
  <w:abstractNum w:abstractNumId="122">
    <w:nsid w:val="779D8544"/>
    <w:multiLevelType w:val="hybridMultilevel"/>
    <w:lvl w:ilvl="0">
      <w:lvlJc w:val="left"/>
      <w:lvlText w:val="%1."/>
      <w:numFmt w:val="decimal"/>
      <w:start w:val="13"/>
    </w:lvl>
  </w:abstractNum>
  <w:abstractNum w:abstractNumId="123">
    <w:nsid w:val="4AB26E78"/>
    <w:multiLevelType w:val="hybridMultilevel"/>
    <w:lvl w:ilvl="0">
      <w:lvlJc w:val="left"/>
      <w:lvlText w:val="%1."/>
      <w:numFmt w:val="decimal"/>
      <w:start w:val="18"/>
    </w:lvl>
  </w:abstractNum>
  <w:abstractNum w:abstractNumId="124">
    <w:nsid w:val="21FAA2FA"/>
    <w:multiLevelType w:val="hybridMultilevel"/>
    <w:lvl w:ilvl="0">
      <w:lvlJc w:val="left"/>
      <w:lvlText w:val="%1."/>
      <w:numFmt w:val="decimal"/>
      <w:start w:val="1"/>
    </w:lvl>
  </w:abstractNum>
  <w:abstractNum w:abstractNumId="125">
    <w:nsid w:val="5451CF49"/>
    <w:multiLevelType w:val="hybridMultilevel"/>
    <w:lvl w:ilvl="0">
      <w:lvlJc w:val="left"/>
      <w:lvlText w:val="%1."/>
      <w:numFmt w:val="upperLetter"/>
      <w:start w:val="1"/>
    </w:lvl>
  </w:abstractNum>
  <w:abstractNum w:abstractNumId="126">
    <w:nsid w:val="6181EF69"/>
    <w:multiLevelType w:val="hybridMultilevel"/>
    <w:lvl w:ilvl="0">
      <w:lvlJc w:val="left"/>
      <w:lvlText w:val="%1."/>
      <w:numFmt w:val="decimal"/>
      <w:start w:val="1"/>
    </w:lvl>
  </w:abstractNum>
  <w:abstractNum w:abstractNumId="127">
    <w:nsid w:val="3E6400E6"/>
    <w:multiLevelType w:val="hybridMultilevel"/>
    <w:lvl w:ilvl="0">
      <w:lvlJc w:val="left"/>
      <w:lvlText w:val="(%1)"/>
      <w:numFmt w:val="lowerLetter"/>
      <w:start w:val="1"/>
    </w:lvl>
    <w:lvl w:ilvl="1">
      <w:lvlJc w:val="left"/>
      <w:lvlText w:val="(%2)"/>
      <w:numFmt w:val="lowerRoman"/>
      <w:start w:val="1"/>
    </w:lvl>
  </w:abstractNum>
  <w:abstractNum w:abstractNumId="128">
    <w:nsid w:val="14217E23"/>
    <w:multiLevelType w:val="hybridMultilevel"/>
    <w:lvl w:ilvl="0">
      <w:lvlJc w:val="left"/>
      <w:lvlText w:val="(%1)"/>
      <w:numFmt w:val="lowerLetter"/>
      <w:start w:val="1"/>
    </w:lvl>
  </w:abstractNum>
  <w:abstractNum w:abstractNumId="129">
    <w:nsid w:val="710757D0"/>
    <w:multiLevelType w:val="hybridMultilevel"/>
    <w:lvl w:ilvl="0">
      <w:lvlJc w:val="left"/>
      <w:lvlText w:val="(%1)"/>
      <w:numFmt w:val="lowerLetter"/>
      <w:start w:val="1"/>
    </w:lvl>
  </w:abstractNum>
  <w:abstractNum w:abstractNumId="130">
    <w:nsid w:val="5015CD1A"/>
    <w:multiLevelType w:val="hybridMultilevel"/>
    <w:lvl w:ilvl="0">
      <w:lvlJc w:val="left"/>
      <w:lvlText w:val="(%1)"/>
      <w:numFmt w:val="lowerRoman"/>
      <w:start w:val="1"/>
    </w:lvl>
  </w:abstractNum>
  <w:abstractNum w:abstractNumId="131">
    <w:nsid w:val="424479DA"/>
    <w:multiLevelType w:val="hybridMultilevel"/>
    <w:lvl w:ilvl="0">
      <w:lvlJc w:val="left"/>
      <w:lvlText w:val="(%1)"/>
      <w:numFmt w:val="lowerLetter"/>
      <w:start w:val="1"/>
    </w:lvl>
  </w:abstractNum>
  <w:abstractNum w:abstractNumId="132">
    <w:nsid w:val="1A9A9E69"/>
    <w:multiLevelType w:val="hybridMultilevel"/>
    <w:lvl w:ilvl="0">
      <w:lvlJc w:val="left"/>
      <w:lvlText w:val="(%1)"/>
      <w:numFmt w:val="lowerRoman"/>
      <w:start w:val="1"/>
    </w:lvl>
  </w:abstractNum>
  <w:abstractNum w:abstractNumId="133">
    <w:nsid w:val="475E256A"/>
    <w:multiLevelType w:val="hybridMultilevel"/>
    <w:lvl w:ilvl="0">
      <w:lvlJc w:val="left"/>
      <w:lvlText w:val="(%1)"/>
      <w:numFmt w:val="lowerRoman"/>
      <w:start w:val="1"/>
    </w:lvl>
  </w:abstractNum>
  <w:abstractNum w:abstractNumId="134">
    <w:nsid w:val="368DB37E"/>
    <w:multiLevelType w:val="hybridMultilevel"/>
    <w:lvl w:ilvl="0">
      <w:lvlJc w:val="left"/>
      <w:lvlText w:val="(%1)"/>
      <w:numFmt w:val="lowerLetter"/>
      <w:start w:val="1"/>
    </w:lvl>
  </w:abstractNum>
  <w:abstractNum w:abstractNumId="135">
    <w:nsid w:val="6A3B714C"/>
    <w:multiLevelType w:val="hybridMultilevel"/>
    <w:lvl w:ilvl="0">
      <w:lvlJc w:val="left"/>
      <w:lvlText w:val="(%1)"/>
      <w:numFmt w:val="lowerLetter"/>
      <w:start w:val="1"/>
    </w:lvl>
  </w:abstractNum>
  <w:abstractNum w:abstractNumId="136">
    <w:nsid w:val="327B517E"/>
    <w:multiLevelType w:val="hybridMultilevel"/>
    <w:lvl w:ilvl="0">
      <w:lvlJc w:val="left"/>
      <w:lvlText w:val="(%1)"/>
      <w:numFmt w:val="lowerLetter"/>
      <w:start w:val="1"/>
    </w:lvl>
  </w:abstractNum>
  <w:abstractNum w:abstractNumId="137">
    <w:nsid w:val="1F461B51"/>
    <w:multiLevelType w:val="hybridMultilevel"/>
    <w:lvl w:ilvl="0">
      <w:lvlJc w:val="left"/>
      <w:lvlText w:val="(%1)"/>
      <w:numFmt w:val="lowerLetter"/>
      <w:start w:val="12"/>
    </w:lvl>
  </w:abstractNum>
  <w:abstractNum w:abstractNumId="138">
    <w:nsid w:val="29BACF25"/>
    <w:multiLevelType w:val="hybridMultilevel"/>
    <w:lvl w:ilvl="0">
      <w:lvlJc w:val="left"/>
      <w:lvlText w:val="(%1)"/>
      <w:numFmt w:val="lowerLetter"/>
      <w:start w:val="1"/>
    </w:lvl>
  </w:abstractNum>
  <w:abstractNum w:abstractNumId="139">
    <w:nsid w:val="5D5BABB3"/>
    <w:multiLevelType w:val="hybridMultilevel"/>
    <w:lvl w:ilvl="0">
      <w:lvlJc w:val="left"/>
      <w:lvlText w:val="%1."/>
      <w:numFmt w:val="decimal"/>
      <w:start w:val="2"/>
    </w:lvl>
  </w:abstractNum>
  <w:abstractNum w:abstractNumId="140">
    <w:nsid w:val="51BF6B48"/>
    <w:multiLevelType w:val="hybridMultilevel"/>
    <w:lvl w:ilvl="0">
      <w:lvlJc w:val="left"/>
      <w:lvlText w:val="(%1)"/>
      <w:numFmt w:val="lowerRoman"/>
      <w:start w:val="1"/>
    </w:lvl>
  </w:abstractNum>
  <w:abstractNum w:abstractNumId="141">
    <w:nsid w:val="7E0F6384"/>
    <w:multiLevelType w:val="hybridMultilevel"/>
    <w:lvl w:ilvl="0">
      <w:lvlJc w:val="left"/>
      <w:lvlText w:val="(%1)"/>
      <w:numFmt w:val="lowerLetter"/>
      <w:start w:val="1"/>
    </w:lvl>
    <w:lvl w:ilvl="1">
      <w:lvlJc w:val="left"/>
      <w:lvlText w:val="(%2)"/>
      <w:numFmt w:val="lowerRoman"/>
      <w:start w:val="1"/>
    </w:lvl>
  </w:abstractNum>
  <w:abstractNum w:abstractNumId="142">
    <w:nsid w:val="2B4B8B53"/>
    <w:multiLevelType w:val="hybridMultilevel"/>
    <w:lvl w:ilvl="0">
      <w:lvlJc w:val="left"/>
      <w:lvlText w:val="%1"/>
      <w:numFmt w:val="decimal"/>
      <w:start w:val="1"/>
    </w:lvl>
    <w:lvl w:ilvl="1">
      <w:lvlJc w:val="left"/>
      <w:lvlText w:val="(%2)"/>
      <w:numFmt w:val="lowerLetter"/>
      <w:start w:val="4"/>
    </w:lvl>
  </w:abstractNum>
  <w:abstractNum w:abstractNumId="143">
    <w:nsid w:val="72E3413A"/>
    <w:multiLevelType w:val="hybridMultilevel"/>
    <w:lvl w:ilvl="0">
      <w:lvlJc w:val="left"/>
      <w:lvlText w:val="%1."/>
      <w:numFmt w:val="decimal"/>
      <w:start w:val="3"/>
    </w:lvl>
    <w:lvl w:ilvl="1">
      <w:lvlJc w:val="left"/>
      <w:lvlText w:val="%2"/>
      <w:numFmt w:val="lowerLetter"/>
      <w:start w:val="1"/>
    </w:lvl>
  </w:abstractNum>
  <w:abstractNum w:abstractNumId="144">
    <w:nsid w:val="116AE494"/>
    <w:multiLevelType w:val="hybridMultilevel"/>
    <w:lvl w:ilvl="0">
      <w:lvlJc w:val="left"/>
      <w:lvlText w:val="%1."/>
      <w:numFmt w:val="decimal"/>
      <w:start w:val="4"/>
    </w:lvl>
  </w:abstractNum>
  <w:abstractNum w:abstractNumId="145">
    <w:nsid w:val="3494B2FB"/>
    <w:multiLevelType w:val="hybridMultilevel"/>
    <w:lvl w:ilvl="0">
      <w:lvlJc w:val="left"/>
      <w:lvlText w:val="(%1)"/>
      <w:numFmt w:val="lowerLetter"/>
      <w:start w:val="1"/>
    </w:lvl>
    <w:lvl w:ilvl="1">
      <w:lvlJc w:val="left"/>
      <w:lvlText w:val="(%2)"/>
      <w:numFmt w:val="lowerRoman"/>
      <w:start w:val="1"/>
    </w:lvl>
  </w:abstractNum>
  <w:abstractNum w:abstractNumId="146">
    <w:nsid w:val="B13A31"/>
    <w:multiLevelType w:val="hybridMultilevel"/>
    <w:lvl w:ilvl="0">
      <w:lvlJc w:val="left"/>
      <w:lvlText w:val="%1."/>
      <w:numFmt w:val="decimal"/>
      <w:start w:val="5"/>
    </w:lvl>
  </w:abstractNum>
  <w:abstractNum w:abstractNumId="147">
    <w:nsid w:val="64429599"/>
    <w:multiLevelType w:val="hybridMultilevel"/>
    <w:lvl w:ilvl="0">
      <w:lvlJc w:val="left"/>
      <w:lvlText w:val="(%1)"/>
      <w:numFmt w:val="lowerLetter"/>
      <w:start w:val="1"/>
    </w:lvl>
  </w:abstractNum>
  <w:abstractNum w:abstractNumId="148">
    <w:nsid w:val="631F1690"/>
    <w:multiLevelType w:val="hybridMultilevel"/>
    <w:lvl w:ilvl="0">
      <w:lvlJc w:val="left"/>
      <w:lvlText w:val="(%1)"/>
      <w:numFmt w:val="lowerLetter"/>
      <w:start w:val="1"/>
    </w:lvl>
    <w:lvl w:ilvl="1">
      <w:lvlJc w:val="left"/>
      <w:lvlText w:val="(%2)"/>
      <w:numFmt w:val="lowerRoman"/>
      <w:start w:val="1"/>
    </w:lvl>
  </w:abstractNum>
  <w:abstractNum w:abstractNumId="149">
    <w:nsid w:val="25973E32"/>
    <w:multiLevelType w:val="hybridMultilevel"/>
    <w:lvl w:ilvl="0">
      <w:lvlJc w:val="left"/>
      <w:lvlText w:val="(%1)"/>
      <w:numFmt w:val="lowerLetter"/>
      <w:start w:val="1"/>
    </w:lvl>
  </w:abstractNum>
  <w:abstractNum w:abstractNumId="150">
    <w:nsid w:val="EAD6F57"/>
    <w:multiLevelType w:val="hybridMultilevel"/>
    <w:lvl w:ilvl="0">
      <w:lvlJc w:val="left"/>
      <w:lvlText w:val="(%1)"/>
      <w:numFmt w:val="lowerLetter"/>
      <w:start w:val="1"/>
    </w:lvl>
  </w:abstractNum>
  <w:abstractNum w:abstractNumId="151">
    <w:nsid w:val="6EC9D844"/>
    <w:multiLevelType w:val="hybridMultilevel"/>
    <w:lvl w:ilvl="0">
      <w:lvlJc w:val="left"/>
      <w:lvlText w:val="(%1)"/>
      <w:numFmt w:val="lowerLetter"/>
      <w:start w:val="1"/>
    </w:lvl>
    <w:lvl w:ilvl="1">
      <w:lvlJc w:val="left"/>
      <w:lvlText w:val="(%2)"/>
      <w:numFmt w:val="lowerRoman"/>
      <w:start w:val="1"/>
    </w:lvl>
  </w:abstractNum>
  <w:abstractNum w:abstractNumId="152">
    <w:nsid w:val="5C49EAEE"/>
    <w:multiLevelType w:val="hybridMultilevel"/>
    <w:lvl w:ilvl="0">
      <w:lvlJc w:val="left"/>
      <w:lvlText w:val="(%1)"/>
      <w:numFmt w:val="lowerLetter"/>
      <w:start w:val="3"/>
    </w:lvl>
    <w:lvl w:ilvl="1">
      <w:lvlJc w:val="left"/>
      <w:lvlText w:val="(%2)"/>
      <w:numFmt w:val="lowerRoman"/>
      <w:start w:val="1"/>
    </w:lvl>
  </w:abstractNum>
  <w:abstractNum w:abstractNumId="153">
    <w:nsid w:val="64AF49B"/>
    <w:multiLevelType w:val="hybridMultilevel"/>
    <w:lvl w:ilvl="0">
      <w:lvlJc w:val="left"/>
      <w:lvlText w:val="%1"/>
      <w:numFmt w:val="decimal"/>
      <w:start w:val="1"/>
    </w:lvl>
    <w:lvl w:ilvl="1">
      <w:lvlJc w:val="left"/>
      <w:lvlText w:val="(%2)"/>
      <w:numFmt w:val="lowerLetter"/>
      <w:start w:val="1"/>
    </w:lvl>
  </w:abstractNum>
  <w:abstractNum w:abstractNumId="154">
    <w:nsid w:val="397C46BC"/>
    <w:multiLevelType w:val="hybridMultilevel"/>
    <w:lvl w:ilvl="0">
      <w:lvlJc w:val="left"/>
      <w:lvlText w:val="%1."/>
      <w:numFmt w:val="decimal"/>
      <w:start w:val="6"/>
    </w:lvl>
    <w:lvl w:ilvl="1">
      <w:lvlJc w:val="left"/>
      <w:lvlText w:val="%2"/>
      <w:numFmt w:val="lowerLetter"/>
      <w:start w:val="1"/>
    </w:lvl>
  </w:abstractNum>
  <w:abstractNum w:abstractNumId="155">
    <w:nsid w:val="7E448DE9"/>
    <w:multiLevelType w:val="hybridMultilevel"/>
    <w:lvl w:ilvl="0">
      <w:lvlJc w:val="left"/>
      <w:lvlText w:val="%1."/>
      <w:numFmt w:val="decimal"/>
      <w:start w:val="7"/>
    </w:lvl>
  </w:abstractNum>
  <w:abstractNum w:abstractNumId="156">
    <w:nsid w:val="5A9CC3E5"/>
    <w:multiLevelType w:val="hybridMultilevel"/>
    <w:lvl w:ilvl="0">
      <w:lvlJc w:val="left"/>
      <w:lvlText w:val="(%1)"/>
      <w:numFmt w:val="lowerLetter"/>
      <w:start w:val="1"/>
    </w:lvl>
    <w:lvl w:ilvl="1">
      <w:lvlJc w:val="left"/>
      <w:lvlText w:val="(%2)"/>
      <w:numFmt w:val="lowerRoman"/>
      <w:start w:val="1"/>
    </w:lvl>
  </w:abstractNum>
  <w:abstractNum w:abstractNumId="157">
    <w:nsid w:val="1AFE3625"/>
    <w:multiLevelType w:val="hybridMultilevel"/>
    <w:lvl w:ilvl="0">
      <w:lvlJc w:val="left"/>
      <w:lvlText w:val="(%1)"/>
      <w:numFmt w:val="lowerLetter"/>
      <w:start w:val="1"/>
    </w:lvl>
  </w:abstractNum>
  <w:abstractNum w:abstractNumId="158">
    <w:nsid w:val="3CA88ECF"/>
    <w:multiLevelType w:val="hybridMultilevel"/>
    <w:lvl w:ilvl="0">
      <w:lvlJc w:val="left"/>
      <w:lvlText w:val="(%1)"/>
      <w:numFmt w:val="lowerLetter"/>
      <w:start w:val="1"/>
    </w:lvl>
    <w:lvl w:ilvl="1">
      <w:lvlJc w:val="left"/>
      <w:lvlText w:val="(%2)"/>
      <w:numFmt w:val="lowerRoman"/>
      <w:start w:val="1"/>
    </w:lvl>
  </w:abstractNum>
  <w:abstractNum w:abstractNumId="159">
    <w:nsid w:val="6EBE4208"/>
    <w:multiLevelType w:val="hybridMultilevel"/>
    <w:lvl w:ilvl="0">
      <w:lvlJc w:val="left"/>
      <w:lvlText w:val="(%1)"/>
      <w:numFmt w:val="lowerLetter"/>
      <w:start w:val="1"/>
    </w:lvl>
  </w:abstractNum>
  <w:abstractNum w:abstractNumId="160">
    <w:nsid w:val="C058DF5"/>
    <w:multiLevelType w:val="hybridMultilevel"/>
    <w:lvl w:ilvl="0">
      <w:lvlJc w:val="left"/>
      <w:lvlText w:val="%1"/>
      <w:numFmt w:val="decimal"/>
      <w:start w:val="1"/>
    </w:lvl>
    <w:lvl w:ilvl="1">
      <w:lvlJc w:val="left"/>
      <w:lvlText w:val="(%2)"/>
      <w:numFmt w:val="lowerLetter"/>
      <w:start w:val="1"/>
    </w:lvl>
  </w:abstractNum>
  <w:abstractNum w:abstractNumId="161">
    <w:nsid w:val="CBE5BE9"/>
    <w:multiLevelType w:val="hybridMultilevel"/>
    <w:lvl w:ilvl="0">
      <w:lvlJc w:val="left"/>
      <w:lvlText w:val="%1."/>
      <w:numFmt w:val="decimal"/>
      <w:start w:val="8"/>
    </w:lvl>
    <w:lvl w:ilvl="1">
      <w:lvlJc w:val="left"/>
      <w:lvlText w:val="%2"/>
      <w:numFmt w:val="lowerLetter"/>
      <w:start w:val="1"/>
    </w:lvl>
  </w:abstractNum>
  <w:abstractNum w:abstractNumId="162">
    <w:nsid w:val="3102BBE2"/>
    <w:multiLevelType w:val="hybridMultilevel"/>
    <w:lvl w:ilvl="0">
      <w:lvlJc w:val="left"/>
      <w:lvlText w:val="(%1)"/>
      <w:numFmt w:val="lowerLetter"/>
      <w:start w:val="1"/>
    </w:lvl>
  </w:abstractNum>
  <w:abstractNum w:abstractNumId="163">
    <w:nsid w:val="26A02C5E"/>
    <w:multiLevelType w:val="hybridMultilevel"/>
    <w:lvl w:ilvl="0">
      <w:lvlJc w:val="left"/>
      <w:lvlText w:val="(%1)"/>
      <w:numFmt w:val="lowerLetter"/>
      <w:start w:val="1"/>
    </w:lvl>
  </w:abstractNum>
  <w:abstractNum w:abstractNumId="164">
    <w:nsid w:val="541C8153"/>
    <w:multiLevelType w:val="hybridMultilevel"/>
    <w:lvl w:ilvl="0">
      <w:lvlJc w:val="left"/>
      <w:lvlText w:val="(%1)"/>
      <w:numFmt w:val="lowerLetter"/>
      <w:start w:val="1"/>
    </w:lvl>
  </w:abstractNum>
  <w:abstractNum w:abstractNumId="165">
    <w:nsid w:val="67906F60"/>
    <w:multiLevelType w:val="hybridMultilevel"/>
    <w:lvl w:ilvl="0">
      <w:lvlJc w:val="left"/>
      <w:lvlText w:val="(%1)"/>
      <w:numFmt w:val="lowerLetter"/>
      <w:start w:val="1"/>
    </w:lvl>
  </w:abstractNum>
  <w:abstractNum w:abstractNumId="166">
    <w:nsid w:val="10DB9DAA"/>
    <w:multiLevelType w:val="hybridMultilevel"/>
    <w:lvl w:ilvl="0">
      <w:lvlJc w:val="left"/>
      <w:lvlText w:val="%1."/>
      <w:numFmt w:val="decimal"/>
      <w:start w:val="9"/>
    </w:lvl>
  </w:abstractNum>
  <w:abstractNum w:abstractNumId="167">
    <w:nsid w:val="697D2D2"/>
    <w:multiLevelType w:val="hybridMultilevel"/>
    <w:lvl w:ilvl="0">
      <w:lvlJc w:val="left"/>
      <w:lvlText w:val="(%1)"/>
      <w:numFmt w:val="lowerLetter"/>
      <w:start w:val="1"/>
    </w:lvl>
  </w:abstractNum>
  <w:abstractNum w:abstractNumId="168">
    <w:nsid w:val="6D68AB2"/>
    <w:multiLevelType w:val="hybridMultilevel"/>
    <w:lvl w:ilvl="0">
      <w:lvlJc w:val="left"/>
      <w:lvlText w:val="(%1)"/>
      <w:numFmt w:val="lowerLetter"/>
      <w:start w:val="5"/>
    </w:lvl>
  </w:abstractNum>
  <w:abstractNum w:abstractNumId="169">
    <w:nsid w:val="3A966CD0"/>
    <w:multiLevelType w:val="hybridMultilevel"/>
    <w:lvl w:ilvl="0">
      <w:lvlJc w:val="left"/>
      <w:lvlText w:val="(%1)"/>
      <w:numFmt w:val="lowerLetter"/>
      <w:start w:val="1"/>
    </w:lvl>
    <w:lvl w:ilvl="1">
      <w:lvlJc w:val="left"/>
      <w:lvlText w:val="(%2)"/>
      <w:numFmt w:val="lowerRoman"/>
      <w:start w:val="1"/>
    </w:lvl>
  </w:abstractNum>
  <w:abstractNum w:abstractNumId="170">
    <w:nsid w:val="63F37E85"/>
    <w:multiLevelType w:val="hybridMultilevel"/>
    <w:lvl w:ilvl="0">
      <w:lvlJc w:val="left"/>
      <w:lvlText w:val="%1."/>
      <w:numFmt w:val="decimal"/>
      <w:start w:val="10"/>
    </w:lvl>
  </w:abstractNum>
  <w:abstractNum w:abstractNumId="171">
    <w:nsid w:val="5895F5FA"/>
    <w:multiLevelType w:val="hybridMultilevel"/>
    <w:lvl w:ilvl="0">
      <w:lvlJc w:val="left"/>
      <w:lvlText w:val="(%1)"/>
      <w:numFmt w:val="lowerLetter"/>
      <w:start w:val="1"/>
    </w:lvl>
  </w:abstractNum>
  <w:abstractNum w:abstractNumId="172">
    <w:nsid w:val="38A5D054"/>
    <w:multiLevelType w:val="hybridMultilevel"/>
    <w:lvl w:ilvl="0">
      <w:lvlJc w:val="left"/>
      <w:lvlText w:val="(%1)"/>
      <w:numFmt w:val="lowerLetter"/>
      <w:start w:val="2"/>
    </w:lvl>
    <w:lvl w:ilvl="1">
      <w:lvlJc w:val="left"/>
      <w:lvlText w:val="(%2)"/>
      <w:numFmt w:val="lowerRoman"/>
      <w:start w:val="1"/>
    </w:lvl>
  </w:abstractNum>
  <w:abstractNum w:abstractNumId="173">
    <w:nsid w:val="F3F09D8"/>
    <w:multiLevelType w:val="hybridMultilevel"/>
    <w:lvl w:ilvl="0">
      <w:lvlJc w:val="left"/>
      <w:lvlText w:val="(%1)"/>
      <w:numFmt w:val="lowerLetter"/>
      <w:start w:val="1"/>
    </w:lvl>
  </w:abstractNum>
  <w:abstractNum w:abstractNumId="174">
    <w:nsid w:val="4B793735"/>
    <w:multiLevelType w:val="hybridMultilevel"/>
    <w:lvl w:ilvl="0">
      <w:lvlJc w:val="left"/>
      <w:lvlText w:val="(%1)"/>
      <w:numFmt w:val="lowerLetter"/>
      <w:start w:val="1"/>
    </w:lvl>
    <w:lvl w:ilvl="1">
      <w:lvlJc w:val="left"/>
      <w:lvlText w:val="(%2)"/>
      <w:numFmt w:val="lowerRoman"/>
      <w:start w:val="1"/>
    </w:lvl>
  </w:abstractNum>
  <w:abstractNum w:abstractNumId="175">
    <w:nsid w:val="4A10B4E8"/>
    <w:multiLevelType w:val="hybridMultilevel"/>
    <w:lvl w:ilvl="0">
      <w:lvlJc w:val="left"/>
      <w:lvlText w:val="%1."/>
      <w:numFmt w:val="decimal"/>
      <w:start w:val="12"/>
    </w:lvl>
  </w:abstractNum>
  <w:abstractNum w:abstractNumId="176">
    <w:nsid w:val="43D3BCD4"/>
    <w:multiLevelType w:val="hybridMultilevel"/>
    <w:lvl w:ilvl="0">
      <w:lvlJc w:val="left"/>
      <w:lvlText w:val="(%1)"/>
      <w:numFmt w:val="lowerLetter"/>
      <w:start w:val="1"/>
    </w:lvl>
  </w:abstractNum>
  <w:abstractNum w:abstractNumId="177">
    <w:nsid w:val="4C2A7166"/>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78">
    <w:nsid w:val="2E534A82"/>
    <w:multiLevelType w:val="hybridMultilevel"/>
    <w:lvl w:ilvl="0">
      <w:lvlJc w:val="left"/>
      <w:lvlText w:val="(%1)"/>
      <w:numFmt w:val="lowerLetter"/>
      <w:start w:val="1"/>
    </w:lvl>
  </w:abstractNum>
  <w:abstractNum w:abstractNumId="179">
    <w:nsid w:val="26F2D364"/>
    <w:multiLevelType w:val="hybridMultilevel"/>
    <w:lvl w:ilvl="0">
      <w:lvlJc w:val="left"/>
      <w:lvlText w:val="(%1)"/>
      <w:numFmt w:val="lowerLetter"/>
      <w:start w:val="4"/>
    </w:lvl>
  </w:abstractNum>
  <w:abstractNum w:abstractNumId="180">
    <w:nsid w:val="71C1AF98"/>
    <w:multiLevelType w:val="hybridMultilevel"/>
    <w:lvl w:ilvl="0">
      <w:lvlJc w:val="left"/>
      <w:lvlText w:val="(%1)"/>
      <w:numFmt w:val="lowerLetter"/>
      <w:start w:val="1"/>
    </w:lvl>
    <w:lvl w:ilvl="1">
      <w:lvlJc w:val="left"/>
      <w:lvlText w:val="(%2)"/>
      <w:numFmt w:val="lowerRoman"/>
      <w:start w:val="1"/>
    </w:lvl>
  </w:abstractNum>
  <w:abstractNum w:abstractNumId="181">
    <w:nsid w:val="3D00B9D9"/>
    <w:multiLevelType w:val="hybridMultilevel"/>
    <w:lvl w:ilvl="0">
      <w:lvlJc w:val="left"/>
      <w:lvlText w:val="(%1)"/>
      <w:numFmt w:val="lowerLetter"/>
      <w:start w:val="1"/>
    </w:lvl>
  </w:abstractNum>
  <w:abstractNum w:abstractNumId="182">
    <w:nsid w:val="15BCABA8"/>
    <w:multiLevelType w:val="hybridMultilevel"/>
    <w:lvl w:ilvl="0">
      <w:lvlJc w:val="left"/>
      <w:lvlText w:val="(%1)"/>
      <w:numFmt w:val="lowerLetter"/>
      <w:start w:val="1"/>
    </w:lvl>
    <w:lvl w:ilvl="1">
      <w:lvlJc w:val="left"/>
      <w:lvlText w:val="(%2)"/>
      <w:numFmt w:val="lowerRoman"/>
      <w:start w:val="1"/>
    </w:lvl>
  </w:abstractNum>
  <w:abstractNum w:abstractNumId="183">
    <w:nsid w:val="4E0B9A87"/>
    <w:multiLevelType w:val="hybridMultilevel"/>
    <w:lvl w:ilvl="0">
      <w:lvlJc w:val="left"/>
      <w:lvlText w:val="%1."/>
      <w:numFmt w:val="decimal"/>
      <w:start w:val="16"/>
    </w:lvl>
  </w:abstractNum>
  <w:abstractNum w:abstractNumId="184">
    <w:nsid w:val="434BAE75"/>
    <w:multiLevelType w:val="hybridMultilevel"/>
    <w:lvl w:ilvl="0">
      <w:lvlJc w:val="left"/>
      <w:lvlText w:val="%1."/>
      <w:numFmt w:val="decimal"/>
      <w:start w:val="18"/>
    </w:lvl>
  </w:abstractNum>
  <w:abstractNum w:abstractNumId="185">
    <w:nsid w:val="4F38F265"/>
    <w:multiLevelType w:val="hybridMultilevel"/>
    <w:lvl w:ilvl="0">
      <w:lvlJc w:val="left"/>
      <w:lvlText w:val="(%1)"/>
      <w:numFmt w:val="lowerLetter"/>
      <w:start w:val="1"/>
    </w:lvl>
  </w:abstractNum>
  <w:abstractNum w:abstractNumId="186">
    <w:nsid w:val="4C502870"/>
    <w:multiLevelType w:val="hybridMultilevel"/>
    <w:lvl w:ilvl="0">
      <w:lvlJc w:val="left"/>
      <w:lvlText w:val="(%1)"/>
      <w:numFmt w:val="lowerLetter"/>
      <w:start w:val="1"/>
    </w:lvl>
  </w:abstractNum>
  <w:abstractNum w:abstractNumId="187">
    <w:nsid w:val="1DE8725A"/>
    <w:multiLevelType w:val="hybridMultilevel"/>
    <w:lvl w:ilvl="0">
      <w:lvlJc w:val="left"/>
      <w:lvlText w:val="%1."/>
      <w:numFmt w:val="decimal"/>
      <w:start w:val="19"/>
    </w:lvl>
  </w:abstractNum>
  <w:abstractNum w:abstractNumId="188">
    <w:nsid w:val="6A37288A"/>
    <w:multiLevelType w:val="hybridMultilevel"/>
    <w:lvl w:ilvl="0">
      <w:lvlJc w:val="left"/>
      <w:lvlText w:val="(%1)"/>
      <w:numFmt w:val="decimal"/>
      <w:start w:val="1"/>
    </w:lvl>
  </w:abstractNum>
  <w:abstractNum w:abstractNumId="189">
    <w:nsid w:val="8F8B73F"/>
    <w:multiLevelType w:val="hybridMultilevel"/>
    <w:lvl w:ilvl="0">
      <w:lvlJc w:val="left"/>
      <w:lvlText w:val="%1"/>
      <w:numFmt w:val="decimal"/>
      <w:start w:val="1"/>
    </w:lvl>
    <w:lvl w:ilvl="1">
      <w:lvlJc w:val="left"/>
      <w:lvlText w:val="(%2)"/>
      <w:numFmt w:val="decimal"/>
      <w:start w:val="2"/>
    </w:lvl>
  </w:abstractNum>
  <w:abstractNum w:abstractNumId="190">
    <w:nsid w:val="CA6B462"/>
    <w:multiLevelType w:val="hybridMultilevel"/>
    <w:lvl w:ilvl="0">
      <w:lvlJc w:val="left"/>
      <w:lvlText w:val="%1."/>
      <w:numFmt w:val="decimal"/>
      <w:start w:val="13"/>
    </w:lvl>
    <w:lvl w:ilvl="1">
      <w:lvlJc w:val="left"/>
      <w:lvlText w:val="%2"/>
      <w:numFmt w:val="decimal"/>
      <w:start w:val="1"/>
    </w:lvl>
  </w:abstractNum>
  <w:abstractNum w:abstractNumId="191">
    <w:nsid w:val="763CB680"/>
    <w:multiLevelType w:val="hybridMultilevel"/>
    <w:lvl w:ilvl="0">
      <w:lvlJc w:val="left"/>
      <w:lvlText w:val="(%1)"/>
      <w:numFmt w:val="decimal"/>
      <w:start w:val="1"/>
    </w:lvl>
  </w:abstractNum>
  <w:abstractNum w:abstractNumId="192">
    <w:nsid w:val="15B71329"/>
    <w:multiLevelType w:val="hybridMultilevel"/>
    <w:lvl w:ilvl="0">
      <w:lvlJc w:val="left"/>
      <w:lvlText w:val="(%1)"/>
      <w:numFmt w:val="decimal"/>
      <w:start w:val="1"/>
    </w:lvl>
    <w:lvl w:ilvl="1">
      <w:lvlJc w:val="left"/>
      <w:lvlText w:val="(%2)"/>
      <w:numFmt w:val="decimal"/>
      <w:start w:val="1"/>
    </w:lvl>
  </w:abstractNum>
  <w:abstractNum w:abstractNumId="193">
    <w:nsid w:val="3DA97044"/>
    <w:multiLevelType w:val="hybridMultilevel"/>
    <w:lvl w:ilvl="0">
      <w:lvlJc w:val="left"/>
      <w:lvlText w:val="%1"/>
      <w:numFmt w:val="decimal"/>
      <w:start w:val="1"/>
    </w:lvl>
    <w:lvl w:ilvl="1">
      <w:lvlJc w:val="left"/>
      <w:lvlText w:val="(%2)"/>
      <w:numFmt w:val="decimal"/>
      <w:start w:val="2"/>
    </w:lvl>
  </w:abstractNum>
  <w:abstractNum w:abstractNumId="194">
    <w:nsid w:val="1CDCE2DE"/>
    <w:multiLevelType w:val="hybridMultilevel"/>
    <w:lvl w:ilvl="0">
      <w:lvlJc w:val="left"/>
      <w:lvlText w:val="%1."/>
      <w:numFmt w:val="decimal"/>
      <w:start w:val="14"/>
    </w:lvl>
    <w:lvl w:ilvl="1">
      <w:lvlJc w:val="left"/>
      <w:lvlText w:val="%2"/>
      <w:numFmt w:val="decimal"/>
      <w:start w:val="1"/>
    </w:lvl>
  </w:abstractNum>
  <w:abstractNum w:abstractNumId="195">
    <w:nsid w:val="69D3947C"/>
    <w:multiLevelType w:val="hybridMultilevel"/>
    <w:lvl w:ilvl="0">
      <w:lvlJc w:val="left"/>
      <w:lvlText w:val="(%1)"/>
      <w:numFmt w:val="decimal"/>
      <w:start w:val="1"/>
    </w:lvl>
  </w:abstractNum>
  <w:abstractNum w:abstractNumId="196">
    <w:nsid w:val="2539DFA5"/>
    <w:multiLevelType w:val="hybridMultilevel"/>
    <w:lvl w:ilvl="0">
      <w:lvlJc w:val="left"/>
      <w:lvlText w:val="(%1)"/>
      <w:numFmt w:val="decimal"/>
      <w:start w:val="1"/>
    </w:lvl>
  </w:abstractNum>
  <w:abstractNum w:abstractNumId="197">
    <w:nsid w:val="2DB88089"/>
    <w:multiLevelType w:val="hybridMultilevel"/>
    <w:lvl w:ilvl="0">
      <w:lvlJc w:val="left"/>
      <w:lvlText w:val="%1)"/>
      <w:numFmt w:val="lowerLetter"/>
      <w:start w:val="1"/>
    </w:lvl>
    <w:lvl w:ilvl="1">
      <w:lvlJc w:val="left"/>
      <w:lvlText w:val="(%2)"/>
      <w:numFmt w:val="decimal"/>
      <w:start w:val="1"/>
    </w:lvl>
  </w:abstractNum>
  <w:abstractNum w:abstractNumId="198">
    <w:nsid w:val="706B674E"/>
    <w:multiLevelType w:val="hybridMultilevel"/>
    <w:lvl w:ilvl="0">
      <w:lvlJc w:val="left"/>
      <w:lvlText w:val="(%1)"/>
      <w:numFmt w:val="decimal"/>
      <w:start w:val="1"/>
    </w:lvl>
  </w:abstractNum>
  <w:abstractNum w:abstractNumId="199">
    <w:nsid w:val="2C106A57"/>
    <w:multiLevelType w:val="hybridMultilevel"/>
    <w:lvl w:ilvl="0">
      <w:lvlJc w:val="left"/>
      <w:lvlText w:val="%1."/>
      <w:numFmt w:val="decimal"/>
      <w:start w:val="1"/>
    </w:lvl>
    <w:lvl w:ilvl="1">
      <w:lvlJc w:val="left"/>
      <w:lvlText w:val="%2."/>
      <w:numFmt w:val="decimal"/>
      <w:start w:val="1"/>
    </w:lvl>
  </w:abstractNum>
  <w:abstractNum w:abstractNumId="200">
    <w:nsid w:val="684EED59"/>
    <w:multiLevelType w:val="hybridMultilevel"/>
    <w:lvl w:ilvl="0">
      <w:lvlJc w:val="left"/>
      <w:lvlText w:val="%1"/>
      <w:numFmt w:val="decimal"/>
      <w:start w:val="1"/>
    </w:lvl>
    <w:lvl w:ilvl="1">
      <w:lvlJc w:val="left"/>
      <w:lvlText w:val="%2."/>
      <w:numFmt w:val="decimal"/>
      <w:start w:val="4"/>
    </w:lvl>
  </w:abstractNum>
  <w:abstractNum w:abstractNumId="201">
    <w:nsid w:val="545EE5D3"/>
    <w:multiLevelType w:val="hybridMultilevel"/>
    <w:lvl w:ilvl="0">
      <w:lvlJc w:val="left"/>
      <w:lvlText w:val="%1."/>
      <w:numFmt w:val="decimal"/>
      <w:start w:val="3"/>
    </w:lvl>
    <w:lvl w:ilvl="1">
      <w:lvlJc w:val="left"/>
      <w:lvlText w:val="%2."/>
      <w:numFmt w:val="decimal"/>
      <w:start w:val="1"/>
    </w:lvl>
  </w:abstractNum>
  <w:abstractNum w:abstractNumId="202">
    <w:nsid w:val="4A66051"/>
    <w:multiLevelType w:val="hybridMultilevel"/>
    <w:lvl w:ilvl="0">
      <w:lvlJc w:val="left"/>
      <w:lvlText w:val="%1."/>
      <w:numFmt w:val="decimal"/>
      <w:start w:val="1"/>
    </w:lvl>
  </w:abstractNum>
  <w:abstractNum w:abstractNumId="203">
    <w:nsid w:val="20F4BDAD"/>
    <w:multiLevelType w:val="hybridMultilevel"/>
    <w:lvl w:ilvl="0">
      <w:lvlJc w:val="left"/>
      <w:lvlText w:val="%1."/>
      <w:numFmt w:val="decimal"/>
      <w:start w:val="2"/>
    </w:lvl>
  </w:abstractNum>
  <w:abstractNum w:abstractNumId="204">
    <w:nsid w:val="639DEFAC"/>
    <w:multiLevelType w:val="hybridMultilevel"/>
    <w:lvl w:ilvl="0">
      <w:lvlJc w:val="left"/>
      <w:lvlText w:val="%1."/>
      <w:numFmt w:val="decimal"/>
      <w:start w:val="3"/>
    </w:lvl>
  </w:abstractNum>
  <w:abstractNum w:abstractNumId="205">
    <w:nsid w:val="501F9786"/>
    <w:multiLevelType w:val="hybridMultilevel"/>
    <w:lvl w:ilvl="0">
      <w:lvlJc w:val="left"/>
      <w:lvlText w:val="%1."/>
      <w:numFmt w:val="decimal"/>
      <w:start w:val="4"/>
    </w:lvl>
  </w:abstractNum>
  <w:abstractNum w:abstractNumId="206">
    <w:nsid w:val="6B057295"/>
    <w:multiLevelType w:val="hybridMultilevel"/>
    <w:lvl w:ilvl="0">
      <w:lvlJc w:val="left"/>
      <w:lvlText w:val="]"/>
      <w:numFmt w:val="bullet"/>
      <w:start w:val="1"/>
    </w:lvl>
  </w:abstractNum>
  <w:abstractNum w:abstractNumId="207">
    <w:nsid w:val="2771AC80"/>
    <w:multiLevelType w:val="hybridMultilevel"/>
    <w:lvl w:ilvl="0">
      <w:lvlJc w:val="left"/>
      <w:lvlText w:val="%1."/>
      <w:numFmt w:val="decimal"/>
      <w:start w:val="5"/>
    </w:lvl>
  </w:abstractNum>
  <w:abstractNum w:abstractNumId="208">
    <w:nsid w:val="1C4A08EC"/>
    <w:multiLevelType w:val="hybridMultilevel"/>
    <w:lvl w:ilvl="0">
      <w:lvlJc w:val="left"/>
      <w:lvlText w:val="%1."/>
      <w:numFmt w:val="decimal"/>
      <w:start w:val="6"/>
    </w:lvl>
  </w:abstractNum>
  <w:abstractNum w:abstractNumId="209">
    <w:nsid w:val="1958BD17"/>
    <w:multiLevelType w:val="hybridMultilevel"/>
    <w:lvl w:ilvl="0">
      <w:lvlJc w:val="left"/>
      <w:lvlText w:val="%1."/>
      <w:numFmt w:val="decimal"/>
      <w:start w:val="7"/>
    </w:lvl>
  </w:abstractNum>
  <w:abstractNum w:abstractNumId="210">
    <w:nsid w:val="4E647FE4"/>
    <w:multiLevelType w:val="hybridMultilevel"/>
    <w:lvl w:ilvl="0">
      <w:lvlJc w:val="left"/>
      <w:lvlText w:val="(%1)"/>
      <w:numFmt w:val="decimal"/>
      <w:start w:val="1"/>
    </w:lvl>
  </w:abstractNum>
  <w:abstractNum w:abstractNumId="211">
    <w:nsid w:val="E0BB885"/>
    <w:multiLevelType w:val="hybridMultilevel"/>
    <w:lvl w:ilvl="0">
      <w:lvlJc w:val="left"/>
      <w:lvlText w:val="(%1)"/>
      <w:numFmt w:val="decimal"/>
      <w:start w:val="1"/>
    </w:lvl>
  </w:abstractNum>
  <w:abstractNum w:abstractNumId="212">
    <w:nsid w:val="565976F1"/>
    <w:multiLevelType w:val="hybridMultilevel"/>
    <w:lvl w:ilvl="0">
      <w:lvlJc w:val="left"/>
      <w:lvlText w:val="%1."/>
      <w:numFmt w:val="decimal"/>
      <w:start w:val="8"/>
    </w:lvl>
  </w:abstractNum>
  <w:abstractNum w:abstractNumId="213">
    <w:nsid w:val="64212B8C"/>
    <w:multiLevelType w:val="hybridMultilevel"/>
    <w:lvl w:ilvl="0">
      <w:lvlJc w:val="left"/>
      <w:lvlText w:val="%1."/>
      <w:numFmt w:val="decimal"/>
      <w:start w:val="9"/>
    </w:lvl>
  </w:abstractNum>
  <w:abstractNum w:abstractNumId="214">
    <w:nsid w:val="5C17530C"/>
    <w:multiLevelType w:val="hybridMultilevel"/>
    <w:lvl w:ilvl="0">
      <w:lvlJc w:val="left"/>
      <w:lvlText w:val="%1."/>
      <w:numFmt w:val="decimal"/>
      <w:start w:val="10"/>
    </w:lvl>
  </w:abstractNum>
  <w:abstractNum w:abstractNumId="215">
    <w:nsid w:val="19A52566"/>
    <w:multiLevelType w:val="hybridMultilevel"/>
    <w:lvl w:ilvl="0">
      <w:lvlJc w:val="left"/>
      <w:lvlText w:val="(%1)"/>
      <w:numFmt w:val="decimal"/>
      <w:start w:val="1"/>
    </w:lvl>
  </w:abstractNum>
  <w:abstractNum w:abstractNumId="216">
    <w:nsid w:val="335A1DF1"/>
    <w:multiLevelType w:val="hybridMultilevel"/>
    <w:lvl w:ilvl="0">
      <w:lvlJc w:val="left"/>
      <w:lvlText w:val="%1."/>
      <w:numFmt w:val="decimal"/>
      <w:start w:val="11"/>
    </w:lvl>
  </w:abstractNum>
  <w:abstractNum w:abstractNumId="217">
    <w:nsid w:val="28677B7C"/>
    <w:multiLevelType w:val="hybridMultilevel"/>
    <w:lvl w:ilvl="0">
      <w:lvlJc w:val="left"/>
      <w:lvlText w:val="(%1)"/>
      <w:numFmt w:val="decimal"/>
      <w:start w:val="1"/>
    </w:lvl>
  </w:abstractNum>
  <w:abstractNum w:abstractNumId="218">
    <w:nsid w:val="378D97C0"/>
    <w:multiLevelType w:val="hybridMultilevel"/>
    <w:lvl w:ilvl="0">
      <w:lvlJc w:val="left"/>
      <w:lvlText w:val="%1."/>
      <w:numFmt w:val="decimal"/>
      <w:start w:val="1"/>
    </w:lvl>
  </w:abstractNum>
  <w:abstractNum w:abstractNumId="219">
    <w:nsid w:val="1D91467C"/>
    <w:multiLevelType w:val="hybridMultilevel"/>
    <w:lvl w:ilvl="0">
      <w:lvlJc w:val="left"/>
      <w:lvlText w:val="%1."/>
      <w:numFmt w:val="decimal"/>
      <w:start w:val="2"/>
    </w:lvl>
  </w:abstractNum>
  <w:abstractNum w:abstractNumId="220">
    <w:nsid w:val="316032BB"/>
    <w:multiLevelType w:val="hybridMultilevel"/>
    <w:lvl w:ilvl="0">
      <w:lvlJc w:val="left"/>
      <w:lvlText w:val="%1."/>
      <w:numFmt w:val="decimal"/>
      <w:start w:val="4"/>
    </w:lvl>
  </w:abstractNum>
  <w:abstractNum w:abstractNumId="221">
    <w:nsid w:val="44344C22"/>
    <w:multiLevelType w:val="hybridMultilevel"/>
    <w:lvl w:ilvl="0">
      <w:lvlJc w:val="left"/>
      <w:lvlText w:val="%1."/>
      <w:numFmt w:val="decimal"/>
      <w:start w:val="6"/>
    </w:lvl>
  </w:abstractNum>
  <w:abstractNum w:abstractNumId="222">
    <w:nsid w:val="13CDFCFC"/>
    <w:multiLevelType w:val="hybridMultilevel"/>
    <w:lvl w:ilvl="0">
      <w:lvlJc w:val="left"/>
      <w:lvlText w:val="%1."/>
      <w:numFmt w:val="decimal"/>
      <w:start w:val="7"/>
    </w:lvl>
  </w:abstractNum>
  <w:abstractNum w:abstractNumId="223">
    <w:nsid w:val="471745E4"/>
    <w:multiLevelType w:val="hybridMultilevel"/>
    <w:lvl w:ilvl="0">
      <w:lvlJc w:val="left"/>
      <w:lvlText w:val="%1."/>
      <w:numFmt w:val="decimal"/>
      <w:start w:val="8"/>
    </w:lvl>
  </w:abstractNum>
  <w:abstractNum w:abstractNumId="224">
    <w:nsid w:val="1DDBC66"/>
    <w:multiLevelType w:val="hybridMultilevel"/>
    <w:lvl w:ilvl="0">
      <w:lvlJc w:val="left"/>
      <w:lvlText w:val="%1."/>
      <w:numFmt w:val="decimal"/>
      <w:start w:val="9"/>
    </w:lvl>
  </w:abstractNum>
  <w:abstractNum w:abstractNumId="225">
    <w:nsid w:val="30AADFDA"/>
    <w:multiLevelType w:val="hybridMultilevel"/>
    <w:lvl w:ilvl="0">
      <w:lvlJc w:val="left"/>
      <w:lvlText w:val="(%1)"/>
      <w:numFmt w:val="decimal"/>
      <w:start w:val="1"/>
    </w:lvl>
  </w:abstractNum>
  <w:abstractNum w:abstractNumId="226">
    <w:nsid w:val="30EADA6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2019-12-08T18:29:25Z</dcterms:created>
  <dcterms:modified xsi:type="dcterms:W3CDTF">2019-12-08T18:29:25Z</dcterms:modified>
</cp:coreProperties>
</file>