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0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March 5, 2024, CLPS Inc. (the “Company”) issued a press release announcing its financial results for the six months ended December 31, 2023, or the first half of the Company’s fiscal year 2024. A copy of this press release is filed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Reports Financial Results for the First Half of Fiscal Year 2024</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Hong Kong, March 5, 2024 /PRNewswire/ — CLPS Incorporation (the “Company” or “CLPS”) (Nasdaq: CLPS), today announced its unaudited financial results for the six months ended December 31, 2023, or the first half of the Company’s fiscal year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this period, CLPS navigated a challenging global economic landscape due to factors such as economic slowdown and the impact of exchange rate fluctuation between the RMB and the U.S. dollar, given its reporting currency. While these factors impacted business development, they also provided valuable insights and strengthened the Company’s ability to navigate such dynamic environments.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Observing a temporary reduction in demand for certain IT services from established clients due to budget adjustments, particularly in banking and e-commerce areas, CLPS offset revenue challenges by strategically acquiring new clients, innovating product development, diversifying revenue streams, and implementing proactive market solutions. Increased compensation expenses linked to the growing demand for IT professionals were effectively managed through the Company’s Talent Creation Program (“TCP”) and Talent Development Program (“TDP”). These programs seamlessly blend education, training, and service delivery, not only mitigating the impact of rising manpower costs but also reinforcing CLPS’s commitment to nurturing top talents.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consistent execution of its global expansion strategy, coupled with investments in advanced technology, extensive research, and a deep understanding of client needs, CLPS has built a strong industry reputation, enhanced its competitiveness, and solidified its bargaining power over the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2024 Highlights (all results compared to the six months ended December 31, 2022)</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United States increased by 92.7% to $1.9 million from $1.0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outside of mainland China increased by 25.4% to $9.0 million from $7.2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automotive area increased by 10.7% to $7.2 million from $6.5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decreased by 2.6% to $16.7 million from $17.1 million.</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Non-GAAP operating expenses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decreased by 8.2% to $13.9 million from $15.2 million.</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$13.1 million, representing the fifth consecutive reporting period of generating positive cash flow from operations.</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Raymond Lin, Chief Executive Officer of CLPS, commented, “Despite facing challenges in the first half of fiscal 2024, I am pleased to share several key developments that demonstrate our commitment to building a strong foundation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Our M&amp;A strategy, exemplified by the acquisition of Purple Potato Finance, has bolstered our overseas credit card business. Similarly, the January 2024 acquisition of College of Allied Educators Pte. Ltd. in Singapore represents a significant step in CLPS’s commitment to developing industry-level IT professionals through our TCP and TDP.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strengthening our global presence, we intensified our business efforts in North America. This included opening a subsidiary in Canada and boosting our U.S. operation, which drove a remarkable 92.7% increase in the U.S. revenue compared to the prior year period. In Southeast Asia, our business in Singapore generated a 15.9% year-over-year revenue increase. Additionally, we generated revenue from our business in Philippines during this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remain dedicated to building a sustainable future by actively nurturing a positive corporate culture through leadership training, university collaborations, strategic partnerships, and enriched talent development opportunities.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champion innovation, showcasing our commitment to staying at the forefront of technology with the launch of an AI-generated content (AIGC) solution and an innovative quantitative trading system. Our active participation in industry events further reinforces our position on staying ahead and engages with the broader tech community.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confidence, we believe these strategic decisions position CLPS for long-term success. We remain dedicated to transparency, innovation, and creating sustainable value for all stakeholders.”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Rui Yang, Chief Financial Officer of CLPS, commented, “We have managed to achieve noteworthy financial results during this period. We actively pursued and secured new revenue streams, including initial sales of IT products. Our global expansion strategy and cost optimization efforts led to 25.4% increase in revenue generated outside of the mainland China, and a 2.6% decrease in operating expenses. Maintaining a healthy cash flow remains a core objective, and we are proud to report our fifth consecutive period of positive cash flow from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demonstrating our commitment to shareholder value, we declared a second special cash dividend of $0.10 per share in November 2023. Looking ahead with unwavering determination, we are confident in our ability to not only overcome potential challenges but also leverage them as opportunities to propel CLPS towards even greater heights of financial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Year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half of fiscal 2024, revenues decreased by $5.0 million, or 6.5%, to $71.8 million from $76.8 million in the prior year period. The decrease was due to the decreased demand from existing clients and the effect of currency fluctuation in RMB against the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Service</w:t>
      </w:r>
    </w:p>
    <w:p>
      <w:pPr>
        <w:spacing w:after="0" w:line="227"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IT consulting services decreased by $3.3 million, or 4.6%, to $69.5 million in the first half of fiscal year 2024 from $72.8 million in the prior year period. Revenue from IT consulting services accounted for 96.8% of total revenue, compared to 94.9% in the prior year period. The decrease was primarily due to existing clients’ increased focus on budget optimization leading to a decrease in demand.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customized IT solution services decreased by $2.0 million, or 61.5%, to $1.2 million in the first half of fiscal 2024 from $3.2 million in the prior year period. Revenue from customized IT solution services accounted for 1.7% of total revenue, compared to 4.1% in the prior year period. The decrease was primarily due to existing clients’ increased focus on budget optimization leading to a decrease in demand.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other services increased by $0.2 million, or 37.5%, to $1.0 million in the first half of fiscal year 2024 from $0.8 million in the prior year period. Revenue from other services accounted for 1.5% of total revenue, compared to 1.0% in the prior year period. The increase was primarily due to the initial revenue generated from IT product sales during this reporting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Operational Areas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banking area decreased by $3.6 million, or 11.2%, to $28.6 million in the first half of fiscal 2024, from $32.2 million in the prior year period. Revenue from banking area accounted for 39.9% and 42.0% of total revenues in the first half of fiscal 2024 and 2023,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wealth management area decreased by $0.2 million, or 1.1%, to $18.6 million in the first half of fiscal 2024, from $18.8 million in the prior year period. Revenue from wealth management area accounted for 25.9% and 24.5% of total revenues in the first half of fiscal 2024 and 2023,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e-Commerce area decreased by $2.7 million, or 20.2%, to $11.0 million in the first half of fiscal 2024, from $13.7 million in the prior year period. Revenue from e-Commerce area accounted for 15.3% and 17.9% of total revenues in the first half of fiscal 2024 and 2023,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automotive area increased by $0.7 million, or 10.7%, to $7.2 million in the first half of fiscal 2024, from $6.5 million in the prior year period. Revenue from automotive area accounted for 10.1% and 8.5% of total revenues in the first half of fiscal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generated outside of the mainland China increased by 25.4% to $9.0 million in the first half of fiscal year 2024, from $7.2 million in the prior year period. The increase was primarily due to the robust performance of our U.S. and Singapore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$15.8 million in the first half of fiscal 2024, compared to $18.5 million in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Selling and marketing expenses increased by $0.04 million, or 1.5%, to $2.72 million in the first half of fiscal 2024 from $2.68 million in the prior year period. As a percentage of total revenues, selling and marketing expenses increased to 3.8% in the first half of fiscal 2024 compared to 3.5% in the prior year period. The increase was primarily due to a decrease in the turnover rate among core employees, resulting in an increase in the provision for non-cash</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share-based compensation expenses. After excluding the non-cash share-based compensation expenses, non-GAAP selling and marketing expenses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decreased by $0.1 million, or 3.5%, to $2.5 million from $2.6 million in the prior year period.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$1.2 million, or 26.7%, to $3.2 million in the first half of fiscal 2024 from $4.4 million in the prior year period. As a percentage of total revenues, research and development expenses decreased to 4.5% in the first half of fiscal 2024 compared to 5.7% in the prior year period. The decrease was primarily due to the decreased demand in customized IT solution services, resulting to a strategic realignment of our R&amp;D department.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$0.5 million, or 4.6%, to $11.2 million in the first half of fiscal 2024 from $10.7 million in the prior year period. As a percentage of total revenues, general and administrative expenses increased to 15.6% in the first half of fiscal 2024 compared to 13.9% in the prior year period. The increase was primarily due to an increase in non-cash share-based compensation expenses. After excluding the non-cash share-based</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compensation expenses, non-GAAP general and administrative expenses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decreased by $0.1 million, or 1.9%, to $8.7 million from $8.8 million in the prior year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was $0.9 million in the first half of fiscal 2024, compared to $1.3 million operating income in the same period of the previous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other income, net of other expenses was $0.1 million in the first half of fiscal 2024, compared to $0.2 million total other income, net of other expenses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income taxes increased by $0.1 million to $0.3 million in the first half of fiscal 2024 from $0.2 million in the same period of the previous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$1.0 million in the first half of fiscal 2024, compared to $1.4 million net income in the prior year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was $1.7 million in the first half of fiscal 2024, compared to $3.3 million in the prior year period.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CLPS Incorporation’s shareholders in the first half of fiscal 2024 was $1.5 million, compared to $1.3 million net income attributable to CLPS Incorporation’s shareholders in the prior year period.</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Non-GAAP net income attributable to CLPS Incorporation’s shareholders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was $1.2 million in the first half of fiscal 2024, compared to $3.2 million in the prior year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cash and cash equivalents of $35.1 million compared to $22.2 million as of June 30, 2023.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$13.1 million. Net cash used in investing activities was approximately $3.2 million. Net cash provided by financing activities was approximately $2.3 million. The effect of exchange rate change on cash was approximately positive $0.7 million. The Company believes that its current cash position and cash flow from operations are sufficient to meet its anticipated cash needs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Undeterred by the short-term challenges, we remain confident about our long-term business growth. For fiscal year 2024, the Company expects, considering our financial numbers could be affected by the floating exchange rate, and absent material acquisitions or non-recurring transactions, total sales growth was adjusted in the range of approximately 5% to 10%, and non-GAAP net income growth in the range of approximately 7% to 12% compared to fiscal year 2023 financial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forecast reflects the Company’s current and preliminary views, which are subject to change and are subject to risks and uncertainties, including, but not limited to various risks and uncertainties facing the Company’s business and operations as identified in its public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with the exception of equity as of December 31, 2023, were translated at 7.0999 RMB to 1.00 USD compared to 7.2513 RMB to 1.00 USD as of June 30, 2023. The equity accounts were stated at their historical rate. The average translation rates applied to the income statements accounts for the periods ended December 31, 2023 and 2022 were 7.2347 RMB to 1.00 USD and 6.9789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Headquartered in Hong Kong, CLPS Incorporation is a global leading information technology (“IT”) consulting and solutions service provider focused on delivering services primarily to global institutions on the banking, wealth management, e-commerce, and automotive sectors. The Company serves as an IT service provider to a growing network of clients in the global financial service industry, including large financial institutions in the U.S., Europe, Australia, Asia, and their PRC-based IT centers. The Company maintains 20 delivery and/or research &amp; development centers to serve different customers in various geographic locations. Mainland China centers are located in Shanghai, Beijing, Dalian, Tianjin, Xi’an, Chengdu, Guangzhou, Shenzhen, Hangzhou, and Hainan. The remaining 10 global centers are located in Hong Kong SAR, USA, Japan, Singapore, Australia, Malaysia, India, Philippines, Vietnam, and Canada.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(formerly Twitter)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YouTube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fiscal year 2024,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operating income, non-GAAP general and administrative expenses, non-GAAP operating margin, non-GAAP net income attributable to CLPS Incorporation’s shareholders, and basic and diluted non-GAAP net income per share, which are non-GAAP financial measures. Non-GAAP operating income is operating income excluding share-based compensation expenses. Non-GAAP general and administrative expenses is a non-GAAP financial measure, which is defined as general and administrative expenses excluding share-based compensation expenses. Non-GAAP operating margin is non-GAAP operating income as a percentage of revenues.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“Unaudited Reconciliations of Non-GAAP and GAAP Results” near the end of this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expenses is a non-GAAP financial measure, which is defined as operating expenses excluding share-based compensation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Please refer to the section titled “Unaudited Reconciliation of Non-GAAP and GAAP Results” for details.</w:t>
      </w:r>
    </w:p>
    <w:p>
      <w:pPr>
        <w:spacing w:after="0" w:line="7" w:lineRule="exact"/>
        <w:rPr>
          <w:sz w:val="20"/>
          <w:szCs w:val="20"/>
          <w:color w:val="auto"/>
        </w:rPr>
      </w:pPr>
    </w:p>
    <w:p>
      <w:pPr>
        <w:ind w:left="340" w:hanging="332"/>
        <w:spacing w:after="0" w:line="187"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selling and marketing expenses is a non-GAAP financial measure, which is defined as selling and marketing expenses excluding share-based compensation expenses. Please refer to the section titled “Unaudited Reconciliation of Non-GAAP and GAAP Results” for details.</w:t>
      </w:r>
    </w:p>
    <w:p>
      <w:pPr>
        <w:spacing w:after="0" w:line="2" w:lineRule="exact"/>
        <w:rPr>
          <w:sz w:val="20"/>
          <w:szCs w:val="20"/>
          <w:color w:val="auto"/>
        </w:rPr>
      </w:pPr>
    </w:p>
    <w:p>
      <w:pPr>
        <w:ind w:left="340" w:hanging="332"/>
        <w:spacing w:after="0" w:line="187"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general and administrative expenses is a non-GAAP financial measure, which is defined as general and administrative expenses excluding share-based compensation expenses. Please refer to the section titled “Unaudited Reconciliation of Non-GAAP and GAAP Results” for details.</w:t>
      </w:r>
    </w:p>
    <w:p>
      <w:pPr>
        <w:ind w:left="340" w:hanging="332"/>
        <w:spacing w:after="0" w:line="181" w:lineRule="auto"/>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Non-GAAP net income is a non-GAAP financial measure, which is defined as net income excluding share-based compensation expenses. Please refer</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section titled “Unaudited Reconciliation of Non-GAAP and GAAP Results” for details.</w:t>
      </w:r>
    </w:p>
    <w:p>
      <w:pPr>
        <w:spacing w:after="0" w:line="7" w:lineRule="exact"/>
        <w:rPr>
          <w:sz w:val="20"/>
          <w:szCs w:val="20"/>
          <w:color w:val="auto"/>
        </w:rPr>
      </w:pPr>
    </w:p>
    <w:p>
      <w:pPr>
        <w:jc w:val="both"/>
        <w:ind w:left="340" w:hanging="332"/>
        <w:spacing w:after="0" w:line="204"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attributable to CLPS Incorporation’s shareholders is a non-GAAP financial measure, which is defined as net income attributable to CLPS Incorporation’s shareholders excluding share-based compensation expenses. Please refer to the section titled “Unaudited Reconciliation of Non-GAAP and GAAP Results” for details.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(Amounts in U.S. dollars (“$”), except for number of shares)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0" w:type="dxa"/>
            <w:vAlign w:val="bottom"/>
          </w:tcPr>
          <w:p>
            <w:pPr>
              <w:spacing w:after="0"/>
              <w:rPr>
                <w:sz w:val="1"/>
                <w:szCs w:val="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35,108,870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22,214,029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39,092,817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48,515,467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3,279,971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1,665,736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465,582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391,271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78,036,779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72,874,107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21,404,190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20,112,305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689,783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3,006,854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815,324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612,843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deposits and other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1,614,426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422,541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115,975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81,899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105,903,391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95,319,064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15,699,530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10,554,617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925,425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379,474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1,860,960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2,503,375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1,189,953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918,470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13,228,752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10,586,239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1,230,907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712,302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24,889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34,540,345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1,906,298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2,843,667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2,320,918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904,793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885,901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40,306,160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29,810,263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25,616,056 shares issued and outstanding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23,650,122 shares issued and outstanding as of June 30, 2023</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60,914,080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58,183,383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5,517,142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5,356,828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826,631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5,029,021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(3,116,935)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(3,990,594)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CLPS Incorporation’s Shareholders’ Equity</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64,143,480</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64,581,003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1,453,751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927,798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65,597,231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65,508,801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105,903,391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95,319,064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285"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INCOME AND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 except for number of shares)</w:t>
      </w:r>
    </w:p>
    <w:p>
      <w:pPr>
        <w:spacing w:after="0" w:line="2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For the six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Cost of revenues (note 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25" w:hanging="325"/>
        <w:spacing w:after="0"/>
        <w:tabs>
          <w:tab w:leader="none" w:pos="32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71,774,201   $   76,760,811</w:t>
      </w:r>
    </w:p>
    <w:p>
      <w:pPr>
        <w:spacing w:after="0" w:line="31" w:lineRule="exact"/>
        <w:rPr>
          <w:rFonts w:ascii="Times New Roman" w:cs="Times New Roman" w:eastAsia="Times New Roman" w:hAnsi="Times New Roman"/>
          <w:sz w:val="18"/>
          <w:szCs w:val="18"/>
          <w:b w:val="1"/>
          <w:bCs w:val="1"/>
          <w:color w:val="auto"/>
        </w:rPr>
      </w:pPr>
    </w:p>
    <w:p>
      <w:pPr>
        <w:ind w:left="26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(56,024,043)(58,299,928)</w:t>
      </w:r>
    </w:p>
    <w:p>
      <w:pPr>
        <w:spacing w:after="0" w:line="27" w:lineRule="exact"/>
        <w:rPr>
          <w:rFonts w:ascii="Times New Roman" w:cs="Times New Roman" w:eastAsia="Times New Roman" w:hAnsi="Times New Roman"/>
          <w:sz w:val="18"/>
          <w:szCs w:val="18"/>
          <w:b w:val="1"/>
          <w:bCs w:val="1"/>
          <w:color w:val="auto"/>
        </w:rPr>
      </w:pPr>
    </w:p>
    <w:p>
      <w:pPr>
        <w:ind w:left="325"/>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15,750,15818,460,883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-416560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-133985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900" w:right="3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 (note 1)</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2,724,226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2,684,075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3,194,918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4,359,214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(note 1)</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11,184,626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10,694,588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and other operating income</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(437,598)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(620,702)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16,666,172</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17,117,175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(916,014)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308,017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399,917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 and share of income (loss) in equity investees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(806,040)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1,559,930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337,563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185,196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income before share of income in equity investees</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(1,143,603)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1,374,734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 in equity investees, net of tax</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150,148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22,577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(993,455)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1,397,311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494,080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129,881</w:t>
            </w:r>
          </w:p>
        </w:tc>
        <w:tc>
          <w:tcPr>
            <w:tcW w:w="0" w:type="dxa"/>
            <w:vAlign w:val="bottom"/>
          </w:tcPr>
          <w:p>
            <w:pPr>
              <w:spacing w:after="0"/>
              <w:rPr>
                <w:sz w:val="1"/>
                <w:szCs w:val="1"/>
                <w:color w:val="auto"/>
              </w:rPr>
            </w:pPr>
          </w:p>
        </w:tc>
      </w:tr>
      <w:tr>
        <w:trPr>
          <w:trHeight w:val="277"/>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CLPS Incorporation’s shareholders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(1,487,535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1,267,430</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905,532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(746,569)</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currency translation income (loss) attributable to noncontrolling interest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31,873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873,659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(711,505</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CLPS Incorporation’s shareholders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(613,876)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555,925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525,953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94,817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24,814,349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23,626,122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(loss) earnings per common share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 diluted</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24,814,349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 Includes share-based compensation expenses as follows: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192,947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60,091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2,532,137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1,871,910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2,730,893</w:t>
            </w:r>
          </w:p>
        </w:tc>
        <w:tc>
          <w:tcPr>
            <w:tcW w:w="20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1,943,072</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AND GAAP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U.S. dollars (“$”), except for number of shares)</w:t>
      </w:r>
    </w:p>
    <w:p>
      <w:pPr>
        <w:spacing w:after="0" w:line="22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5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(56,024,043)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(58,299,928)</w:t>
            </w: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6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(5,809)</w:t>
            </w:r>
          </w:p>
        </w:tc>
        <w:tc>
          <w:tcPr>
            <w:tcW w:w="16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(11,071)</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(56,018,234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(58,288,857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(2,724,226)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(2,684,075)</w:t>
            </w:r>
          </w:p>
        </w:tc>
        <w:tc>
          <w:tcPr>
            <w:tcW w:w="0" w:type="dxa"/>
            <w:vAlign w:val="bottom"/>
          </w:tcPr>
          <w:p>
            <w:pPr>
              <w:spacing w:after="0"/>
              <w:rPr>
                <w:sz w:val="1"/>
                <w:szCs w:val="1"/>
                <w:color w:val="auto"/>
              </w:rPr>
            </w:pPr>
          </w:p>
        </w:tc>
      </w:tr>
      <w:tr>
        <w:trPr>
          <w:trHeight w:val="23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6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(192,947)</w:t>
            </w:r>
          </w:p>
        </w:tc>
        <w:tc>
          <w:tcPr>
            <w:tcW w:w="16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(60,091)</w:t>
            </w:r>
          </w:p>
        </w:tc>
        <w:tc>
          <w:tcPr>
            <w:tcW w:w="0" w:type="dxa"/>
            <w:vAlign w:val="bottom"/>
          </w:tcPr>
          <w:p>
            <w:pPr>
              <w:spacing w:after="0"/>
              <w:rPr>
                <w:sz w:val="1"/>
                <w:szCs w:val="1"/>
                <w:color w:val="auto"/>
              </w:rPr>
            </w:pPr>
          </w:p>
        </w:tc>
      </w:tr>
      <w:tr>
        <w:trPr>
          <w:trHeight w:val="216"/>
        </w:trPr>
        <w:tc>
          <w:tcPr>
            <w:tcW w:w="8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selling and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(2,531,279)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(2,623,984)</w:t>
            </w:r>
          </w:p>
        </w:tc>
        <w:tc>
          <w:tcPr>
            <w:tcW w:w="0" w:type="dxa"/>
            <w:vAlign w:val="bottom"/>
          </w:tcPr>
          <w:p>
            <w:pPr>
              <w:spacing w:after="0"/>
              <w:rPr>
                <w:sz w:val="1"/>
                <w:szCs w:val="1"/>
                <w:color w:val="auto"/>
              </w:rPr>
            </w:pPr>
          </w:p>
        </w:tc>
      </w:tr>
      <w:tr>
        <w:trPr>
          <w:trHeight w:val="216"/>
        </w:trPr>
        <w:tc>
          <w:tcPr>
            <w:tcW w:w="8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(11,184,626)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(10,694,588)</w:t>
            </w: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(2,532,137)</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(1,871,910)</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general and administrative expenses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(8,652,489</w:t>
            </w:r>
          </w:p>
        </w:tc>
        <w:tc>
          <w:tcPr>
            <w:tcW w:w="3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(8,822,678</w:t>
            </w:r>
          </w:p>
        </w:tc>
        <w:tc>
          <w:tcPr>
            <w:tcW w:w="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(916,014)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1,343,708</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2,730,893</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1,943,072</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1,814,879</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3,286,780</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(993,455)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1,397,311</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2,730,893</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1,943,072</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net income</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1,737,438</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3,340,383</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CLPS Incorporation’s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(1,487,535)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1,267,430</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2,730,893</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1,943,072</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net income attributable to CLPS Incorporation’s shareholders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1,243,358</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3,210,502</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GAAP and non-GAAP basic earnings</w:t>
            </w:r>
          </w:p>
        </w:tc>
        <w:tc>
          <w:tcPr>
            <w:tcW w:w="160" w:type="dxa"/>
            <w:vAlign w:val="bottom"/>
          </w:tcPr>
          <w:p>
            <w:pPr>
              <w:spacing w:after="0"/>
              <w:rPr>
                <w:sz w:val="18"/>
                <w:szCs w:val="18"/>
                <w:color w:val="auto"/>
              </w:rPr>
            </w:pP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24,814,349</w:t>
            </w:r>
          </w:p>
        </w:tc>
        <w:tc>
          <w:tcPr>
            <w:tcW w:w="1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23,626,122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basic (loss)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tcPr>
          <w:p>
            <w:pPr>
              <w:spacing w:after="0"/>
              <w:rPr>
                <w:sz w:val="19"/>
                <w:szCs w:val="19"/>
                <w:color w:val="auto"/>
              </w:rPr>
            </w:pP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8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basic earnings per common share</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GAAP diluted (loss) earnings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24,814,349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23,643,457</w:t>
            </w: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 outstanding used in computing non-GAAP diluted earnings</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24,814,477</w:t>
            </w:r>
          </w:p>
        </w:tc>
        <w:tc>
          <w:tcPr>
            <w:tcW w:w="16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23,643,457</w:t>
            </w:r>
          </w:p>
        </w:tc>
        <w:tc>
          <w:tcPr>
            <w:tcW w:w="0" w:type="dxa"/>
            <w:vAlign w:val="bottom"/>
          </w:tcPr>
          <w:p>
            <w:pPr>
              <w:spacing w:after="0"/>
              <w:rPr>
                <w:sz w:val="1"/>
                <w:szCs w:val="1"/>
                <w:color w:val="auto"/>
              </w:rPr>
            </w:pPr>
          </w:p>
        </w:tc>
      </w:tr>
      <w:tr>
        <w:trPr>
          <w:trHeight w:val="216"/>
        </w:trPr>
        <w:tc>
          <w:tcPr>
            <w:tcW w:w="8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(loss) earnings per common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common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
        </w:trPr>
        <w:tc>
          <w:tcPr>
            <w:tcW w:w="85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5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4"/>
      <w:numFmt w:val="bullet"/>
      <w:start w:val="1"/>
    </w:lvl>
  </w:abstractNum>
  <w:abstractNum w:abstractNumId="8">
    <w:nsid w:val="12200854"/>
    <w:multiLevelType w:val="hybridMultilevel"/>
    <w:lvl w:ilvl="0">
      <w:lvlJc w:val="left"/>
      <w:lvlText w:val="5"/>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2024-03-05T08:04:12Z</dcterms:created>
  <dcterms:modified xsi:type="dcterms:W3CDTF">2024-03-05T08:04:12Z</dcterms:modified>
</cp:coreProperties>
</file>