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pacing w:after="0" w:line="22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345 Park Avenue</w:t>
      </w:r>
    </w:p>
    <w:p>
      <w:pPr>
        <w:ind w:left="4500"/>
        <w:spacing w:after="0" w:line="216" w:lineRule="auto"/>
        <w:rPr>
          <w:sz w:val="20"/>
          <w:szCs w:val="20"/>
          <w:color w:val="auto"/>
        </w:rPr>
      </w:pPr>
      <w:r>
        <w:rPr>
          <w:rFonts w:ascii="Arial" w:cs="Arial" w:eastAsia="Arial" w:hAnsi="Arial"/>
          <w:sz w:val="18"/>
          <w:szCs w:val="18"/>
          <w:color w:val="auto"/>
        </w:rPr>
        <w:t>New York, NY 10154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212.407.4000</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Fax </w:t>
      </w:r>
      <w:r>
        <w:rPr>
          <w:rFonts w:ascii="Arial" w:cs="Arial" w:eastAsia="Arial" w:hAnsi="Arial"/>
          <w:sz w:val="18"/>
          <w:szCs w:val="18"/>
          <w:color w:val="auto"/>
        </w:rPr>
        <w:t>212.407.4990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December 9,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Email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CLPS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Holding Foreign Companies Accountable Act (“HFCCA”)</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Madam/Sir:</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letter is submitted on behalf of CLPS Inc. (the “Company” or “we”) in response to the Company being on the conclusive list of issuers identified under the Holding Foreign Companies Accountable Act (“HFCCA”) as of November 18, 2022. We enclose a copy of the certified register of shareholders as well as our Chinese legal counsel’s opinion stating that none of our shares of common stock are owned by the central, provincial or local government of the People’s Republic of China.</w:t>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Please call Tahra Wright of Loeb &amp; Loeb LLP at (212) 407-4122 if you would like additional information with respect to any of the foregoing. Thank you.</w:t>
      </w:r>
    </w:p>
    <w:p>
      <w:pPr>
        <w:spacing w:after="0" w:line="248"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/s/ Loeb &amp; Loeb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Loeb &amp; Loeb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LIST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CONTINENTAL STOCK TRANSFER &amp; TRUST CO</w:t>
      </w:r>
    </w:p>
    <w:p>
      <w:pPr>
        <w:spacing w:after="0" w:line="229"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Selection by Share Range: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Suppressed holders ARE included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Sort Criteria: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ALPHABETIC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4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LIST OF SHAREHOLDERS</w:t>
            </w:r>
          </w:p>
        </w:tc>
        <w:tc>
          <w:tcPr>
            <w:tcW w:w="3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CONTINENTAL STOCK TRANSFER &amp; TRUST CO</w:t>
            </w:r>
          </w:p>
        </w:tc>
        <w:tc>
          <w:tcPr>
            <w:tcW w:w="3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Issue: CLPS INCORPORATION</w:t>
            </w:r>
          </w:p>
        </w:tc>
        <w:tc>
          <w:tcPr>
            <w:tcW w:w="3260" w:type="dxa"/>
            <w:vAlign w:val="bottom"/>
          </w:tcPr>
          <w:p>
            <w:pPr>
              <w:spacing w:after="0"/>
              <w:rPr>
                <w:sz w:val="20"/>
                <w:szCs w:val="20"/>
                <w:color w:val="auto"/>
              </w:rPr>
            </w:pPr>
            <w:r>
              <w:rPr>
                <w:rFonts w:ascii="Arial" w:cs="Arial" w:eastAsia="Arial" w:hAnsi="Arial"/>
                <w:sz w:val="18"/>
                <w:szCs w:val="18"/>
                <w:b w:val="1"/>
                <w:bCs w:val="1"/>
                <w:color w:val="auto"/>
              </w:rPr>
              <w:t>Ticker: C021COM</w:t>
            </w:r>
          </w:p>
        </w:tc>
        <w:tc>
          <w:tcPr>
            <w:tcW w:w="3060" w:type="dxa"/>
            <w:vAlign w:val="bottom"/>
            <w:gridSpan w:val="5"/>
          </w:tcPr>
          <w:p>
            <w:pPr>
              <w:jc w:val="right"/>
              <w:spacing w:after="0"/>
              <w:rPr>
                <w:sz w:val="20"/>
                <w:szCs w:val="20"/>
                <w:color w:val="auto"/>
              </w:rPr>
            </w:pPr>
            <w:r>
              <w:rPr>
                <w:rFonts w:ascii="Arial" w:cs="Arial" w:eastAsia="Arial" w:hAnsi="Arial"/>
                <w:sz w:val="18"/>
                <w:szCs w:val="18"/>
                <w:b w:val="1"/>
                <w:bCs w:val="1"/>
                <w:color w:val="auto"/>
              </w:rPr>
              <w:t>CUSIP: G31642104</w:t>
            </w:r>
          </w:p>
        </w:tc>
        <w:tc>
          <w:tcPr>
            <w:tcW w:w="0" w:type="dxa"/>
            <w:vAlign w:val="bottom"/>
          </w:tcPr>
          <w:p>
            <w:pPr>
              <w:spacing w:after="0"/>
              <w:rPr>
                <w:sz w:val="1"/>
                <w:szCs w:val="1"/>
                <w:color w:val="auto"/>
              </w:rPr>
            </w:pPr>
          </w:p>
        </w:tc>
      </w:tr>
      <w:tr>
        <w:trPr>
          <w:trHeight w:val="372"/>
        </w:trPr>
        <w:tc>
          <w:tcPr>
            <w:tcW w:w="2140" w:type="dxa"/>
            <w:vAlign w:val="bottom"/>
          </w:tcPr>
          <w:p>
            <w:pPr>
              <w:spacing w:after="0"/>
              <w:rPr>
                <w:sz w:val="20"/>
                <w:szCs w:val="20"/>
                <w:color w:val="auto"/>
              </w:rPr>
            </w:pPr>
            <w:r>
              <w:rPr>
                <w:rFonts w:ascii="Arial" w:cs="Arial" w:eastAsia="Arial" w:hAnsi="Arial"/>
                <w:sz w:val="18"/>
                <w:szCs w:val="18"/>
                <w:b w:val="1"/>
                <w:bCs w:val="1"/>
                <w:color w:val="auto"/>
              </w:rPr>
              <w:t>Account/TIN</w:t>
            </w:r>
          </w:p>
        </w:tc>
        <w:tc>
          <w:tcPr>
            <w:tcW w:w="10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Name &amp; Address</w:t>
            </w:r>
          </w:p>
        </w:tc>
        <w:tc>
          <w:tcPr>
            <w:tcW w:w="3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Shares Held</w:t>
            </w:r>
          </w:p>
        </w:tc>
        <w:tc>
          <w:tcPr>
            <w:tcW w:w="0" w:type="dxa"/>
            <w:vAlign w:val="bottom"/>
          </w:tcPr>
          <w:p>
            <w:pPr>
              <w:spacing w:after="0"/>
              <w:rPr>
                <w:sz w:val="1"/>
                <w:szCs w:val="1"/>
                <w:color w:val="auto"/>
              </w:rPr>
            </w:pPr>
          </w:p>
        </w:tc>
      </w:tr>
      <w:tr>
        <w:trPr>
          <w:trHeight w:val="216"/>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CEDE &amp; CO</w:t>
            </w:r>
          </w:p>
        </w:tc>
        <w:tc>
          <w:tcPr>
            <w:tcW w:w="32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14,946,372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13-2555119</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570 WASHINGTON BLVD</w:t>
            </w:r>
          </w:p>
        </w:tc>
        <w:tc>
          <w:tcPr>
            <w:tcW w:w="3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66.531%</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JERSEY CITY NJ 07310-1617</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LIN QIN ER</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9D PITTOSPORUM COURT</w:t>
            </w:r>
          </w:p>
        </w:tc>
        <w:tc>
          <w:tcPr>
            <w:tcW w:w="3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INDIVIDUAL</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NEW PLAZA PHASE III SHATIN</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NON-US PERSON</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NEW TERRITORIES</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RAYMOND LIN MING HUI</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9D PITTOSPORUM COURT</w:t>
            </w:r>
          </w:p>
        </w:tc>
        <w:tc>
          <w:tcPr>
            <w:tcW w:w="3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INDIVIDUAL</w:t>
            </w:r>
          </w:p>
        </w:tc>
        <w:tc>
          <w:tcPr>
            <w:tcW w:w="10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TOWN PLAZA PHASE III SHATIN</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NON-US PERSON</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NEW TERRITORIES</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SHIRLEY DENG ZHAO HUI</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9D PITTOSPORUM COURT</w:t>
            </w:r>
          </w:p>
        </w:tc>
        <w:tc>
          <w:tcPr>
            <w:tcW w:w="3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INDIVIDUAL</w:t>
            </w:r>
          </w:p>
        </w:tc>
        <w:tc>
          <w:tcPr>
            <w:tcW w:w="10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TOWN PLAZA PHASE III SHATIN</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NON-US PERSON</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NEW TERRITORIES</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CHONG SENG KEE</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ROOM 101, BLK 168</w:t>
            </w:r>
          </w:p>
        </w:tc>
        <w:tc>
          <w:tcPr>
            <w:tcW w:w="3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0.004%</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INDIVIDUAL</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6"/>
              </w:rPr>
              <w:t>NO 218 XIUYAN ROAD PUDONG</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NON-US PERSON</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SHANGHAI</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SRUSTIJEET MISHRA</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37,573</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BLK 426A</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0.167%</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INDIVIDUAL</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YISHUN AVE 11</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#04-84</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SINGAPORE 761426</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QINHUI LTD</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2,499,998</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RITTER HOUSE WICKHAMS CAY II</w:t>
            </w: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11.128%</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PARTNERSHIP</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 O BOX 3170 ROAD TOWN</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NON-US PERSON</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TORTOLA VG1110</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BRITISH VIRGIN ISLANDS</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QINRUI LTD</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4,976,000</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RITTER HOUSE WICKHAMS CAY II</w:t>
            </w: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22.150%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PARTNERSHIP</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 O BOX 3170 ROAD TOWN</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NON-US PERSON</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TORTOLA VG 1110</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BRITISH VIRGIN ISLANDS</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SIBASHIS ROUTRAY</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BLK 426A</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INDIVIDUAL</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YISHUN AVE 11</w:t>
            </w:r>
          </w:p>
        </w:tc>
        <w:tc>
          <w:tcPr>
            <w:tcW w:w="3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0.019%</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#04-84</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SINGAPORE 761426</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LIN KAM YI</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9D PITTOSPORUM COURT</w:t>
            </w:r>
          </w:p>
        </w:tc>
        <w:tc>
          <w:tcPr>
            <w:tcW w:w="3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INDIVIDUAL</w:t>
            </w:r>
          </w:p>
        </w:tc>
        <w:tc>
          <w:tcPr>
            <w:tcW w:w="10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TOWN PLAZA PHASE III, SHATIN,</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NON-US PERSON</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NEW TERRITORIES</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3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940" w:type="dxa"/>
            <w:vAlign w:val="bottom"/>
            <w:gridSpan w:val="2"/>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2220"/>
              <w:spacing w:after="0"/>
              <w:rPr>
                <w:sz w:val="20"/>
                <w:szCs w:val="20"/>
                <w:color w:val="auto"/>
              </w:rPr>
            </w:pPr>
            <w:r>
              <w:rPr>
                <w:rFonts w:ascii="Arial" w:cs="Arial" w:eastAsia="Arial" w:hAnsi="Arial"/>
                <w:sz w:val="18"/>
                <w:szCs w:val="18"/>
                <w:b w:val="1"/>
                <w:bCs w:val="1"/>
                <w:color w:val="auto"/>
              </w:rPr>
              <w:t>ISSUE TOTALS</w:t>
            </w:r>
          </w:p>
        </w:tc>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Outstanding 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940" w:type="dxa"/>
            <w:vAlign w:val="bottom"/>
            <w:gridSpan w:val="2"/>
            <w:shd w:val="clear" w:color="auto" w:fill="CCEEFF"/>
          </w:tcPr>
          <w:p>
            <w:pPr>
              <w:ind w:left="2060"/>
              <w:spacing w:after="0"/>
              <w:rPr>
                <w:sz w:val="20"/>
                <w:szCs w:val="20"/>
                <w:color w:val="auto"/>
              </w:rPr>
            </w:pPr>
            <w:r>
              <w:rPr>
                <w:rFonts w:ascii="Arial" w:cs="Arial" w:eastAsia="Arial" w:hAnsi="Arial"/>
                <w:sz w:val="18"/>
                <w:szCs w:val="18"/>
                <w:b w:val="1"/>
                <w:bCs w:val="1"/>
                <w:color w:val="auto"/>
              </w:rPr>
              <w:t>10 Holders Qualified</w:t>
            </w:r>
          </w:p>
        </w:tc>
        <w:tc>
          <w:tcPr>
            <w:tcW w:w="1800" w:type="dxa"/>
            <w:vAlign w:val="bottom"/>
            <w:gridSpan w:val="2"/>
            <w:vMerge w:val="continue"/>
            <w:shd w:val="clear" w:color="auto" w:fill="CCEEFF"/>
          </w:tcPr>
          <w:p>
            <w:pPr>
              <w:spacing w:after="0"/>
              <w:rPr>
                <w:sz w:val="22"/>
                <w:szCs w:val="22"/>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22,465,122</w:t>
            </w:r>
          </w:p>
        </w:tc>
        <w:tc>
          <w:tcPr>
            <w:tcW w:w="0" w:type="dxa"/>
            <w:vAlign w:val="bottom"/>
          </w:tcPr>
          <w:p>
            <w:pPr>
              <w:spacing w:after="0"/>
              <w:rPr>
                <w:sz w:val="1"/>
                <w:szCs w:val="1"/>
                <w:color w:val="auto"/>
              </w:rPr>
            </w:pPr>
          </w:p>
        </w:tc>
      </w:tr>
      <w:tr>
        <w:trPr>
          <w:trHeight w:val="21"/>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568"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22755"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www.grandwaylaw.com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Beijing Shanghai Shenzhen Chengdu Xi'an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Opinion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To</w:t>
            </w:r>
          </w:p>
        </w:tc>
        <w:tc>
          <w:tcPr>
            <w:tcW w:w="3260" w:type="dxa"/>
            <w:vAlign w:val="bottom"/>
          </w:tcPr>
          <w:p>
            <w:pPr>
              <w:ind w:left="280"/>
              <w:spacing w:after="0"/>
              <w:rPr>
                <w:sz w:val="20"/>
                <w:szCs w:val="20"/>
                <w:color w:val="auto"/>
              </w:rPr>
            </w:pPr>
            <w:r>
              <w:rPr>
                <w:rFonts w:ascii="Arial" w:cs="Arial" w:eastAsia="Arial" w:hAnsi="Arial"/>
                <w:sz w:val="18"/>
                <w:szCs w:val="18"/>
                <w:color w:val="auto"/>
              </w:rPr>
              <w:t>Ms. Rita Yang, CFO</w:t>
            </w:r>
          </w:p>
        </w:tc>
        <w:tc>
          <w:tcPr>
            <w:tcW w:w="2340" w:type="dxa"/>
            <w:vAlign w:val="bottom"/>
          </w:tcPr>
          <w:p>
            <w:pPr>
              <w:ind w:left="1520"/>
              <w:spacing w:after="0"/>
              <w:rPr>
                <w:sz w:val="20"/>
                <w:szCs w:val="20"/>
                <w:color w:val="auto"/>
              </w:rPr>
            </w:pPr>
            <w:r>
              <w:rPr>
                <w:rFonts w:ascii="Arial" w:cs="Arial" w:eastAsia="Arial" w:hAnsi="Arial"/>
                <w:sz w:val="18"/>
                <w:szCs w:val="18"/>
                <w:color w:val="auto"/>
              </w:rPr>
              <w:t>From</w:t>
            </w:r>
          </w:p>
        </w:tc>
        <w:tc>
          <w:tcPr>
            <w:tcW w:w="4780" w:type="dxa"/>
            <w:vAlign w:val="bottom"/>
          </w:tcPr>
          <w:p>
            <w:pPr>
              <w:ind w:left="300"/>
              <w:spacing w:after="0"/>
              <w:rPr>
                <w:sz w:val="20"/>
                <w:szCs w:val="20"/>
                <w:color w:val="auto"/>
              </w:rPr>
            </w:pPr>
            <w:r>
              <w:rPr>
                <w:rFonts w:ascii="Arial" w:cs="Arial" w:eastAsia="Arial" w:hAnsi="Arial"/>
                <w:sz w:val="18"/>
                <w:szCs w:val="18"/>
                <w:color w:val="auto"/>
              </w:rPr>
              <w:t>Andy Kuang, Partner</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Copy to</w:t>
            </w:r>
          </w:p>
        </w:tc>
        <w:tc>
          <w:tcPr>
            <w:tcW w:w="3260" w:type="dxa"/>
            <w:vAlign w:val="bottom"/>
          </w:tcPr>
          <w:p>
            <w:pPr>
              <w:spacing w:after="0"/>
              <w:rPr>
                <w:sz w:val="24"/>
                <w:szCs w:val="24"/>
                <w:color w:val="auto"/>
              </w:rPr>
            </w:pPr>
          </w:p>
        </w:tc>
        <w:tc>
          <w:tcPr>
            <w:tcW w:w="2340" w:type="dxa"/>
            <w:vAlign w:val="bottom"/>
          </w:tcPr>
          <w:p>
            <w:pPr>
              <w:ind w:left="1520"/>
              <w:spacing w:after="0"/>
              <w:rPr>
                <w:sz w:val="20"/>
                <w:szCs w:val="20"/>
                <w:color w:val="auto"/>
              </w:rPr>
            </w:pPr>
            <w:r>
              <w:rPr>
                <w:rFonts w:ascii="Arial" w:cs="Arial" w:eastAsia="Arial" w:hAnsi="Arial"/>
                <w:sz w:val="18"/>
                <w:szCs w:val="18"/>
                <w:color w:val="auto"/>
              </w:rPr>
              <w:t>Date</w:t>
            </w:r>
          </w:p>
        </w:tc>
        <w:tc>
          <w:tcPr>
            <w:tcW w:w="4780" w:type="dxa"/>
            <w:vAlign w:val="bottom"/>
          </w:tcPr>
          <w:p>
            <w:pPr>
              <w:ind w:left="300"/>
              <w:spacing w:after="0"/>
              <w:rPr>
                <w:sz w:val="20"/>
                <w:szCs w:val="20"/>
                <w:color w:val="auto"/>
              </w:rPr>
            </w:pPr>
            <w:r>
              <w:rPr>
                <w:rFonts w:ascii="Arial" w:cs="Arial" w:eastAsia="Arial" w:hAnsi="Arial"/>
                <w:sz w:val="18"/>
                <w:szCs w:val="18"/>
                <w:color w:val="auto"/>
              </w:rPr>
              <w:t>November 29, 2022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Ref No.</w:t>
            </w:r>
          </w:p>
        </w:tc>
        <w:tc>
          <w:tcPr>
            <w:tcW w:w="3260" w:type="dxa"/>
            <w:vAlign w:val="bottom"/>
          </w:tcPr>
          <w:p>
            <w:pPr>
              <w:ind w:left="280"/>
              <w:spacing w:after="0"/>
              <w:rPr>
                <w:sz w:val="20"/>
                <w:szCs w:val="20"/>
                <w:color w:val="auto"/>
              </w:rPr>
            </w:pPr>
            <w:r>
              <w:rPr>
                <w:rFonts w:ascii="Arial" w:cs="Arial" w:eastAsia="Arial" w:hAnsi="Arial"/>
                <w:sz w:val="18"/>
                <w:szCs w:val="18"/>
                <w:color w:val="auto"/>
              </w:rPr>
              <w:t>KH-CL-011</w:t>
            </w:r>
          </w:p>
        </w:tc>
        <w:tc>
          <w:tcPr>
            <w:tcW w:w="2340" w:type="dxa"/>
            <w:vAlign w:val="bottom"/>
          </w:tcPr>
          <w:p>
            <w:pPr>
              <w:ind w:left="1520"/>
              <w:spacing w:after="0"/>
              <w:rPr>
                <w:sz w:val="20"/>
                <w:szCs w:val="20"/>
                <w:color w:val="auto"/>
              </w:rPr>
            </w:pPr>
            <w:r>
              <w:rPr>
                <w:rFonts w:ascii="Arial" w:cs="Arial" w:eastAsia="Arial" w:hAnsi="Arial"/>
                <w:sz w:val="18"/>
                <w:szCs w:val="18"/>
                <w:color w:val="auto"/>
              </w:rPr>
              <w:t>Page(s)</w:t>
            </w:r>
          </w:p>
        </w:tc>
        <w:tc>
          <w:tcPr>
            <w:tcW w:w="4780" w:type="dxa"/>
            <w:vAlign w:val="bottom"/>
          </w:tcPr>
          <w:p>
            <w:pPr>
              <w:ind w:left="300"/>
              <w:spacing w:after="0"/>
              <w:rPr>
                <w:sz w:val="20"/>
                <w:szCs w:val="20"/>
                <w:color w:val="auto"/>
              </w:rPr>
            </w:pPr>
            <w:r>
              <w:rPr>
                <w:rFonts w:ascii="Arial" w:cs="Arial" w:eastAsia="Arial" w:hAnsi="Arial"/>
                <w:sz w:val="18"/>
                <w:szCs w:val="18"/>
                <w:color w:val="auto"/>
              </w:rPr>
              <w:t>1</w:t>
            </w:r>
          </w:p>
        </w:tc>
      </w:tr>
      <w:tr>
        <w:trPr>
          <w:trHeight w:val="108"/>
        </w:trPr>
        <w:tc>
          <w:tcPr>
            <w:tcW w:w="86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CLPS Incorporation (“</w:t>
      </w:r>
      <w:r>
        <w:rPr>
          <w:rFonts w:ascii="Arial" w:cs="Arial" w:eastAsia="Arial" w:hAnsi="Arial"/>
          <w:sz w:val="18"/>
          <w:szCs w:val="18"/>
          <w:b w:val="1"/>
          <w:bCs w:val="1"/>
          <w:color w:val="auto"/>
        </w:rPr>
        <w:t>CLPS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 List of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lawyers from Grandway Law Offices, have been CLPS’ legal counsel in the People’s Republic of China since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 your work instruction, we have reviewed the List of Shareholders of the CLPS as of November 16, 2022, and had discussions with the management team of CLPS regarding CLPS’ ownership. By our knowledge and understanding, and concurred by the management team, we believe that the Chinese central, provincial, or local government directly or beneficially holds no share of the CLPS.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us should you have any further questions.</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Grandway Law Offices</w:t>
      </w:r>
    </w:p>
    <w:p>
      <w:pPr>
        <w:spacing w:after="0" w:line="225"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Andy Kuang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23rd Floor, Building S2, The Bund Financial Center, No. 600, Zhongshan East Second Road, Huangpu District, Shanghai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23/F, S2, The Bund Finance Center, No. 600, Zhongshan NO.2 Road(E), Huangpu District, Shanghai, PRC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021-23122000 Fax: 021-23122100 Zip Code: 200001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2023-01-30T00:22:47Z</dcterms:created>
  <dcterms:modified xsi:type="dcterms:W3CDTF">2023-01-30T00:22:47Z</dcterms:modified>
</cp:coreProperties>
</file>