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CLPS Incorporation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c/o Unit 1000, 10th Floor, Millennium City III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370 Kwun Tong Road, Kwun Tong, Kowloon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Hong Kong SAR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D.C.,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November 19, 2025</w:t>
      </w:r>
    </w:p>
    <w:p>
      <w:pPr>
        <w:sectPr>
          <w:pgSz w:w="11900" w:h="16838" w:orient="portrait"/>
          <w:cols w:equalWidth="0" w:num="1">
            <w:col w:w="11240"/>
          </w:cols>
          <w:pgMar w:left="320" w:top="225" w:right="339" w:bottom="1440" w:gutter="0" w:footer="0" w:header="0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CLPS Incorporation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Registration Statement on Form F-3 (File No. 333-291045)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Initially Filed October 24, 2025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Request for Acceleration of Effectiveness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640"/>
            <w:col w:w="10320"/>
          </w:cols>
          <w:pgMar w:left="320" w:top="225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CLPS Incorporation hereby requests acceleration of effectiveness of the above referenced Registration Statement on F-3 (the “Registration Statement”), so that it will become effective at 4:00 p.m. ET on November 21, 2025, or as soon as thereafter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Raymond Ming Hui 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4291330</wp:posOffset>
            </wp:positionH>
            <wp:positionV relativeFrom="paragraph">
              <wp:posOffset>17145</wp:posOffset>
            </wp:positionV>
            <wp:extent cx="284607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Raymond Ming Hui Lin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(Principal Executive Officer)</w:t>
      </w:r>
    </w:p>
    <w:p>
      <w:pPr>
        <w:sectPr>
          <w:pgSz w:w="11900" w:h="16838" w:orient="portrait"/>
          <w:cols w:equalWidth="0" w:num="1">
            <w:col w:w="11240"/>
          </w:cols>
          <w:pgMar w:left="320" w:top="225" w:right="33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Lawrence Venick, Esq.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Loeb &amp; Loeb LLP</w:t>
      </w:r>
    </w:p>
    <w:sectPr>
      <w:pgSz w:w="11900" w:h="16838" w:orient="portrait"/>
      <w:cols w:equalWidth="0" w:num="2">
        <w:col w:w="980" w:space="720"/>
        <w:col w:w="9540"/>
      </w:cols>
      <w:pgMar w:left="320" w:top="225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2026-03-30T00:12:39Z</dcterms:created>
  <dcterms:modified xsi:type="dcterms:W3CDTF">2026-03-30T00:12:39Z</dcterms:modified>
</cp:coreProperties>
</file>