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154940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May 2018</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2nd Floor, Building 18, Shanghai Pudong Software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 498 Guoshoujing Road, Pudong, Shanghai,</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201203, People’s Republic of China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140"/>
        <w:spacing w:after="0" w:line="207" w:lineRule="exact"/>
        <w:tabs>
          <w:tab w:leader="none" w:pos="62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4700"/>
        <w:spacing w:after="0" w:line="207" w:lineRule="exact"/>
        <w:tabs>
          <w:tab w:leader="none" w:pos="62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001-38505.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23, 2018, CLPS Incorporation (the “Company”) entered into an underwriting agreement (the “Underwriting Agreement”) with The Benchmark Company LLC, as representative of the underwriters named therein, for a firm commitment initial public offering of 2,000,000 common shares and up to an additional 300,000 common shares solely to cover over-allotments, at an offering price of $5.25 per share (the “IPO”). The Company’s shares began trading on The Nasdaq Capital Market on May 24, 2018 under the trading symbol “CLPS.” On May 29, 2018, the Company closed on the IPO and received gross proceeds of approximately $10.5 million from the common shares sold, before deducting underwriting discounts and commissions and expenses.</w:t>
      </w:r>
    </w:p>
    <w:p>
      <w:pPr>
        <w:spacing w:after="0" w:line="19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copy of the Underwriting Agreement is hereby attached as Exhibit 1.1 hereto, and a copy of the press release related to the closing is hereby attached as Exhibit 99.1 hereto, both of which are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04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340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Underwriting Agreement, dated May 23, 2018.</w:t>
            </w:r>
          </w:p>
        </w:tc>
        <w:tc>
          <w:tcPr>
            <w:tcW w:w="6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380" w:type="dxa"/>
            <w:vAlign w:val="bottom"/>
            <w:gridSpan w:val="3"/>
          </w:tcPr>
          <w:p>
            <w:pPr>
              <w:spacing w:after="0" w:line="176" w:lineRule="exact"/>
              <w:rPr>
                <w:sz w:val="20"/>
                <w:szCs w:val="20"/>
                <w:color w:val="auto"/>
              </w:rPr>
            </w:pPr>
            <w:r>
              <w:rPr>
                <w:rFonts w:ascii="Arial" w:cs="Arial" w:eastAsia="Arial" w:hAnsi="Arial"/>
                <w:sz w:val="18"/>
                <w:szCs w:val="18"/>
                <w:color w:val="0000EE"/>
              </w:rPr>
              <w:t>Press release dated May 29, 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31,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BENCHMARK COMPANY, LLC</w:t>
      </w:r>
    </w:p>
    <w:p>
      <w:pPr>
        <w:spacing w:after="0" w:line="22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as Representative of the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2230120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Benchmark Company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E 58th Street, 17th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Representative of the several Underwriters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named on Schedule 1 attached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The undersigned, CLPS Incorporation., a corporation formed under the laws of Cayman Islands (the “</w:t>
      </w:r>
      <w:r>
        <w:rPr>
          <w:rFonts w:ascii="Arial" w:cs="Arial" w:eastAsia="Arial" w:hAnsi="Arial"/>
          <w:sz w:val="18"/>
          <w:szCs w:val="18"/>
          <w:b w:val="1"/>
          <w:bCs w:val="1"/>
          <w:color w:val="auto"/>
        </w:rPr>
        <w:t>Company</w:t>
      </w:r>
      <w:r>
        <w:rPr>
          <w:rFonts w:ascii="Arial" w:cs="Arial" w:eastAsia="Arial" w:hAnsi="Arial"/>
          <w:sz w:val="18"/>
          <w:szCs w:val="18"/>
          <w:color w:val="auto"/>
        </w:rPr>
        <w:t>”), hereby confirms its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with Benchmark Company LLC (hereinafter referred to as “you” (including its correlatives) or the “</w:t>
      </w:r>
      <w:r>
        <w:rPr>
          <w:rFonts w:ascii="Arial" w:cs="Arial" w:eastAsia="Arial" w:hAnsi="Arial"/>
          <w:sz w:val="18"/>
          <w:szCs w:val="18"/>
          <w:b w:val="1"/>
          <w:bCs w:val="1"/>
          <w:color w:val="auto"/>
        </w:rPr>
        <w:t>Representative</w:t>
      </w:r>
      <w:r>
        <w:rPr>
          <w:rFonts w:ascii="Arial" w:cs="Arial" w:eastAsia="Arial" w:hAnsi="Arial"/>
          <w:sz w:val="18"/>
          <w:szCs w:val="18"/>
          <w:color w:val="auto"/>
        </w:rPr>
        <w:t xml:space="preserve">”) and with the other underwriters named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for which the Representative is acting as representative (the Representative and such other underwriters being collectively called the “</w:t>
      </w:r>
      <w:r>
        <w:rPr>
          <w:rFonts w:ascii="Arial" w:cs="Arial" w:eastAsia="Arial" w:hAnsi="Arial"/>
          <w:sz w:val="18"/>
          <w:szCs w:val="18"/>
          <w:b w:val="1"/>
          <w:bCs w:val="1"/>
          <w:color w:val="auto"/>
        </w:rPr>
        <w:t>Underwriters</w:t>
      </w:r>
      <w:r>
        <w:rPr>
          <w:rFonts w:ascii="Arial" w:cs="Arial" w:eastAsia="Arial" w:hAnsi="Arial"/>
          <w:sz w:val="18"/>
          <w:szCs w:val="18"/>
          <w:color w:val="auto"/>
        </w:rPr>
        <w:t>” or, individually, an “</w:t>
      </w:r>
      <w:r>
        <w:rPr>
          <w:rFonts w:ascii="Arial" w:cs="Arial" w:eastAsia="Arial" w:hAnsi="Arial"/>
          <w:sz w:val="18"/>
          <w:szCs w:val="18"/>
          <w:b w:val="1"/>
          <w:bCs w:val="1"/>
          <w:color w:val="auto"/>
        </w:rPr>
        <w:t>Underwriter</w:t>
      </w:r>
      <w:r>
        <w:rPr>
          <w:rFonts w:ascii="Arial" w:cs="Arial" w:eastAsia="Arial" w:hAnsi="Arial"/>
          <w:sz w:val="18"/>
          <w:szCs w:val="18"/>
          <w:color w:val="auto"/>
        </w:rPr>
        <w:t>”) as follows:</w:t>
      </w:r>
    </w:p>
    <w:p>
      <w:pPr>
        <w:spacing w:after="0" w:line="184" w:lineRule="exact"/>
        <w:rPr>
          <w:sz w:val="20"/>
          <w:szCs w:val="20"/>
          <w:color w:val="auto"/>
        </w:rPr>
      </w:pPr>
    </w:p>
    <w:p>
      <w:pPr>
        <w:ind w:left="660" w:right="9160" w:hanging="652"/>
        <w:spacing w:after="0" w:line="601" w:lineRule="auto"/>
        <w:tabs>
          <w:tab w:leader="none" w:pos="192" w:val="left"/>
        </w:tabs>
        <w:numPr>
          <w:ilvl w:val="0"/>
          <w:numId w:val="1"/>
        </w:numPr>
        <w:rPr>
          <w:rFonts w:ascii="Arial" w:cs="Arial" w:eastAsia="Arial" w:hAnsi="Arial"/>
          <w:sz w:val="15"/>
          <w:szCs w:val="15"/>
          <w:b w:val="1"/>
          <w:bCs w:val="1"/>
          <w:color w:val="auto"/>
        </w:rPr>
      </w:pPr>
      <w:r>
        <w:rPr>
          <w:rFonts w:ascii="Arial" w:cs="Arial" w:eastAsia="Arial" w:hAnsi="Arial"/>
          <w:sz w:val="15"/>
          <w:szCs w:val="15"/>
          <w:u w:val="single" w:color="auto"/>
          <w:color w:val="auto"/>
        </w:rPr>
        <w:t>Purchase and Sale of Shares</w:t>
      </w:r>
      <w:r>
        <w:rPr>
          <w:rFonts w:ascii="Arial" w:cs="Arial" w:eastAsia="Arial" w:hAnsi="Arial"/>
          <w:sz w:val="15"/>
          <w:szCs w:val="15"/>
          <w:color w:val="auto"/>
        </w:rPr>
        <w:t xml:space="preserve">. 1.1 </w:t>
      </w:r>
      <w:r>
        <w:rPr>
          <w:rFonts w:ascii="Arial" w:cs="Arial" w:eastAsia="Arial" w:hAnsi="Arial"/>
          <w:sz w:val="15"/>
          <w:szCs w:val="15"/>
          <w:i w:val="1"/>
          <w:iCs w:val="1"/>
          <w:u w:val="single" w:color="auto"/>
          <w:color w:val="auto"/>
        </w:rPr>
        <w:t>Firm Shares</w:t>
      </w:r>
      <w:r>
        <w:rPr>
          <w:rFonts w:ascii="Arial" w:cs="Arial" w:eastAsia="Arial" w:hAnsi="Arial"/>
          <w:sz w:val="15"/>
          <w:szCs w:val="15"/>
          <w:i w:val="1"/>
          <w:iCs w:val="1"/>
          <w:color w:val="auto"/>
        </w:rPr>
        <w:t>.</w:t>
      </w:r>
    </w:p>
    <w:p>
      <w:pPr>
        <w:ind w:left="1300"/>
        <w:spacing w:after="0"/>
        <w:rPr>
          <w:rFonts w:ascii="Arial" w:cs="Arial" w:eastAsia="Arial" w:hAnsi="Arial"/>
          <w:sz w:val="15"/>
          <w:szCs w:val="15"/>
          <w:b w:val="1"/>
          <w:bCs w:val="1"/>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Nature and Purchase of Firm Shares</w:t>
      </w:r>
      <w:r>
        <w:rPr>
          <w:rFonts w:ascii="Arial" w:cs="Arial" w:eastAsia="Arial" w:hAnsi="Arial"/>
          <w:sz w:val="18"/>
          <w:szCs w:val="18"/>
          <w:color w:val="auto"/>
        </w:rPr>
        <w:t>.</w:t>
      </w:r>
    </w:p>
    <w:p>
      <w:pPr>
        <w:spacing w:after="0" w:line="225" w:lineRule="exact"/>
        <w:rPr>
          <w:rFonts w:ascii="Arial" w:cs="Arial" w:eastAsia="Arial" w:hAnsi="Arial"/>
          <w:sz w:val="15"/>
          <w:szCs w:val="15"/>
          <w:b w:val="1"/>
          <w:bCs w:val="1"/>
          <w:color w:val="auto"/>
        </w:rPr>
      </w:pPr>
    </w:p>
    <w:p>
      <w:pPr>
        <w:jc w:val="both"/>
        <w:ind w:firstLine="1953"/>
        <w:spacing w:after="0" w:line="259" w:lineRule="auto"/>
        <w:tabs>
          <w:tab w:leader="none" w:pos="2165" w:val="left"/>
        </w:tabs>
        <w:numPr>
          <w:ilvl w:val="1"/>
          <w:numId w:val="1"/>
        </w:numPr>
        <w:rPr>
          <w:rFonts w:ascii="Arial" w:cs="Arial" w:eastAsia="Arial" w:hAnsi="Arial"/>
          <w:sz w:val="18"/>
          <w:szCs w:val="18"/>
          <w:color w:val="auto"/>
        </w:rPr>
      </w:pPr>
      <w:r>
        <w:rPr>
          <w:rFonts w:ascii="Arial" w:cs="Arial" w:eastAsia="Arial" w:hAnsi="Arial"/>
          <w:sz w:val="18"/>
          <w:szCs w:val="18"/>
          <w:color w:val="auto"/>
        </w:rPr>
        <w:t>On the basis of the representations and warranties herein contained, but subject to the terms and conditions herein set forth, the Company agrees to sell in the aggregate 2,000,000 common shares of the Company, par value $0.0001 per share, and each Underwriter agrees to purchase, severally and not jointly, at the Closing, the following securities of the Company an aggregate of 2,000,000 shares (“</w:t>
      </w:r>
      <w:r>
        <w:rPr>
          <w:rFonts w:ascii="Arial" w:cs="Arial" w:eastAsia="Arial" w:hAnsi="Arial"/>
          <w:sz w:val="18"/>
          <w:szCs w:val="18"/>
          <w:b w:val="1"/>
          <w:bCs w:val="1"/>
          <w:color w:val="auto"/>
        </w:rPr>
        <w:t>Firm Shares</w:t>
      </w:r>
      <w:r>
        <w:rPr>
          <w:rFonts w:ascii="Arial" w:cs="Arial" w:eastAsia="Arial" w:hAnsi="Arial"/>
          <w:sz w:val="18"/>
          <w:szCs w:val="18"/>
          <w:color w:val="auto"/>
        </w:rPr>
        <w:t>”) of the Company’s common shares.</w:t>
      </w:r>
    </w:p>
    <w:p>
      <w:pPr>
        <w:spacing w:after="0" w:line="186" w:lineRule="exact"/>
        <w:rPr>
          <w:rFonts w:ascii="Arial" w:cs="Arial" w:eastAsia="Arial" w:hAnsi="Arial"/>
          <w:sz w:val="18"/>
          <w:szCs w:val="18"/>
          <w:color w:val="auto"/>
        </w:rPr>
      </w:pPr>
    </w:p>
    <w:p>
      <w:pPr>
        <w:jc w:val="both"/>
        <w:ind w:firstLine="1953"/>
        <w:spacing w:after="0" w:line="259" w:lineRule="auto"/>
        <w:tabs>
          <w:tab w:leader="none" w:pos="2218" w:val="left"/>
        </w:tabs>
        <w:numPr>
          <w:ilvl w:val="1"/>
          <w:numId w:val="1"/>
        </w:numPr>
        <w:rPr>
          <w:rFonts w:ascii="Arial" w:cs="Arial" w:eastAsia="Arial" w:hAnsi="Arial"/>
          <w:sz w:val="18"/>
          <w:szCs w:val="18"/>
          <w:color w:val="auto"/>
        </w:rPr>
      </w:pPr>
      <w:r>
        <w:rPr>
          <w:rFonts w:ascii="Arial" w:cs="Arial" w:eastAsia="Arial" w:hAnsi="Arial"/>
          <w:sz w:val="18"/>
          <w:szCs w:val="18"/>
          <w:color w:val="auto"/>
        </w:rPr>
        <w:t xml:space="preserve">The Firm Shares are to be offered together to the public at the offering price per one Firm Share as set forth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Purchase Price</w:t>
      </w:r>
      <w:r>
        <w:rPr>
          <w:rFonts w:ascii="Arial" w:cs="Arial" w:eastAsia="Arial" w:hAnsi="Arial"/>
          <w:sz w:val="18"/>
          <w:szCs w:val="18"/>
          <w:color w:val="auto"/>
        </w:rPr>
        <w:t xml:space="preserve">”). The Underwriters, severally and not jointly, agree to purchase from the Company the number of Firm Shares set forth opposite their respective names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and made a part hereof at the purchase price for one Firm Share of $4.90 (or 93.5% of the Purchase Price).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Firm Shares Payment and Delivery</w:t>
      </w:r>
      <w:r>
        <w:rPr>
          <w:rFonts w:ascii="Arial" w:cs="Arial" w:eastAsia="Arial" w:hAnsi="Arial"/>
          <w:sz w:val="18"/>
          <w:szCs w:val="18"/>
          <w:color w:val="auto"/>
        </w:rPr>
        <w:t>.</w:t>
      </w:r>
    </w:p>
    <w:p>
      <w:pPr>
        <w:spacing w:after="0" w:line="229" w:lineRule="exact"/>
        <w:rPr>
          <w:sz w:val="20"/>
          <w:szCs w:val="20"/>
          <w:color w:val="auto"/>
        </w:rPr>
      </w:pPr>
    </w:p>
    <w:p>
      <w:pPr>
        <w:jc w:val="both"/>
        <w:ind w:firstLine="1945"/>
        <w:spacing w:after="0" w:line="227" w:lineRule="auto"/>
        <w:rPr>
          <w:sz w:val="20"/>
          <w:szCs w:val="20"/>
          <w:color w:val="auto"/>
        </w:rPr>
      </w:pPr>
      <w:r>
        <w:rPr>
          <w:rFonts w:ascii="Arial" w:cs="Arial" w:eastAsia="Arial" w:hAnsi="Arial"/>
          <w:sz w:val="16"/>
          <w:szCs w:val="16"/>
          <w:color w:val="auto"/>
        </w:rPr>
        <w:t>(i) Delivery and payment for the Firm Shares shall be made at 10:00 a.m., Eastern time, on the second (2</w:t>
      </w:r>
      <w:r>
        <w:rPr>
          <w:rFonts w:ascii="Arial" w:cs="Arial" w:eastAsia="Arial" w:hAnsi="Arial"/>
          <w:sz w:val="26"/>
          <w:szCs w:val="26"/>
          <w:color w:val="auto"/>
          <w:vertAlign w:val="superscript"/>
        </w:rPr>
        <w:t>nd</w:t>
      </w:r>
      <w:r>
        <w:rPr>
          <w:rFonts w:ascii="Arial" w:cs="Arial" w:eastAsia="Arial" w:hAnsi="Arial"/>
          <w:sz w:val="16"/>
          <w:szCs w:val="16"/>
          <w:color w:val="auto"/>
        </w:rPr>
        <w:t>) Business Day following the effective date (the “</w:t>
      </w:r>
      <w:r>
        <w:rPr>
          <w:rFonts w:ascii="Arial" w:cs="Arial" w:eastAsia="Arial" w:hAnsi="Arial"/>
          <w:sz w:val="16"/>
          <w:szCs w:val="16"/>
          <w:b w:val="1"/>
          <w:bCs w:val="1"/>
          <w:color w:val="auto"/>
        </w:rPr>
        <w:t>Effective Date</w:t>
      </w:r>
      <w:r>
        <w:rPr>
          <w:rFonts w:ascii="Arial" w:cs="Arial" w:eastAsia="Arial" w:hAnsi="Arial"/>
          <w:sz w:val="16"/>
          <w:szCs w:val="16"/>
          <w:color w:val="auto"/>
        </w:rPr>
        <w:t xml:space="preserve">”) of the Registration Statement (as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below) (or the third (3</w:t>
      </w:r>
      <w:r>
        <w:rPr>
          <w:rFonts w:ascii="Arial" w:cs="Arial" w:eastAsia="Arial" w:hAnsi="Arial"/>
          <w:sz w:val="26"/>
          <w:szCs w:val="26"/>
          <w:color w:val="auto"/>
          <w:vertAlign w:val="superscript"/>
        </w:rPr>
        <w:t>rd</w:t>
      </w:r>
      <w:r>
        <w:rPr>
          <w:rFonts w:ascii="Arial" w:cs="Arial" w:eastAsia="Arial" w:hAnsi="Arial"/>
          <w:sz w:val="16"/>
          <w:szCs w:val="16"/>
          <w:color w:val="auto"/>
        </w:rPr>
        <w:t>) Business Day following the Effective Date if the Registration Statement is declared effective after 4:01 p.m., Eastern time) or at such earlier time as shall be agreed upon by</w:t>
      </w:r>
    </w:p>
    <w:p>
      <w:pPr>
        <w:jc w:val="both"/>
        <w:ind w:right="20"/>
        <w:spacing w:after="0" w:line="217" w:lineRule="auto"/>
        <w:rPr>
          <w:sz w:val="20"/>
          <w:szCs w:val="20"/>
          <w:color w:val="auto"/>
        </w:rPr>
      </w:pPr>
      <w:r>
        <w:rPr>
          <w:rFonts w:ascii="Arial" w:cs="Arial" w:eastAsia="Arial" w:hAnsi="Arial"/>
          <w:sz w:val="18"/>
          <w:szCs w:val="18"/>
          <w:color w:val="auto"/>
        </w:rPr>
        <w:t>the Representative and the Company, at the offices of Hunter Taubman Fischer &amp; Li LLC at 1450 Broadway, 26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10018 (“</w:t>
      </w:r>
      <w:r>
        <w:rPr>
          <w:rFonts w:ascii="Arial" w:cs="Arial" w:eastAsia="Arial" w:hAnsi="Arial"/>
          <w:sz w:val="18"/>
          <w:szCs w:val="18"/>
          <w:b w:val="1"/>
          <w:bCs w:val="1"/>
          <w:color w:val="auto"/>
        </w:rPr>
        <w:t>Representative’s Counsel</w:t>
      </w:r>
      <w:r>
        <w:rPr>
          <w:rFonts w:ascii="Arial" w:cs="Arial" w:eastAsia="Arial" w:hAnsi="Arial"/>
          <w:sz w:val="18"/>
          <w:szCs w:val="18"/>
          <w:color w:val="auto"/>
        </w:rPr>
        <w:t>”), or at such other place (or remotely by facsimile or other electronic transmission) as shall be agreed upon by the Representative and the Company. The hour and date of delivery and payment for the Firm Shares is called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ind w:firstLine="1953"/>
        <w:spacing w:after="0" w:line="255" w:lineRule="auto"/>
        <w:tabs>
          <w:tab w:leader="none" w:pos="2221"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 for the Firm Shares shall be made on the Closing Date by wire transfer in Federal (same day) funds, payable to the order of the Company upon delivery of the certificates (in form and substance satisfactory to the Underwriters) representing the Firm Shares (or through the facilities of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for the account of the Underwriters. The Firm Shares shall be registered in such name or names and in such authorized denominations as the Representative may request in writing at least two (2) full Business Days prior to the Closing Date. The Company shall not be obligated to sell or deliver the Firm Shares except upon tender of payment by the Representative for all of the Firm Shares. The term “</w:t>
      </w:r>
      <w:r>
        <w:rPr>
          <w:rFonts w:ascii="Arial" w:cs="Arial" w:eastAsia="Arial" w:hAnsi="Arial"/>
          <w:sz w:val="18"/>
          <w:szCs w:val="18"/>
          <w:b w:val="1"/>
          <w:bCs w:val="1"/>
          <w:color w:val="auto"/>
        </w:rPr>
        <w:t>Business Day</w:t>
      </w:r>
      <w:r>
        <w:rPr>
          <w:rFonts w:ascii="Arial" w:cs="Arial" w:eastAsia="Arial" w:hAnsi="Arial"/>
          <w:sz w:val="18"/>
          <w:szCs w:val="18"/>
          <w:color w:val="auto"/>
        </w:rPr>
        <w:t>” means any day other than a Saturday, a Sunday or a legal holiday or a day on which banking institutions are authorized or obligated by law to close in New York, New York.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u w:val="single" w:color="auto"/>
          <w:color w:val="auto"/>
        </w:rPr>
        <w:t>Over-allotment Option</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Option Shares</w:t>
      </w:r>
      <w:r>
        <w:rPr>
          <w:rFonts w:ascii="Arial" w:cs="Arial" w:eastAsia="Arial" w:hAnsi="Arial"/>
          <w:sz w:val="16"/>
          <w:szCs w:val="16"/>
          <w:color w:val="auto"/>
        </w:rPr>
        <w:t>. For the purposes of covering any over-allotments in connection with the distribution and sale of the Firm Shares, the Company hereby grants to the Underwriters an option (the “</w:t>
      </w:r>
      <w:r>
        <w:rPr>
          <w:rFonts w:ascii="Arial" w:cs="Arial" w:eastAsia="Arial" w:hAnsi="Arial"/>
          <w:sz w:val="16"/>
          <w:szCs w:val="16"/>
          <w:b w:val="1"/>
          <w:bCs w:val="1"/>
          <w:color w:val="auto"/>
        </w:rPr>
        <w:t>Over-allotment Option</w:t>
      </w:r>
      <w:r>
        <w:rPr>
          <w:rFonts w:ascii="Arial" w:cs="Arial" w:eastAsia="Arial" w:hAnsi="Arial"/>
          <w:sz w:val="16"/>
          <w:szCs w:val="16"/>
          <w:color w:val="auto"/>
        </w:rPr>
        <w:t>”) to purchase, in the aggregate, up to 300,000 additional common shares of the Company, par value $0.0001 per share (the “</w:t>
      </w:r>
      <w:r>
        <w:rPr>
          <w:rFonts w:ascii="Arial" w:cs="Arial" w:eastAsia="Arial" w:hAnsi="Arial"/>
          <w:sz w:val="16"/>
          <w:szCs w:val="16"/>
          <w:b w:val="1"/>
          <w:bCs w:val="1"/>
          <w:color w:val="auto"/>
        </w:rPr>
        <w:t>Option Shares</w:t>
      </w:r>
      <w:r>
        <w:rPr>
          <w:rFonts w:ascii="Arial" w:cs="Arial" w:eastAsia="Arial" w:hAnsi="Arial"/>
          <w:sz w:val="16"/>
          <w:szCs w:val="16"/>
          <w:color w:val="auto"/>
        </w:rPr>
        <w:t>”, and along with the Firm Shares,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representing Fifteen percent (15%) of the Firm Shares sold in the offering, from the Company. The purchase price to be paid per Option Share shall be equal to the price per Option Share set forth in </w:t>
      </w:r>
      <w:r>
        <w:rPr>
          <w:rFonts w:ascii="Arial" w:cs="Arial" w:eastAsia="Arial" w:hAnsi="Arial"/>
          <w:sz w:val="16"/>
          <w:szCs w:val="16"/>
          <w:u w:val="single" w:color="auto"/>
          <w:color w:val="auto"/>
        </w:rPr>
        <w:t>Schedule 2-A</w:t>
      </w:r>
      <w:r>
        <w:rPr>
          <w:rFonts w:ascii="Arial" w:cs="Arial" w:eastAsia="Arial" w:hAnsi="Arial"/>
          <w:sz w:val="16"/>
          <w:szCs w:val="16"/>
          <w:color w:val="auto"/>
        </w:rPr>
        <w:t>. The Shares shall be issued directly by the Company and shall have the rights and privileges described in the Registration Statement, the Pricing Disclosure Package and the Prospectus referred to below. The offering and sale of the Shares is herein referred to as the “</w:t>
      </w:r>
      <w:r>
        <w:rPr>
          <w:rFonts w:ascii="Arial" w:cs="Arial" w:eastAsia="Arial" w:hAnsi="Arial"/>
          <w:sz w:val="16"/>
          <w:szCs w:val="16"/>
          <w:b w:val="1"/>
          <w:bCs w:val="1"/>
          <w:color w:val="auto"/>
        </w:rPr>
        <w:t>Offering</w:t>
      </w:r>
      <w:r>
        <w:rPr>
          <w:rFonts w:ascii="Arial" w:cs="Arial" w:eastAsia="Arial" w:hAnsi="Arial"/>
          <w:sz w:val="16"/>
          <w:szCs w:val="16"/>
          <w:color w:val="auto"/>
        </w:rPr>
        <w:t>.”</w:t>
      </w:r>
    </w:p>
    <w:p>
      <w:pPr>
        <w:spacing w:after="0" w:line="165"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Exercise of Option</w:t>
      </w:r>
      <w:r>
        <w:rPr>
          <w:rFonts w:ascii="Arial" w:cs="Arial" w:eastAsia="Arial" w:hAnsi="Arial"/>
          <w:sz w:val="17"/>
          <w:szCs w:val="17"/>
          <w:color w:val="auto"/>
        </w:rPr>
        <w:t xml:space="preserve">. The Over-allotment Option granted pursuant to </w:t>
      </w:r>
      <w:r>
        <w:rPr>
          <w:rFonts w:ascii="Arial" w:cs="Arial" w:eastAsia="Arial" w:hAnsi="Arial"/>
          <w:sz w:val="17"/>
          <w:szCs w:val="17"/>
          <w:u w:val="single" w:color="auto"/>
          <w:color w:val="auto"/>
        </w:rPr>
        <w:t>Section 1.2.1</w:t>
      </w:r>
      <w:r>
        <w:rPr>
          <w:rFonts w:ascii="Arial" w:cs="Arial" w:eastAsia="Arial" w:hAnsi="Arial"/>
          <w:sz w:val="17"/>
          <w:szCs w:val="17"/>
          <w:color w:val="auto"/>
        </w:rPr>
        <w:t xml:space="preserve"> hereof may be exercised by the Representative as to all (at any time) or any part (from time to time) of the Option Shares within forty-five (45) days after the Effective Date. The Underwriters shall not be under any obligation to purchase any the Option Shares prior to the exercise of the Over-allotment Option. The Over-allotment Option granted hereby may be exercised by the giving of written notice to the Company from the Representative, setting forth the number of the Option Shares to be purchased and the date and time for delivery of and payment for the Option Shares (the “</w:t>
      </w:r>
      <w:r>
        <w:rPr>
          <w:rFonts w:ascii="Arial" w:cs="Arial" w:eastAsia="Arial" w:hAnsi="Arial"/>
          <w:sz w:val="17"/>
          <w:szCs w:val="17"/>
          <w:b w:val="1"/>
          <w:bCs w:val="1"/>
          <w:color w:val="auto"/>
        </w:rPr>
        <w:t>Option Closing Date</w:t>
      </w:r>
      <w:r>
        <w:rPr>
          <w:rFonts w:ascii="Arial" w:cs="Arial" w:eastAsia="Arial" w:hAnsi="Arial"/>
          <w:sz w:val="17"/>
          <w:szCs w:val="17"/>
          <w:color w:val="auto"/>
        </w:rPr>
        <w:t xml:space="preserve">”), which shall not be later than five (5) full Business Days after the date of the notice or such other time as shall be agreed upon by the Company and the Representative, at the offices of Representative’s Counsel or at such other place (including remotely by facsimile or other electronic transmission) as shall be agreed upon by the Company and the Representative. If such delivery and payment for the Option Shares does not occur on the Closing Date, the Option Closing Date will be as set forth in the notice. Upon exercise of the Over-allotment Option with respect to all or any portion of the Option Shares subject to the terms and conditions set forth herein, (i) the Company shall become obligated to sell to the Underwriters the number of the Option Shares specified in such notice and (ii) each of the Underwriters, acting severally and not jointly, shall purchase that portion of the total number of the Option Shares then being purchased as set forth in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opposite the name of such Underwriter</w:t>
      </w:r>
    </w:p>
    <w:p>
      <w:pPr>
        <w:spacing w:after="0" w:line="180" w:lineRule="exact"/>
        <w:rPr>
          <w:sz w:val="20"/>
          <w:szCs w:val="20"/>
          <w:color w:val="auto"/>
        </w:rPr>
      </w:pPr>
    </w:p>
    <w:p>
      <w:pPr>
        <w:jc w:val="both"/>
        <w:ind w:firstLine="1297"/>
        <w:spacing w:after="0" w:line="297"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Payment and Delivery</w:t>
      </w:r>
      <w:r>
        <w:rPr>
          <w:rFonts w:ascii="Arial" w:cs="Arial" w:eastAsia="Arial" w:hAnsi="Arial"/>
          <w:sz w:val="16"/>
          <w:szCs w:val="16"/>
          <w:color w:val="auto"/>
        </w:rPr>
        <w:t>. Payment for the Option Shares shall be made on the Option Closing Date by wire transfer in Federal (same day) funds, payable to the order of the Company upon delivery to you of certificates (in form and substance satisfactory to the Underwriters) representing the Option Shares (or through the facilities of DTC) for the account of the Underwriters. The Option Shares shall be registered in such name or names and in such authorized denominations as the Representative may request in writing at least two (2) full Business Days prior to the Option Closing Date. The Company shall not be obligated to sell or deliver the Option Shares except upon tender of payment by the Representative for applicable Option Shares.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ind w:firstLine="8"/>
        <w:spacing w:after="0" w:line="277"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the Underwriters as of the Applicable Time (as defined below), as of the Closing Date and as of the Option Closing Date, if any, as follows: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 </w:t>
      </w:r>
      <w:r>
        <w:rPr>
          <w:rFonts w:ascii="Arial" w:cs="Arial" w:eastAsia="Arial" w:hAnsi="Arial"/>
          <w:sz w:val="18"/>
          <w:szCs w:val="18"/>
          <w:i w:val="1"/>
          <w:iCs w:val="1"/>
          <w:u w:val="single" w:color="auto"/>
          <w:color w:val="auto"/>
        </w:rPr>
        <w:t>Filing of Registration Statement</w:t>
      </w:r>
      <w:r>
        <w:rPr>
          <w:rFonts w:ascii="Arial" w:cs="Arial" w:eastAsia="Arial" w:hAnsi="Arial"/>
          <w:sz w:val="18"/>
          <w:szCs w:val="18"/>
          <w:i w:val="1"/>
          <w:iCs w:val="1"/>
          <w:color w:val="auto"/>
        </w:rPr>
        <w:t>.</w:t>
      </w:r>
    </w:p>
    <w:p>
      <w:pPr>
        <w:spacing w:after="0" w:line="221"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Pursuant to the Securities Act</w:t>
      </w:r>
      <w:r>
        <w:rPr>
          <w:rFonts w:ascii="Arial" w:cs="Arial" w:eastAsia="Arial" w:hAnsi="Arial"/>
          <w:sz w:val="17"/>
          <w:szCs w:val="17"/>
          <w:color w:val="auto"/>
        </w:rPr>
        <w:t>. The Company has filed with the U.S.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a registration statement, and an amendment or amendments thereto, on Form F-1 (File No. 333-223956), including any related prospectus or prospectuses, for the registration of the Shares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which registration statement and amendment or amendments have been prepared by the Company in all material respects in conformity with the requirements of the Securities Act and the rules and regulations of the Commission under the Securities Act (the “</w:t>
      </w:r>
      <w:r>
        <w:rPr>
          <w:rFonts w:ascii="Arial" w:cs="Arial" w:eastAsia="Arial" w:hAnsi="Arial"/>
          <w:sz w:val="17"/>
          <w:szCs w:val="17"/>
          <w:b w:val="1"/>
          <w:bCs w:val="1"/>
          <w:color w:val="auto"/>
        </w:rPr>
        <w:t>Securities Act Regulations</w:t>
      </w:r>
      <w:r>
        <w:rPr>
          <w:rFonts w:ascii="Arial" w:cs="Arial" w:eastAsia="Arial" w:hAnsi="Arial"/>
          <w:sz w:val="17"/>
          <w:szCs w:val="17"/>
          <w:color w:val="auto"/>
        </w:rPr>
        <w:t>”) and will contain all material statements that are required to be stated therein in accordance with the Securities Act and the Securities Act Regulations. Except as the context may otherwise require, such registration statement, as amended, on file with the Commission at the time the registration statement became effective (including the Preliminary Prospectus included in the registration statement, financial statements, schedules, exhibits and all other documents filed as a part thereof or incorporated therein and all information deemed to be a part thereof as of the Effective Date pursuant to paragraph (b) of Rule 430A of the Securities Act Regulations (the “</w:t>
      </w:r>
      <w:r>
        <w:rPr>
          <w:rFonts w:ascii="Arial" w:cs="Arial" w:eastAsia="Arial" w:hAnsi="Arial"/>
          <w:sz w:val="17"/>
          <w:szCs w:val="17"/>
          <w:b w:val="1"/>
          <w:bCs w:val="1"/>
          <w:color w:val="auto"/>
        </w:rPr>
        <w:t>Rule 430A</w:t>
      </w:r>
      <w:r>
        <w:rPr>
          <w:rFonts w:ascii="Arial" w:cs="Arial" w:eastAsia="Arial" w:hAnsi="Arial"/>
          <w:sz w:val="17"/>
          <w:szCs w:val="17"/>
          <w:color w:val="auto"/>
        </w:rPr>
        <w:t xml:space="preserve"> </w:t>
      </w:r>
      <w:r>
        <w:rPr>
          <w:rFonts w:ascii="Arial" w:cs="Arial" w:eastAsia="Arial" w:hAnsi="Arial"/>
          <w:sz w:val="17"/>
          <w:szCs w:val="17"/>
          <w:b w:val="1"/>
          <w:bCs w:val="1"/>
          <w:color w:val="auto"/>
        </w:rPr>
        <w:t>Information</w:t>
      </w:r>
      <w:r>
        <w:rPr>
          <w:rFonts w:ascii="Arial" w:cs="Arial" w:eastAsia="Arial" w:hAnsi="Arial"/>
          <w:sz w:val="17"/>
          <w:szCs w:val="17"/>
          <w:color w:val="auto"/>
        </w:rPr>
        <w:t>”)), is referred to herein as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If the Company files any registration statement pursuant to Rule 462(b)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Regulations, then after such filing, the term “</w:t>
      </w:r>
      <w:r>
        <w:rPr>
          <w:rFonts w:ascii="Arial" w:cs="Arial" w:eastAsia="Arial" w:hAnsi="Arial"/>
          <w:sz w:val="17"/>
          <w:szCs w:val="17"/>
          <w:b w:val="1"/>
          <w:bCs w:val="1"/>
          <w:color w:val="auto"/>
        </w:rPr>
        <w:t>Registration Statement</w:t>
      </w:r>
      <w:r>
        <w:rPr>
          <w:rFonts w:ascii="Arial" w:cs="Arial" w:eastAsia="Arial" w:hAnsi="Arial"/>
          <w:sz w:val="17"/>
          <w:szCs w:val="17"/>
          <w:color w:val="auto"/>
        </w:rPr>
        <w:t>” shall include such registration statement filed pursuant to Rule 462(b). The Registration Statement has been declared effective by the Commission on the date hereof.</w:t>
      </w:r>
    </w:p>
    <w:p>
      <w:pPr>
        <w:spacing w:after="0" w:line="184" w:lineRule="exact"/>
        <w:rPr>
          <w:sz w:val="20"/>
          <w:szCs w:val="20"/>
          <w:color w:val="auto"/>
        </w:rPr>
      </w:pPr>
    </w:p>
    <w:p>
      <w:pPr>
        <w:jc w:val="both"/>
        <w:ind w:firstLine="843"/>
        <w:spacing w:after="0" w:line="255" w:lineRule="auto"/>
        <w:rPr>
          <w:sz w:val="20"/>
          <w:szCs w:val="20"/>
          <w:color w:val="auto"/>
        </w:rPr>
      </w:pPr>
      <w:r>
        <w:rPr>
          <w:rFonts w:ascii="Arial" w:cs="Arial" w:eastAsia="Arial" w:hAnsi="Arial"/>
          <w:sz w:val="18"/>
          <w:szCs w:val="18"/>
          <w:color w:val="auto"/>
        </w:rPr>
        <w:t>Each prospectus used prior to the effectiveness of the Registration Statement, and each prospectus that omitted the Rule 430A Information that was used after such effectiveness and prior to the execution and delivery of this Agreement, is herein called a “</w:t>
      </w:r>
      <w:r>
        <w:rPr>
          <w:rFonts w:ascii="Arial" w:cs="Arial" w:eastAsia="Arial" w:hAnsi="Arial"/>
          <w:sz w:val="18"/>
          <w:szCs w:val="18"/>
          <w:b w:val="1"/>
          <w:bCs w:val="1"/>
          <w:color w:val="auto"/>
        </w:rPr>
        <w:t>Preliminary Prospectus</w:t>
      </w:r>
      <w:r>
        <w:rPr>
          <w:rFonts w:ascii="Arial" w:cs="Arial" w:eastAsia="Arial" w:hAnsi="Arial"/>
          <w:sz w:val="18"/>
          <w:szCs w:val="18"/>
          <w:color w:val="auto"/>
        </w:rPr>
        <w:t>.” The Preliminary Prospectus, subject to completion, dated April 24, 2018, that was included in the Registration Statement immediately prior to the Applicable Time is hereinafter called the “Pricing Prospectus.” The final prospectus in the form first furnished to the Underwriters for use in the Offering is hereinafter called the “</w:t>
      </w:r>
      <w:r>
        <w:rPr>
          <w:rFonts w:ascii="Arial" w:cs="Arial" w:eastAsia="Arial" w:hAnsi="Arial"/>
          <w:sz w:val="18"/>
          <w:szCs w:val="18"/>
          <w:b w:val="1"/>
          <w:bCs w:val="1"/>
          <w:color w:val="auto"/>
        </w:rPr>
        <w:t>Prospectus</w:t>
      </w:r>
      <w:r>
        <w:rPr>
          <w:rFonts w:ascii="Arial" w:cs="Arial" w:eastAsia="Arial" w:hAnsi="Arial"/>
          <w:sz w:val="18"/>
          <w:szCs w:val="18"/>
          <w:color w:val="auto"/>
        </w:rPr>
        <w:t>.” Any reference to the “most recent Preliminary Prospectus” shall be deemed to refer to the latest Preliminary Prospectus included in the Registration Statement.</w:t>
      </w:r>
    </w:p>
    <w:p>
      <w:pPr>
        <w:spacing w:after="0" w:line="189" w:lineRule="exact"/>
        <w:rPr>
          <w:sz w:val="20"/>
          <w:szCs w:val="20"/>
          <w:color w:val="auto"/>
        </w:rPr>
      </w:pPr>
    </w:p>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5:00pm, Eastern time, on the date of this Agreement.</w:t>
      </w:r>
    </w:p>
    <w:p>
      <w:pPr>
        <w:spacing w:after="0" w:line="225" w:lineRule="exact"/>
        <w:rPr>
          <w:sz w:val="20"/>
          <w:szCs w:val="20"/>
          <w:color w:val="auto"/>
        </w:rPr>
      </w:pPr>
    </w:p>
    <w:p>
      <w:pPr>
        <w:jc w:val="both"/>
        <w:ind w:firstLine="843"/>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Free Writing Prospectus</w:t>
      </w:r>
      <w:r>
        <w:rPr>
          <w:rFonts w:ascii="Arial" w:cs="Arial" w:eastAsia="Arial" w:hAnsi="Arial"/>
          <w:sz w:val="17"/>
          <w:szCs w:val="17"/>
          <w:color w:val="auto"/>
        </w:rPr>
        <w:t>” means any “issuer free writing prospectus,” as defined in Rule 433 of the Securities Act Regulations (“</w:t>
      </w:r>
      <w:r>
        <w:rPr>
          <w:rFonts w:ascii="Arial" w:cs="Arial" w:eastAsia="Arial" w:hAnsi="Arial"/>
          <w:sz w:val="17"/>
          <w:szCs w:val="17"/>
          <w:b w:val="1"/>
          <w:bCs w:val="1"/>
          <w:color w:val="auto"/>
        </w:rPr>
        <w:t>Rule</w:t>
      </w:r>
      <w:r>
        <w:rPr>
          <w:rFonts w:ascii="Arial" w:cs="Arial" w:eastAsia="Arial" w:hAnsi="Arial"/>
          <w:sz w:val="17"/>
          <w:szCs w:val="17"/>
          <w:color w:val="auto"/>
        </w:rPr>
        <w:t xml:space="preserve"> </w:t>
      </w:r>
      <w:r>
        <w:rPr>
          <w:rFonts w:ascii="Arial" w:cs="Arial" w:eastAsia="Arial" w:hAnsi="Arial"/>
          <w:sz w:val="17"/>
          <w:szCs w:val="17"/>
          <w:b w:val="1"/>
          <w:bCs w:val="1"/>
          <w:color w:val="auto"/>
        </w:rPr>
        <w:t>433</w:t>
      </w:r>
      <w:r>
        <w:rPr>
          <w:rFonts w:ascii="Arial" w:cs="Arial" w:eastAsia="Arial" w:hAnsi="Arial"/>
          <w:sz w:val="17"/>
          <w:szCs w:val="17"/>
          <w:color w:val="auto"/>
        </w:rPr>
        <w:t>”), including without limitation any “free writing prospectus” (as defined in Rule 405 of the Securities Act Regulations) relating to the Shares that is (i)</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Shares or of the Offering that does not reflect the final terms, in each case in the form filed or required to be filed with the Commission or, if not required to be filed, in the form retained in the Company’s records pursuant to Rule 433(g).</w:t>
      </w:r>
    </w:p>
    <w:p>
      <w:pPr>
        <w:spacing w:after="0" w:line="174" w:lineRule="exact"/>
        <w:rPr>
          <w:sz w:val="20"/>
          <w:szCs w:val="20"/>
          <w:color w:val="auto"/>
        </w:rPr>
      </w:pPr>
    </w:p>
    <w:p>
      <w:pPr>
        <w:jc w:val="both"/>
        <w:ind w:firstLine="843"/>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General Use Free Writing Prospectus</w:t>
      </w:r>
      <w:r>
        <w:rPr>
          <w:rFonts w:ascii="Arial" w:cs="Arial" w:eastAsia="Arial" w:hAnsi="Arial"/>
          <w:sz w:val="18"/>
          <w:szCs w:val="18"/>
          <w:color w:val="auto"/>
        </w:rPr>
        <w:t>”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w:t>
      </w:r>
      <w:r>
        <w:rPr>
          <w:rFonts w:ascii="Arial" w:cs="Arial" w:eastAsia="Arial" w:hAnsi="Arial"/>
          <w:sz w:val="18"/>
          <w:szCs w:val="18"/>
          <w:b w:val="1"/>
          <w:bCs w:val="1"/>
          <w:color w:val="auto"/>
        </w:rPr>
        <w:t>Bona Fide Electronic Road Show</w:t>
      </w:r>
      <w:r>
        <w:rPr>
          <w:rFonts w:ascii="Arial" w:cs="Arial" w:eastAsia="Arial" w:hAnsi="Arial"/>
          <w:sz w:val="18"/>
          <w:szCs w:val="18"/>
          <w:color w:val="auto"/>
        </w:rPr>
        <w:t xml:space="preserve">”)), as evidenced by its being specified in </w:t>
      </w:r>
      <w:r>
        <w:rPr>
          <w:rFonts w:ascii="Arial" w:cs="Arial" w:eastAsia="Arial" w:hAnsi="Arial"/>
          <w:sz w:val="18"/>
          <w:szCs w:val="18"/>
          <w:u w:val="single" w:color="auto"/>
          <w:color w:val="auto"/>
        </w:rPr>
        <w:t>Schedule 2-B</w:t>
      </w:r>
      <w:r>
        <w:rPr>
          <w:rFonts w:ascii="Arial" w:cs="Arial" w:eastAsia="Arial" w:hAnsi="Arial"/>
          <w:sz w:val="18"/>
          <w:szCs w:val="18"/>
          <w:color w:val="auto"/>
        </w:rPr>
        <w:t xml:space="preserve"> hereto.</w:t>
      </w:r>
    </w:p>
    <w:p>
      <w:pPr>
        <w:spacing w:after="0" w:line="176" w:lineRule="exact"/>
        <w:rPr>
          <w:sz w:val="20"/>
          <w:szCs w:val="20"/>
          <w:color w:val="auto"/>
        </w:rPr>
      </w:pPr>
    </w:p>
    <w:p>
      <w:pPr>
        <w:ind w:left="8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Issuer Limited Use Free Writing Prospectus</w:t>
      </w:r>
      <w:r>
        <w:rPr>
          <w:rFonts w:ascii="Arial" w:cs="Arial" w:eastAsia="Arial" w:hAnsi="Arial"/>
          <w:sz w:val="17"/>
          <w:szCs w:val="17"/>
          <w:color w:val="auto"/>
        </w:rPr>
        <w:t>” means any Issuer Free Writing Prospectus that is not an Issuer General Use Free Writing</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90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any Issuer General Use Free Writing Prospectus issued at or prior to the Applicable Time, the Pricing Prospectus and the information included on </w:t>
      </w:r>
      <w:r>
        <w:rPr>
          <w:rFonts w:ascii="Arial" w:cs="Arial" w:eastAsia="Arial" w:hAnsi="Arial"/>
          <w:sz w:val="18"/>
          <w:szCs w:val="18"/>
          <w:u w:val="single" w:color="auto"/>
          <w:color w:val="auto"/>
        </w:rPr>
        <w:t>Schedule 2-A</w:t>
      </w:r>
      <w:r>
        <w:rPr>
          <w:rFonts w:ascii="Arial" w:cs="Arial" w:eastAsia="Arial" w:hAnsi="Arial"/>
          <w:sz w:val="18"/>
          <w:szCs w:val="18"/>
          <w:color w:val="auto"/>
        </w:rPr>
        <w:t xml:space="preserve"> hereto, all considered together.</w:t>
      </w:r>
    </w:p>
    <w:p>
      <w:pPr>
        <w:spacing w:after="0" w:line="166"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Pursuant to the Exchange Act</w:t>
      </w:r>
      <w:r>
        <w:rPr>
          <w:rFonts w:ascii="Arial" w:cs="Arial" w:eastAsia="Arial" w:hAnsi="Arial"/>
          <w:sz w:val="17"/>
          <w:szCs w:val="17"/>
          <w:color w:val="auto"/>
        </w:rPr>
        <w:t>. The Company has filed with the Commission a Form 8-A (File Number 001-38505) providing for the registration pursuant to Section 12(b) under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of the common shares of the Company. The registration of the common shares of the Company under the Exchange Act has become effective on or prior to the date hereof. The Company has taken no action designed to, or likely to have the effect of, terminating the registration of the common shares of the Company under the Exchange Act, nor has the Company received any notification that the Commission is contemplating terminating such registration.</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2.2. </w:t>
      </w:r>
      <w:r>
        <w:rPr>
          <w:rFonts w:ascii="Arial" w:cs="Arial" w:eastAsia="Arial" w:hAnsi="Arial"/>
          <w:sz w:val="16"/>
          <w:szCs w:val="16"/>
          <w:i w:val="1"/>
          <w:iCs w:val="1"/>
          <w:u w:val="single" w:color="auto"/>
          <w:color w:val="auto"/>
        </w:rPr>
        <w:t>Share Exchange Listing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Shares and the common shares underlying the Warrants have been approved for listing on the NASDAQ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Market (the “</w:t>
      </w:r>
      <w:r>
        <w:rPr>
          <w:rFonts w:ascii="Arial" w:cs="Arial" w:eastAsia="Arial" w:hAnsi="Arial"/>
          <w:sz w:val="16"/>
          <w:szCs w:val="16"/>
          <w:b w:val="1"/>
          <w:bCs w:val="1"/>
          <w:color w:val="auto"/>
        </w:rPr>
        <w:t>Exchange</w:t>
      </w:r>
      <w:r>
        <w:rPr>
          <w:rFonts w:ascii="Arial" w:cs="Arial" w:eastAsia="Arial" w:hAnsi="Arial"/>
          <w:sz w:val="16"/>
          <w:szCs w:val="16"/>
          <w:color w:val="auto"/>
        </w:rPr>
        <w:t>”), and the Company has taken no action designed to, or likely to have the effect of, delisting of the Shares and the common shares underlying the Warrants from the Exchange, nor has the Company received any notification that the Exchange is contemplating terminating such listing.</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2.3. </w:t>
      </w:r>
      <w:r>
        <w:rPr>
          <w:rFonts w:ascii="Arial" w:cs="Arial" w:eastAsia="Arial" w:hAnsi="Arial"/>
          <w:sz w:val="18"/>
          <w:szCs w:val="18"/>
          <w:i w:val="1"/>
          <w:iCs w:val="1"/>
          <w:u w:val="single" w:color="auto"/>
          <w:color w:val="auto"/>
        </w:rPr>
        <w:t>No Stop Orders, etc</w:t>
      </w:r>
      <w:r>
        <w:rPr>
          <w:rFonts w:ascii="Arial" w:cs="Arial" w:eastAsia="Arial" w:hAnsi="Arial"/>
          <w:sz w:val="18"/>
          <w:szCs w:val="18"/>
          <w:i w:val="1"/>
          <w:iCs w:val="1"/>
          <w:color w:val="auto"/>
        </w:rPr>
        <w:t xml:space="preserve">. </w:t>
      </w:r>
      <w:r>
        <w:rPr>
          <w:rFonts w:ascii="Arial" w:cs="Arial" w:eastAsia="Arial" w:hAnsi="Arial"/>
          <w:sz w:val="18"/>
          <w:szCs w:val="18"/>
          <w:color w:val="auto"/>
        </w:rPr>
        <w:t>Neither the Commission nor, to the Company’s knowledge, any state regulatory authority has issued any order preventing</w:t>
      </w:r>
      <w:r>
        <w:rPr>
          <w:rFonts w:ascii="Arial" w:cs="Arial" w:eastAsia="Arial" w:hAnsi="Arial"/>
          <w:sz w:val="18"/>
          <w:szCs w:val="18"/>
          <w:i w:val="1"/>
          <w:iCs w:val="1"/>
          <w:color w:val="auto"/>
        </w:rPr>
        <w:t xml:space="preserve"> </w:t>
      </w:r>
      <w:r>
        <w:rPr>
          <w:rFonts w:ascii="Arial" w:cs="Arial" w:eastAsia="Arial" w:hAnsi="Arial"/>
          <w:sz w:val="18"/>
          <w:szCs w:val="18"/>
          <w:color w:val="auto"/>
        </w:rPr>
        <w:t>or suspending the use of the Registration Statement, any Preliminary Prospectus or the Prospectus or has instituted or, to the Company’s knowledge, threatened to institute, any proceedings with respect to such an order. The Company has complied with each request (if any) from the Commission for additional information.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2.4. </w:t>
      </w:r>
      <w:r>
        <w:rPr>
          <w:rFonts w:ascii="Arial" w:cs="Arial" w:eastAsia="Arial" w:hAnsi="Arial"/>
          <w:sz w:val="18"/>
          <w:szCs w:val="18"/>
          <w:i w:val="1"/>
          <w:iCs w:val="1"/>
          <w:u w:val="single" w:color="auto"/>
          <w:color w:val="auto"/>
        </w:rPr>
        <w:t>Disclosures in Registration Statement</w:t>
      </w:r>
      <w:r>
        <w:rPr>
          <w:rFonts w:ascii="Arial" w:cs="Arial" w:eastAsia="Arial" w:hAnsi="Arial"/>
          <w:sz w:val="18"/>
          <w:szCs w:val="18"/>
          <w:i w:val="1"/>
          <w:iCs w:val="1"/>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2.4.1. </w:t>
      </w:r>
      <w:r>
        <w:rPr>
          <w:rFonts w:ascii="Arial" w:cs="Arial" w:eastAsia="Arial" w:hAnsi="Arial"/>
          <w:sz w:val="18"/>
          <w:szCs w:val="18"/>
          <w:u w:val="single" w:color="auto"/>
          <w:color w:val="auto"/>
        </w:rPr>
        <w:t>Compliance with Securities Act and 10b-5 Representation</w:t>
      </w:r>
      <w:r>
        <w:rPr>
          <w:rFonts w:ascii="Arial" w:cs="Arial" w:eastAsia="Arial" w:hAnsi="Arial"/>
          <w:sz w:val="18"/>
          <w:szCs w:val="18"/>
          <w:color w:val="auto"/>
        </w:rPr>
        <w:t>.</w:t>
      </w:r>
    </w:p>
    <w:p>
      <w:pPr>
        <w:spacing w:after="0" w:line="225" w:lineRule="exact"/>
        <w:rPr>
          <w:sz w:val="20"/>
          <w:szCs w:val="20"/>
          <w:color w:val="auto"/>
        </w:rPr>
      </w:pPr>
    </w:p>
    <w:p>
      <w:pPr>
        <w:jc w:val="both"/>
        <w:ind w:firstLine="2018"/>
        <w:spacing w:after="0" w:line="293" w:lineRule="auto"/>
        <w:tabs>
          <w:tab w:leader="none" w:pos="2234" w:val="left"/>
        </w:tabs>
        <w:numPr>
          <w:ilvl w:val="0"/>
          <w:numId w:val="4"/>
        </w:numPr>
        <w:rPr>
          <w:rFonts w:ascii="Arial" w:cs="Arial" w:eastAsia="Arial" w:hAnsi="Arial"/>
          <w:sz w:val="16"/>
          <w:szCs w:val="16"/>
          <w:color w:val="auto"/>
        </w:rPr>
      </w:pPr>
      <w:r>
        <w:rPr>
          <w:rFonts w:ascii="Arial" w:cs="Arial" w:eastAsia="Arial" w:hAnsi="Arial"/>
          <w:sz w:val="16"/>
          <w:szCs w:val="16"/>
          <w:color w:val="auto"/>
        </w:rPr>
        <w:t>Each of the Registration Statement and any post-effective amendment thereto, at the time it became effective, complied in all material respects with the requirements of the Securities Act and the Securities Act Regulations. Each Preliminary Prospectus, including the prospectus filed as part of the Registration Statement as originally filed or as part of any amendment or supplement thereto, and the Prospectus, at the time each was filed with the Commission, complied in all material respects with the requirements of the Securities Act and the Securities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jc w:val="both"/>
        <w:ind w:firstLine="2018"/>
        <w:spacing w:after="0" w:line="264" w:lineRule="auto"/>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Neither the Registration Statement nor any amendment thereto, at its effective time, as of the Applicable Time, at the Closing Date or at any Option Closing Date (if any), contained, contains or will contain an untrue statement of a material fact or omitted, omits or will omit to state a material fact required to be stated therein or necessary to make the statements therein not misleading.</w:t>
      </w:r>
    </w:p>
    <w:p>
      <w:pPr>
        <w:spacing w:after="0" w:line="181" w:lineRule="exact"/>
        <w:rPr>
          <w:rFonts w:ascii="Arial" w:cs="Arial" w:eastAsia="Arial" w:hAnsi="Arial"/>
          <w:sz w:val="18"/>
          <w:szCs w:val="18"/>
          <w:color w:val="auto"/>
        </w:rPr>
      </w:pPr>
    </w:p>
    <w:p>
      <w:pPr>
        <w:jc w:val="both"/>
        <w:ind w:firstLine="2018"/>
        <w:spacing w:after="0" w:line="289" w:lineRule="auto"/>
        <w:tabs>
          <w:tab w:leader="none" w:pos="2336"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The Pricing Disclosure Package, as of the Applicable Time, at the Closing Date or at any Option Closing Date (if any), did not, does not and will not include an untrue statement of a material fact or omit to state a material fact necessary in order to make the statements therein, in the light of the circumstances under which they were made, not misleading; and each Issuer Limited Use Free Writing Prospectus hereto does not conflict with the information contained in the Registration Statement, any Preliminary Prospectus, the Pricing Prospectus or the Prospectus, and each such Issuer Limited Use Free Writing Prospectus, as supplemented by and taken together with the Pricing Prospectus as of the Applicable Time, did not include an untrue statement of a material fact or omit to state a material fact necessary in order to make the statements therein, in light of the circumstances under which they were made,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representation and warranty shall not apply to statements made in reliance upon and in conformity with written information furnished to the Company in writing with respect to the Underwriters by the Representative expressly for use in the Registration Statement, the Pricing Prospectus or the Prospectus or any amendment thereof or supplement thereto (the “</w:t>
      </w:r>
      <w:r>
        <w:rPr>
          <w:rFonts w:ascii="Arial" w:cs="Arial" w:eastAsia="Arial" w:hAnsi="Arial"/>
          <w:sz w:val="16"/>
          <w:szCs w:val="16"/>
          <w:b w:val="1"/>
          <w:bCs w:val="1"/>
          <w:color w:val="auto"/>
        </w:rPr>
        <w:t>Underwriters’ Information</w:t>
      </w:r>
      <w:r>
        <w:rPr>
          <w:rFonts w:ascii="Arial" w:cs="Arial" w:eastAsia="Arial" w:hAnsi="Arial"/>
          <w:sz w:val="16"/>
          <w:szCs w:val="16"/>
          <w:color w:val="auto"/>
        </w:rPr>
        <w:t>”); and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firstLine="2018"/>
        <w:spacing w:after="0" w:line="257" w:lineRule="auto"/>
        <w:tabs>
          <w:tab w:leader="none" w:pos="2322"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Neither the Prospectus nor any amendment or supplement thereto (including any prospectus wrapper), as of its issue date, at the time of any filing with the Commission pursuant to Rule 424(b), at the Closing Date or at any Option Closing Date, included, includes or will include an untrue statement of a material fact or omitted, omits or will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this representation and warranty shall not apply to the Underwriters’ Information.</w:t>
      </w:r>
    </w:p>
    <w:p>
      <w:pPr>
        <w:spacing w:after="0" w:line="188" w:lineRule="exact"/>
        <w:rPr>
          <w:sz w:val="20"/>
          <w:szCs w:val="20"/>
          <w:color w:val="auto"/>
        </w:rPr>
      </w:pPr>
    </w:p>
    <w:p>
      <w:pPr>
        <w:jc w:val="both"/>
        <w:ind w:firstLine="1297"/>
        <w:spacing w:after="0" w:line="267" w:lineRule="auto"/>
        <w:rPr>
          <w:sz w:val="20"/>
          <w:szCs w:val="20"/>
          <w:color w:val="auto"/>
        </w:rPr>
      </w:pPr>
      <w:r>
        <w:rPr>
          <w:rFonts w:ascii="Arial" w:cs="Arial" w:eastAsia="Arial" w:hAnsi="Arial"/>
          <w:sz w:val="17"/>
          <w:szCs w:val="17"/>
          <w:color w:val="auto"/>
        </w:rPr>
        <w:t xml:space="preserve">2.4.2. </w:t>
      </w:r>
      <w:r>
        <w:rPr>
          <w:rFonts w:ascii="Arial" w:cs="Arial" w:eastAsia="Arial" w:hAnsi="Arial"/>
          <w:sz w:val="17"/>
          <w:szCs w:val="17"/>
          <w:u w:val="single" w:color="auto"/>
          <w:color w:val="auto"/>
        </w:rPr>
        <w:t>Disclosure of Agreements</w:t>
      </w:r>
      <w:r>
        <w:rPr>
          <w:rFonts w:ascii="Arial" w:cs="Arial" w:eastAsia="Arial" w:hAnsi="Arial"/>
          <w:sz w:val="17"/>
          <w:szCs w:val="17"/>
          <w:color w:val="auto"/>
        </w:rPr>
        <w:t>. The agreements and documents described in the Registration Statement, the Pricing Disclosure Package and the Prospectus conform in all material respects to the descriptions thereof contained therein and there are no agreements or other documents required by the Securities Act and the Securities Act Regulations to be described in the Registration Statement, the Pricing Disclosure Package and the Prospectus or to be filed with the Commission as exhibits to the Registration Statement, that have not been so described or filed. Each agreement or other instrument (however characterized or described) to which the Company is a party or by which it is or may be bound or affected and (i) that is filed as an exhibit to the Registration Statement, the Pricing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None of such agreements or instruments has been assigned by the Company, and neither the Company nor, to the Company’s knowledge, any other party is in default thereunder and, to the Company’s knowledge, no event has occurred that, with the lapse of time or the giving of notice, or both, would constitute a default thereunder, except for any default or event which would not reasonably be expected to result in a Material Adverse Change. To the Company’s knowledge, performance by the Company of the material provisions of such agreements or instruments will not result in a violation of any existing applicable law, rule, regulation, judgment, order or decree of any governmental agency or court, domestic or foreign, having jurisdiction over the Company or any of its assets or businesses (each, a “</w:t>
      </w:r>
      <w:r>
        <w:rPr>
          <w:rFonts w:ascii="Arial" w:cs="Arial" w:eastAsia="Arial" w:hAnsi="Arial"/>
          <w:sz w:val="17"/>
          <w:szCs w:val="17"/>
          <w:b w:val="1"/>
          <w:bCs w:val="1"/>
          <w:color w:val="auto"/>
        </w:rPr>
        <w:t>Governmental Entity</w:t>
      </w:r>
      <w:r>
        <w:rPr>
          <w:rFonts w:ascii="Arial" w:cs="Arial" w:eastAsia="Arial" w:hAnsi="Arial"/>
          <w:sz w:val="17"/>
          <w:szCs w:val="17"/>
          <w:color w:val="auto"/>
        </w:rPr>
        <w:t>”), including, without limitation, those relating to environmental laws and regulations, except for any violation which would not reasonably be expected to result in a Material Adverse Change.</w:t>
      </w:r>
    </w:p>
    <w:p>
      <w:pPr>
        <w:spacing w:after="0" w:line="191"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2.4.3. </w:t>
      </w:r>
      <w:r>
        <w:rPr>
          <w:rFonts w:ascii="Arial" w:cs="Arial" w:eastAsia="Arial" w:hAnsi="Arial"/>
          <w:sz w:val="17"/>
          <w:szCs w:val="17"/>
          <w:u w:val="single" w:color="auto"/>
          <w:color w:val="auto"/>
        </w:rPr>
        <w:t>Prior Securities Transactions</w:t>
      </w:r>
      <w:r>
        <w:rPr>
          <w:rFonts w:ascii="Arial" w:cs="Arial" w:eastAsia="Arial" w:hAnsi="Arial"/>
          <w:sz w:val="17"/>
          <w:szCs w:val="17"/>
          <w:color w:val="auto"/>
        </w:rPr>
        <w:t>. During the past three (3) years from the date of this Agreement, no securities of the Company have been sold by the Company or by or on behalf of, or for the benefit of, any person or persons controlling, controlled by or under common control with the Company, except as disclosed in the Registration Statement, the Pricing Disclosure Package and any Preliminary Prospectus.</w:t>
      </w:r>
    </w:p>
    <w:p>
      <w:pPr>
        <w:spacing w:after="0" w:line="166"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2.4.4. </w:t>
      </w:r>
      <w:r>
        <w:rPr>
          <w:rFonts w:ascii="Arial" w:cs="Arial" w:eastAsia="Arial" w:hAnsi="Arial"/>
          <w:sz w:val="18"/>
          <w:szCs w:val="18"/>
          <w:u w:val="single" w:color="auto"/>
          <w:color w:val="auto"/>
        </w:rPr>
        <w:t>Regulations</w:t>
      </w:r>
      <w:r>
        <w:rPr>
          <w:rFonts w:ascii="Arial" w:cs="Arial" w:eastAsia="Arial" w:hAnsi="Arial"/>
          <w:sz w:val="18"/>
          <w:szCs w:val="18"/>
          <w:color w:val="auto"/>
        </w:rPr>
        <w:t>. The disclosures in the Registration Statement, the Pricing Disclosure Package and the Prospectus concerning the effects of federal, state, local and all foreign regulation on the Offering and the Company’s business as currently contemplated are correct in all material respects and no other such regulations are required to be disclosed in the Registration Statement, the Pricing Disclosure Package and the Prospectus which are not so disclosed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i w:val="1"/>
          <w:iCs w:val="1"/>
          <w:color w:val="auto"/>
        </w:rPr>
        <w:t xml:space="preserve">2.5. </w:t>
      </w:r>
      <w:r>
        <w:rPr>
          <w:rFonts w:ascii="Arial" w:cs="Arial" w:eastAsia="Arial" w:hAnsi="Arial"/>
          <w:sz w:val="18"/>
          <w:szCs w:val="18"/>
          <w:i w:val="1"/>
          <w:iCs w:val="1"/>
          <w:u w:val="single" w:color="auto"/>
          <w:color w:val="auto"/>
        </w:rPr>
        <w:t>Changes After Dates in Registration Statement</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Since the respective dates as of which information is given in the Registration Statement, the Pricing Disclosure Package and the Prospectus, except as otherwise specifically stated therein: (i) there has been no material adverse change in the financial position or results of operations of the Company or its Subsidiaries taken as a whole, nor any change or development that, singularly or in the aggregate, would involve a material adverse change in or affecting the condition (financial or otherwise), results of operations, business, or assets of the Company or its Subsidiaries taken as a whole (a “</w:t>
      </w:r>
      <w:r>
        <w:rPr>
          <w:rFonts w:ascii="Arial" w:cs="Arial" w:eastAsia="Arial" w:hAnsi="Arial"/>
          <w:sz w:val="16"/>
          <w:szCs w:val="16"/>
          <w:b w:val="1"/>
          <w:bCs w:val="1"/>
          <w:color w:val="auto"/>
        </w:rPr>
        <w:t>Material Adverse Change</w:t>
      </w:r>
      <w:r>
        <w:rPr>
          <w:rFonts w:ascii="Arial" w:cs="Arial" w:eastAsia="Arial" w:hAnsi="Arial"/>
          <w:sz w:val="16"/>
          <w:szCs w:val="16"/>
          <w:color w:val="auto"/>
        </w:rPr>
        <w:t>”); (ii) there have been no material transactions entered into by the Company or its Subsidiaries, other than as contemplated pursuant to this Agreement; and (iii) no officer or director of the Company has resigned from any position with the Company.</w:t>
      </w:r>
    </w:p>
    <w:p>
      <w:pPr>
        <w:spacing w:after="0" w:line="16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2.5.2. </w:t>
      </w:r>
      <w:r>
        <w:rPr>
          <w:rFonts w:ascii="Arial" w:cs="Arial" w:eastAsia="Arial" w:hAnsi="Arial"/>
          <w:sz w:val="16"/>
          <w:szCs w:val="16"/>
          <w:u w:val="single" w:color="auto"/>
          <w:color w:val="auto"/>
        </w:rPr>
        <w:t>Recent Securities Transactions, etc</w:t>
      </w:r>
      <w:r>
        <w:rPr>
          <w:rFonts w:ascii="Arial" w:cs="Arial" w:eastAsia="Arial" w:hAnsi="Arial"/>
          <w:sz w:val="16"/>
          <w:szCs w:val="16"/>
          <w:color w:val="auto"/>
        </w:rPr>
        <w:t>. Subsequent to the respective dates as of which information is given in the Registration Statement, the Pricing Disclosure Package and the Prospectus, and except as may otherwise be indicated or contemplated herein or disclosed in the Registration Statement, the Pricing Disclosure Package and the Prospectus, the Company has not: (i) issued any securities or incurred any liability or obligation, direct or contingent, for borrowed money; or (ii) declared or paid any dividend or made any other distribution on or in respect to its capital Share.</w:t>
      </w:r>
    </w:p>
    <w:p>
      <w:pPr>
        <w:spacing w:after="0" w:line="15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2.6. </w:t>
      </w:r>
      <w:r>
        <w:rPr>
          <w:rFonts w:ascii="Arial" w:cs="Arial" w:eastAsia="Arial" w:hAnsi="Arial"/>
          <w:sz w:val="18"/>
          <w:szCs w:val="18"/>
          <w:i w:val="1"/>
          <w:iCs w:val="1"/>
          <w:u w:val="single" w:color="auto"/>
          <w:color w:val="auto"/>
        </w:rPr>
        <w:t>Independent Accountants</w:t>
      </w:r>
      <w:r>
        <w:rPr>
          <w:rFonts w:ascii="Arial" w:cs="Arial" w:eastAsia="Arial" w:hAnsi="Arial"/>
          <w:sz w:val="18"/>
          <w:szCs w:val="18"/>
          <w:color w:val="auto"/>
        </w:rPr>
        <w:t>. To the knowledge of the Company, Friedman LLP (“</w:t>
      </w:r>
      <w:r>
        <w:rPr>
          <w:rFonts w:ascii="Arial" w:cs="Arial" w:eastAsia="Arial" w:hAnsi="Arial"/>
          <w:sz w:val="18"/>
          <w:szCs w:val="18"/>
          <w:b w:val="1"/>
          <w:bCs w:val="1"/>
          <w:color w:val="auto"/>
        </w:rPr>
        <w:t>Auditor</w:t>
      </w:r>
      <w:r>
        <w:rPr>
          <w:rFonts w:ascii="Arial" w:cs="Arial" w:eastAsia="Arial" w:hAnsi="Arial"/>
          <w:sz w:val="18"/>
          <w:szCs w:val="18"/>
          <w:color w:val="auto"/>
        </w:rPr>
        <w:t>”), whose report is filed with the Commission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Registration Statement, the Pricing Disclosure Package and the Prospectus, is an independent registered public accounting firm as required by the Securities Act and the Securities Act Regulations and the Public Company Accounting Oversight Board. The Auditor has not, during the periods covered by the financial statements included in the Registration Statement, the Pricing Disclosure Package and the Prospectus, provided to the Company any non-audit services, as such term is used in Section 10A(g) of the Exchange Act.</w:t>
      </w:r>
    </w:p>
    <w:p>
      <w:pPr>
        <w:spacing w:after="0" w:line="18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i w:val="1"/>
          <w:iCs w:val="1"/>
          <w:color w:val="auto"/>
        </w:rPr>
        <w:t xml:space="preserve">2.7. </w:t>
      </w:r>
      <w:r>
        <w:rPr>
          <w:rFonts w:ascii="Arial" w:cs="Arial" w:eastAsia="Arial" w:hAnsi="Arial"/>
          <w:sz w:val="16"/>
          <w:szCs w:val="16"/>
          <w:i w:val="1"/>
          <w:iCs w:val="1"/>
          <w:u w:val="single" w:color="auto"/>
          <w:color w:val="auto"/>
        </w:rPr>
        <w:t>Financial Statements, etc</w:t>
      </w:r>
      <w:r>
        <w:rPr>
          <w:rFonts w:ascii="Arial" w:cs="Arial" w:eastAsia="Arial" w:hAnsi="Arial"/>
          <w:sz w:val="16"/>
          <w:szCs w:val="16"/>
          <w:i w:val="1"/>
          <w:iCs w:val="1"/>
          <w:color w:val="auto"/>
        </w:rPr>
        <w:t xml:space="preserve">. </w:t>
      </w:r>
      <w:r>
        <w:rPr>
          <w:rFonts w:ascii="Arial" w:cs="Arial" w:eastAsia="Arial" w:hAnsi="Arial"/>
          <w:sz w:val="16"/>
          <w:szCs w:val="16"/>
          <w:color w:val="auto"/>
        </w:rPr>
        <w:t>The financial statements, including the notes thereto and supporting schedules, if any, included in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the Pricing Disclosure Package and the Prospectus, fairly present in all material respects the financial position and the results of operations of the Company at the dates and for the periods to which they apply; and such financial statements have been prepared in conformity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consistently applied throughout the periods involved (provided that unaudited interim financial statements are subject to yearend audit adjustments that are not expected to be material in the aggregate and do not contain all footnotes required by GAAP); and any supporting schedules included in the Registration Statement present fairly in all material respects the information required to be stated therein. Except as included therein, no historical or pro forma financial statements are required to be included in the Registration Statement, the Pricing Disclosure Package or the Prospectus under the Securities Act or the Securities Act Regulations. The pro forma and pro forma as adjusted financial information and the related notes, if any, included in the Registration Statement, the Pricing Disclosure Package and the Prospectus have been properly compiled and prepared in accordance with the applicable requirements of the Securities Act and the Securities Act Regulations and present fairly in all material respects the information shown therein, and the assumptions used in the preparation thereof are reasonable and the adjustments used therein are appropriate to give effect to the transactions and circumstances referred to therein. All disclosures contained in the Registration Statement, the Pricing Disclosure Package or the Prospectus regarding “non-GAAP financial measures” (as such term is defined by the rules and regulations of the Commission), if any, comply with Regulation G of the Exchange Act and Item 10 of Regulation S-K of the Securities Act, to the extent applicable. Each of the Registration Statement, the Pricing Disclosure Package and the Prospectus discloses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Except as disclosed in the Registration Statement, the Pricing Disclosure Package and the Prospectus, (a) neither the Company nor any of its subsidiaries listed in Exhibit 21.1 to the Registration Statement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the “</w:t>
      </w:r>
      <w:r>
        <w:rPr>
          <w:rFonts w:ascii="Arial" w:cs="Arial" w:eastAsia="Arial" w:hAnsi="Arial"/>
          <w:sz w:val="16"/>
          <w:szCs w:val="16"/>
          <w:b w:val="1"/>
          <w:bCs w:val="1"/>
          <w:color w:val="auto"/>
        </w:rPr>
        <w:t>Subsidiaries</w:t>
      </w:r>
      <w:r>
        <w:rPr>
          <w:rFonts w:ascii="Arial" w:cs="Arial" w:eastAsia="Arial" w:hAnsi="Arial"/>
          <w:sz w:val="16"/>
          <w:szCs w:val="16"/>
          <w:color w:val="auto"/>
        </w:rPr>
        <w:t>”), has incurred any material liabilities or obligations, direct or contingent, or entered into any material transactions other than in the ordinary course of business, (b) the Company has not declared or paid any dividends or made any distribution of any kind with respect to its common shares (c) there has not been any change in the capital of the Company or any of its Subsidiaries, or, other than in the course of business, any grants under any stock compensation plan, and (d) there has not been any Material Adverse Change in the Company’s long-term or short-term debt. The Company represents that it has no direct or indirect subsidiaries other than those listed in Exhibit 21.1 to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2.8. </w:t>
      </w:r>
      <w:r>
        <w:rPr>
          <w:rFonts w:ascii="Arial" w:cs="Arial" w:eastAsia="Arial" w:hAnsi="Arial"/>
          <w:sz w:val="16"/>
          <w:szCs w:val="16"/>
          <w:i w:val="1"/>
          <w:iCs w:val="1"/>
          <w:u w:val="single" w:color="auto"/>
          <w:color w:val="auto"/>
        </w:rPr>
        <w:t>Authorized Capital; Options, etc</w:t>
      </w:r>
      <w:r>
        <w:rPr>
          <w:rFonts w:ascii="Arial" w:cs="Arial" w:eastAsia="Arial" w:hAnsi="Arial"/>
          <w:sz w:val="16"/>
          <w:szCs w:val="16"/>
          <w:color w:val="auto"/>
        </w:rPr>
        <w:t>. The Company had, at the date or dates indicated in the Registration Statement, the Pricing Disclosure Package</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the duly authorized, issued and outstanding capitalization as set forth therein. Based on the assumptions stated in the Registration Statement, the Pricing Disclosure Package and the Prospectus, the Company will have on the Closing Date the adjusted capitalization set forth therein. Except as set forth in, or contemplated by, the Registration Statement, the Pricing Disclosure Package and the Prospectus, on the Effective Date, as of the Applicable Time and on the Closing Date and any Option Closing Date, there will be no options, warrants, or other rights to purchase or otherwise acquire any authorized, but unissued common shares of the Company or any security convertible or exercisable into common shares of the Company, or any contracts or commitments to issue or sell common shares of the Company or any such options, warrants, rights or convertible securities.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2.9. </w:t>
      </w:r>
      <w:r>
        <w:rPr>
          <w:rFonts w:ascii="Arial" w:cs="Arial" w:eastAsia="Arial" w:hAnsi="Arial"/>
          <w:sz w:val="18"/>
          <w:szCs w:val="18"/>
          <w:i w:val="1"/>
          <w:iCs w:val="1"/>
          <w:u w:val="single" w:color="auto"/>
          <w:color w:val="auto"/>
        </w:rPr>
        <w:t>Valid Issuance of Securities, etc.</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 xml:space="preserve">2.9.1. </w:t>
      </w:r>
      <w:r>
        <w:rPr>
          <w:rFonts w:ascii="Arial" w:cs="Arial" w:eastAsia="Arial" w:hAnsi="Arial"/>
          <w:sz w:val="16"/>
          <w:szCs w:val="16"/>
          <w:u w:val="single" w:color="auto"/>
          <w:color w:val="auto"/>
        </w:rPr>
        <w:t>Outstanding Securities</w:t>
      </w:r>
      <w:r>
        <w:rPr>
          <w:rFonts w:ascii="Arial" w:cs="Arial" w:eastAsia="Arial" w:hAnsi="Arial"/>
          <w:sz w:val="16"/>
          <w:szCs w:val="16"/>
          <w:color w:val="auto"/>
        </w:rPr>
        <w:t>. All issued and outstanding securities of the Company issued prior to the transactions contemplated by this Agreement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Shares conform in all material respects to all statements relating thereto contained in the Registration Statement, the Pricing Disclosure Package and the Prospectus. The offers and sales of the outstanding common shares of the Company were at all relevant times either registered under the Securities Act and the applicable state securities or “blue sky” laws or, based in part on the representations and warranties of the purchasers of such shares, exempt from such registration requirements.</w:t>
      </w:r>
    </w:p>
    <w:p>
      <w:pPr>
        <w:spacing w:after="0" w:line="167"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2.9.2. </w:t>
      </w:r>
      <w:r>
        <w:rPr>
          <w:rFonts w:ascii="Arial" w:cs="Arial" w:eastAsia="Arial" w:hAnsi="Arial"/>
          <w:sz w:val="16"/>
          <w:szCs w:val="16"/>
          <w:u w:val="single" w:color="auto"/>
          <w:color w:val="auto"/>
        </w:rPr>
        <w:t>Securities Sold Pursuant to this Agreement</w:t>
      </w:r>
      <w:r>
        <w:rPr>
          <w:rFonts w:ascii="Arial" w:cs="Arial" w:eastAsia="Arial" w:hAnsi="Arial"/>
          <w:sz w:val="16"/>
          <w:szCs w:val="16"/>
          <w:color w:val="auto"/>
        </w:rPr>
        <w:t>. The Shares and Underwriters’ Warrants have been duly authorized for issuance and sale and, when issued and paid for, will be validly issued, fully paid and non-assessable; the holders thereof are not and will not be subject to personal liability by reason of being such holders; the Shares and Underwriters’ Warrants are not and will not be subject to the preemptive rights of any holders of any security of the Company or similar contractual rights granted by the Company; and all corporate action required to be taken for the authorization, issuance and sale of the Shares and Underwriters’ Warrants has been duly and validly taken; the common shares issuable upon exercise of the Underwriters’ Warrants have been duly authorized and reserved for issuance by all necessary corporate action on the part of the Company and when issued in accordance with such Underwriter’s Warrants, as the case may be, such common shares will be validly issued, fully paid and non-assessable. The Shares and the Underwriters’ Warrants conform in all material respects to all statements with respect thereto contained in the Registration Statement, the Pricing Disclosure Package and the Prospectus.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2.10. </w:t>
      </w:r>
      <w:r>
        <w:rPr>
          <w:rFonts w:ascii="Arial" w:cs="Arial" w:eastAsia="Arial" w:hAnsi="Arial"/>
          <w:sz w:val="18"/>
          <w:szCs w:val="18"/>
          <w:i w:val="1"/>
          <w:iCs w:val="1"/>
          <w:u w:val="single" w:color="auto"/>
          <w:color w:val="auto"/>
        </w:rPr>
        <w:t>Registration Rights of Third Parties</w:t>
      </w:r>
      <w:r>
        <w:rPr>
          <w:rFonts w:ascii="Arial" w:cs="Arial" w:eastAsia="Arial" w:hAnsi="Arial"/>
          <w:sz w:val="18"/>
          <w:szCs w:val="18"/>
          <w:color w:val="auto"/>
        </w:rPr>
        <w:t>. Except as set forth in the Registration Statement, the Pricing Disclosure Package and the Prospectus, no</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any securities of the Company or any rights exercisable for or convertible or exchangeable into securities of the Company have the right to require the Company to register any such securities of the Company under the Securities Act or to include any such securities in a registration statement to be filed by the Company.</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2.11. </w:t>
      </w:r>
      <w:r>
        <w:rPr>
          <w:rFonts w:ascii="Arial" w:cs="Arial" w:eastAsia="Arial" w:hAnsi="Arial"/>
          <w:sz w:val="18"/>
          <w:szCs w:val="18"/>
          <w:i w:val="1"/>
          <w:iCs w:val="1"/>
          <w:u w:val="single" w:color="auto"/>
          <w:color w:val="auto"/>
        </w:rPr>
        <w:t>Validity and Binding Effect of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has been duly and validly authorized by the Company, and, when executed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will constitute, the valid and binding agreement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2.12. </w:t>
      </w:r>
      <w:r>
        <w:rPr>
          <w:rFonts w:ascii="Arial" w:cs="Arial" w:eastAsia="Arial" w:hAnsi="Arial"/>
          <w:sz w:val="16"/>
          <w:szCs w:val="16"/>
          <w:i w:val="1"/>
          <w:iCs w:val="1"/>
          <w:u w:val="single" w:color="auto"/>
          <w:color w:val="auto"/>
        </w:rPr>
        <w:t>No Conflicts, etc</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execution, delivery and performance by the Company of this Agreement and all ancillary documents, the consummation</w:t>
      </w:r>
      <w:r>
        <w:rPr>
          <w:rFonts w:ascii="Arial" w:cs="Arial" w:eastAsia="Arial" w:hAnsi="Arial"/>
          <w:sz w:val="16"/>
          <w:szCs w:val="16"/>
          <w:i w:val="1"/>
          <w:iCs w:val="1"/>
          <w:color w:val="auto"/>
        </w:rPr>
        <w:t xml:space="preserve"> </w:t>
      </w:r>
      <w:r>
        <w:rPr>
          <w:rFonts w:ascii="Arial" w:cs="Arial" w:eastAsia="Arial" w:hAnsi="Arial"/>
          <w:sz w:val="16"/>
          <w:szCs w:val="16"/>
          <w:color w:val="auto"/>
        </w:rPr>
        <w:t>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violation of the provisions of the Company’s Memorandum and Articles of Association (as the same may be amended or restated from time to time, the “</w:t>
      </w:r>
      <w:r>
        <w:rPr>
          <w:rFonts w:ascii="Arial" w:cs="Arial" w:eastAsia="Arial" w:hAnsi="Arial"/>
          <w:sz w:val="16"/>
          <w:szCs w:val="16"/>
          <w:b w:val="1"/>
          <w:bCs w:val="1"/>
          <w:color w:val="auto"/>
        </w:rPr>
        <w:t>Charter</w:t>
      </w:r>
      <w:r>
        <w:rPr>
          <w:rFonts w:ascii="Arial" w:cs="Arial" w:eastAsia="Arial" w:hAnsi="Arial"/>
          <w:sz w:val="16"/>
          <w:szCs w:val="16"/>
          <w:color w:val="auto"/>
        </w:rPr>
        <w:t>”) or the by-laws of the Company; or (iii) violate any existing applicable law, rule, regulation, judgment, order or decree of any Governmental Entity as of the date hereof.</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2.13. </w:t>
      </w:r>
      <w:r>
        <w:rPr>
          <w:rFonts w:ascii="Arial" w:cs="Arial" w:eastAsia="Arial" w:hAnsi="Arial"/>
          <w:sz w:val="17"/>
          <w:szCs w:val="17"/>
          <w:i w:val="1"/>
          <w:iCs w:val="1"/>
          <w:u w:val="single" w:color="auto"/>
          <w:color w:val="auto"/>
        </w:rPr>
        <w:t>No Defaults; Violations</w:t>
      </w:r>
      <w:r>
        <w:rPr>
          <w:rFonts w:ascii="Arial" w:cs="Arial" w:eastAsia="Arial" w:hAnsi="Arial"/>
          <w:sz w:val="17"/>
          <w:szCs w:val="17"/>
          <w:i w:val="1"/>
          <w:iCs w:val="1"/>
          <w:color w:val="auto"/>
        </w:rPr>
        <w:t xml:space="preserve">. </w:t>
      </w:r>
      <w:r>
        <w:rPr>
          <w:rFonts w:ascii="Arial" w:cs="Arial" w:eastAsia="Arial" w:hAnsi="Arial"/>
          <w:sz w:val="17"/>
          <w:szCs w:val="17"/>
          <w:color w:val="auto"/>
        </w:rPr>
        <w:t>No material default exists in the due performance and observance of any term, covenant or condition of any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 in violation of any term or provision of its Charter or by-laws, or (ii) in violation of any franchise, license, permit, applicable law, rule, regulation, judgment or decree of any Governmental Entity, except in the cases of clause (ii) for such violations which would not reasonably be expected to cause a Material Adverse Change.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2.14. </w:t>
      </w:r>
      <w:r>
        <w:rPr>
          <w:rFonts w:ascii="Arial" w:cs="Arial" w:eastAsia="Arial" w:hAnsi="Arial"/>
          <w:sz w:val="18"/>
          <w:szCs w:val="18"/>
          <w:i w:val="1"/>
          <w:iCs w:val="1"/>
          <w:u w:val="single" w:color="auto"/>
          <w:color w:val="auto"/>
        </w:rPr>
        <w:t>Corporate Power; Licenses; Consents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2.14.1.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 Except as described in the Registration Statement, the Pricing Disclosure Package and the Prospectus,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Registration Statement, the Pricing Disclosure Package and the Prospectus, except for the absence of which would not reasonably be expected to have a Material Adverse Change.</w:t>
      </w:r>
    </w:p>
    <w:p>
      <w:pPr>
        <w:spacing w:after="0" w:line="15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Transactions Contemplated Herein</w:t>
      </w:r>
      <w:r>
        <w:rPr>
          <w:rFonts w:ascii="Arial" w:cs="Arial" w:eastAsia="Arial" w:hAnsi="Arial"/>
          <w:sz w:val="16"/>
          <w:szCs w:val="16"/>
          <w:color w:val="auto"/>
        </w:rPr>
        <w:t>.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the Exchange or other body is required for the valid issuance, sale and delivery of the Shares and the consummation of the transactions and agreements contemplated by this Agreement and the delivery of the Underwriters’ Warrants and as contemplated by the Registration Statement, the Pricing Disclosure Package and the Prospectus, except with respect to applicable Securities Act Regulations, state securities laws and the rules and regulations of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2.15. </w:t>
      </w:r>
      <w:r>
        <w:rPr>
          <w:rFonts w:ascii="Arial" w:cs="Arial" w:eastAsia="Arial" w:hAnsi="Arial"/>
          <w:sz w:val="18"/>
          <w:szCs w:val="18"/>
          <w:i w:val="1"/>
          <w:iCs w:val="1"/>
          <w:u w:val="single" w:color="auto"/>
          <w:color w:val="auto"/>
        </w:rPr>
        <w:t>D&amp;O Questionnaires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Company’s knowledge, without investigation, all information contained in the questionnaires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Questionnaires</w:t>
      </w:r>
      <w:r>
        <w:rPr>
          <w:rFonts w:ascii="Arial" w:cs="Arial" w:eastAsia="Arial" w:hAnsi="Arial"/>
          <w:sz w:val="18"/>
          <w:szCs w:val="18"/>
          <w:color w:val="auto"/>
        </w:rPr>
        <w:t>”) completed by each of the Company’s directors and officers immediately prior to the Offering (the “</w:t>
      </w:r>
      <w:r>
        <w:rPr>
          <w:rFonts w:ascii="Arial" w:cs="Arial" w:eastAsia="Arial" w:hAnsi="Arial"/>
          <w:sz w:val="18"/>
          <w:szCs w:val="18"/>
          <w:b w:val="1"/>
          <w:bCs w:val="1"/>
          <w:color w:val="auto"/>
        </w:rPr>
        <w:t>Insiders</w:t>
      </w:r>
      <w:r>
        <w:rPr>
          <w:rFonts w:ascii="Arial" w:cs="Arial" w:eastAsia="Arial" w:hAnsi="Arial"/>
          <w:sz w:val="18"/>
          <w:szCs w:val="18"/>
          <w:color w:val="auto"/>
        </w:rPr>
        <w:t xml:space="preserve">”) as supplemented by all information concerning the Company’s directors, officers and principal shareholders as described in the Registration Statement, the Pricing Disclosure Package and the Prospectus, as well as in the Lock-Up Agreement (as defined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below), provided to the Underwriters, is true and correct in all material respects and the Company has not become aware of any information which would cause the information disclosed in the Questionnaires to become materially inaccurate and incorrect.</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2.16. </w:t>
      </w:r>
      <w:r>
        <w:rPr>
          <w:rFonts w:ascii="Arial" w:cs="Arial" w:eastAsia="Arial" w:hAnsi="Arial"/>
          <w:sz w:val="17"/>
          <w:szCs w:val="17"/>
          <w:i w:val="1"/>
          <w:iCs w:val="1"/>
          <w:u w:val="single" w:color="auto"/>
          <w:color w:val="auto"/>
        </w:rPr>
        <w:t>Litigation; Governmental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There is no action, suit, proceeding, inquiry, arbitration, investigation, litigation or 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 pending or, to the Company’s knowledge, threatened against, or involving the Company or, to the Company’s knowledge, any executive officer or director which has not been disclosed in the Registration Statement, the Pricing Disclosure Package and the Prospectus</w:t>
      </w:r>
      <w:r>
        <w:rPr>
          <w:rFonts w:ascii="Arial" w:cs="Arial" w:eastAsia="Arial" w:hAnsi="Arial"/>
          <w:sz w:val="17"/>
          <w:szCs w:val="17"/>
          <w:i w:val="1"/>
          <w:iCs w:val="1"/>
          <w:color w:val="auto"/>
        </w:rPr>
        <w:t>.</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2.17. </w:t>
      </w:r>
      <w:r>
        <w:rPr>
          <w:rFonts w:ascii="Arial" w:cs="Arial" w:eastAsia="Arial" w:hAnsi="Arial"/>
          <w:sz w:val="18"/>
          <w:szCs w:val="18"/>
          <w:i w:val="1"/>
          <w:iCs w:val="1"/>
          <w:u w:val="single" w:color="auto"/>
          <w:color w:val="auto"/>
        </w:rPr>
        <w:t>Good 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been duly organized and is validly existing as a corporation and is in good standing under the laws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of the date hereof, and is duly qualified to do business and is in good standing in each other jurisdiction in which its ownership or lease of property or the conduct of business requires such qualification, except where the failure to qualify, singularly or in the aggregate, would not have or reasonably be expected to result in a Material Adverse Change.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i w:val="1"/>
          <w:iCs w:val="1"/>
          <w:color w:val="auto"/>
        </w:rPr>
        <w:t xml:space="preserve">2.18. </w:t>
      </w:r>
      <w:r>
        <w:rPr>
          <w:rFonts w:ascii="Arial" w:cs="Arial" w:eastAsia="Arial" w:hAnsi="Arial"/>
          <w:sz w:val="16"/>
          <w:szCs w:val="16"/>
          <w:i w:val="1"/>
          <w:iCs w:val="1"/>
          <w:u w:val="single" w:color="auto"/>
          <w:color w:val="auto"/>
        </w:rPr>
        <w:t>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carries or is entitled to the benefits of insurance, (including, without limitation, as to directors and officers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coverage), with, to the Company’s knowledge, reputable insurers, in the amount of directors and officers insurance coverage at least equal to $5,000,000 and the Company has included each Underwriter as an additional insured party to the directors and officers insurance coverage and all such insurance is in full force and effect. The Company has no reason to believe that it will not be able (i) to renew its existing insurance coverage as and when such policies expire or</w:t>
      </w:r>
    </w:p>
    <w:p>
      <w:pPr>
        <w:spacing w:after="0" w:line="2" w:lineRule="exact"/>
        <w:rPr>
          <w:sz w:val="20"/>
          <w:szCs w:val="20"/>
          <w:color w:val="auto"/>
        </w:rPr>
      </w:pPr>
    </w:p>
    <w:p>
      <w:pPr>
        <w:ind w:firstLine="8"/>
        <w:spacing w:after="0" w:line="261" w:lineRule="auto"/>
        <w:tabs>
          <w:tab w:leader="none" w:pos="277"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obtain comparable coverage from similar institutions as may be necessary or appropriate to conduct its business as now conducted and at a cost that would not result in a Material Adverse Change.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2.19. </w:t>
      </w:r>
      <w:r>
        <w:rPr>
          <w:rFonts w:ascii="Arial" w:cs="Arial" w:eastAsia="Arial" w:hAnsi="Arial"/>
          <w:sz w:val="18"/>
          <w:szCs w:val="18"/>
          <w:i w:val="1"/>
          <w:iCs w:val="1"/>
          <w:u w:val="single" w:color="auto"/>
          <w:color w:val="auto"/>
        </w:rPr>
        <w:t>Transactions Affecting Disclosure to FINRA</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2.19.1. </w:t>
      </w:r>
      <w:r>
        <w:rPr>
          <w:rFonts w:ascii="Arial" w:cs="Arial" w:eastAsia="Arial" w:hAnsi="Arial"/>
          <w:sz w:val="17"/>
          <w:szCs w:val="17"/>
          <w:u w:val="single" w:color="auto"/>
          <w:color w:val="auto"/>
        </w:rPr>
        <w:t>Finder’s Fees</w:t>
      </w:r>
      <w:r>
        <w:rPr>
          <w:rFonts w:ascii="Arial" w:cs="Arial" w:eastAsia="Arial" w:hAnsi="Arial"/>
          <w:sz w:val="17"/>
          <w:szCs w:val="17"/>
          <w:color w:val="auto"/>
        </w:rPr>
        <w:t>. Except as described in the Registration Statement, the Pricing Disclosure Package and the Prospectus, there are no claims, payments, arrangements, agreements or understandings relating to the payment of a finder’s, consulting or origination fee by the Company or any Insider with respect to the sale of the Sales hereunder or any other arrangements, agreements or understandings of the Company or, to the Company’s knowledge, any of its shareholders that may affect the Underwriters’ compensation, as determined by FINRA.</w:t>
      </w:r>
    </w:p>
    <w:p>
      <w:pPr>
        <w:spacing w:after="0" w:line="17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2.19.2. </w:t>
      </w:r>
      <w:r>
        <w:rPr>
          <w:rFonts w:ascii="Arial" w:cs="Arial" w:eastAsia="Arial" w:hAnsi="Arial"/>
          <w:sz w:val="18"/>
          <w:szCs w:val="18"/>
          <w:u w:val="single" w:color="auto"/>
          <w:color w:val="auto"/>
        </w:rPr>
        <w:t>Payments Within Six (6) Months</w:t>
      </w:r>
      <w:r>
        <w:rPr>
          <w:rFonts w:ascii="Arial" w:cs="Arial" w:eastAsia="Arial" w:hAnsi="Arial"/>
          <w:sz w:val="18"/>
          <w:szCs w:val="18"/>
          <w:color w:val="auto"/>
        </w:rPr>
        <w:t>. Except as described in the Registration Statement, the Pricing Disclosure Package and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six (6) months immediately prior to the filing of the Registration Statement, other than the payment to the Underwriters as provided hereunder in connection with the Offering.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297"/>
        <w:spacing w:after="0" w:line="277" w:lineRule="auto"/>
        <w:rPr>
          <w:sz w:val="20"/>
          <w:szCs w:val="20"/>
          <w:color w:val="auto"/>
        </w:rPr>
      </w:pPr>
      <w:r>
        <w:rPr>
          <w:rFonts w:ascii="Arial" w:cs="Arial" w:eastAsia="Arial" w:hAnsi="Arial"/>
          <w:sz w:val="18"/>
          <w:szCs w:val="18"/>
          <w:color w:val="auto"/>
        </w:rPr>
        <w:t xml:space="preserve">2.19.3. </w:t>
      </w:r>
      <w:r>
        <w:rPr>
          <w:rFonts w:ascii="Arial" w:cs="Arial" w:eastAsia="Arial" w:hAnsi="Arial"/>
          <w:sz w:val="18"/>
          <w:szCs w:val="18"/>
          <w:u w:val="single" w:color="auto"/>
          <w:color w:val="auto"/>
        </w:rPr>
        <w:t>Use of Proceeds</w:t>
      </w:r>
      <w:r>
        <w:rPr>
          <w:rFonts w:ascii="Arial" w:cs="Arial" w:eastAsia="Arial" w:hAnsi="Arial"/>
          <w:sz w:val="18"/>
          <w:szCs w:val="18"/>
          <w:color w:val="auto"/>
        </w:rPr>
        <w:t>. None of the net proceeds of the Offering will be paid by the Company to any participating FINRA member or its affiliates, except as specifically authorized herein.</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2.19.4. </w:t>
      </w:r>
      <w:r>
        <w:rPr>
          <w:rFonts w:ascii="Arial" w:cs="Arial" w:eastAsia="Arial" w:hAnsi="Arial"/>
          <w:sz w:val="18"/>
          <w:szCs w:val="18"/>
          <w:u w:val="single" w:color="auto"/>
          <w:color w:val="auto"/>
        </w:rPr>
        <w:t>FINRA Affiliation</w:t>
      </w:r>
      <w:r>
        <w:rPr>
          <w:rFonts w:ascii="Arial" w:cs="Arial" w:eastAsia="Arial" w:hAnsi="Arial"/>
          <w:sz w:val="18"/>
          <w:szCs w:val="18"/>
          <w:color w:val="auto"/>
        </w:rPr>
        <w:t>. To the Company’s knowledge, and except as may otherwise be disclosed in FINRA questionnaires provided to the Representative’s Counsel, there is no (i) officer or director of the Company, (ii) beneficial owner of 5% or more of any class of the Company's securities or (iii) beneficial owner of the Company's unregistered equity securities which were acquired during the 180-day period immediately preceding the filing of the Registration Statement that is an affiliate or associated person of a FINRA member participating in the Offering (as determined in accordance with the rules and regulations of FINRA).</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2.19.5. </w:t>
      </w:r>
      <w:r>
        <w:rPr>
          <w:rFonts w:ascii="Arial" w:cs="Arial" w:eastAsia="Arial" w:hAnsi="Arial"/>
          <w:sz w:val="18"/>
          <w:szCs w:val="18"/>
          <w:u w:val="single" w:color="auto"/>
          <w:color w:val="auto"/>
        </w:rPr>
        <w:t>Information</w:t>
      </w:r>
      <w:r>
        <w:rPr>
          <w:rFonts w:ascii="Arial" w:cs="Arial" w:eastAsia="Arial" w:hAnsi="Arial"/>
          <w:sz w:val="18"/>
          <w:szCs w:val="18"/>
          <w:color w:val="auto"/>
        </w:rPr>
        <w:t>. All information provided by the Company in its FINRA questionnaire to Representative’s Counsel specifically for use by Representative’s Counsel in connection with its Public Offering System filings (and related disclosure) with FINRA is true, correct and complete in all material respects.</w:t>
      </w:r>
    </w:p>
    <w:p>
      <w:pPr>
        <w:spacing w:after="0" w:line="18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2.20. </w:t>
      </w:r>
      <w:r>
        <w:rPr>
          <w:rFonts w:ascii="Arial" w:cs="Arial" w:eastAsia="Arial" w:hAnsi="Arial"/>
          <w:sz w:val="18"/>
          <w:szCs w:val="18"/>
          <w:i w:val="1"/>
          <w:iCs w:val="1"/>
          <w:u w:val="single" w:color="auto"/>
          <w:color w:val="auto"/>
        </w:rPr>
        <w:t>Foreign Corrupt Practices Act</w:t>
      </w:r>
      <w:r>
        <w:rPr>
          <w:rFonts w:ascii="Arial" w:cs="Arial" w:eastAsia="Arial" w:hAnsi="Arial"/>
          <w:sz w:val="18"/>
          <w:szCs w:val="18"/>
          <w:i w:val="1"/>
          <w:iCs w:val="1"/>
          <w:color w:val="auto"/>
        </w:rPr>
        <w:t xml:space="preserve">. </w:t>
      </w:r>
      <w:r>
        <w:rPr>
          <w:rFonts w:ascii="Arial" w:cs="Arial" w:eastAsia="Arial" w:hAnsi="Arial"/>
          <w:sz w:val="18"/>
          <w:szCs w:val="18"/>
          <w:color w:val="auto"/>
        </w:rPr>
        <w:t>None of the Company and its Subsidiaries or, to the Company’s knowledge, any director, officer, agent,</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or affiliate of the Company and its Subsidiaries or any other person acting on behalf of the Company and its Subsidiaries,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Change or (iii) if not continued in the future, might adversely affect the assets, business, operations or prospects of the Company. The Company has taken reasonable steps to ensure that its accounting controls and procedures are sufficient to cause the Company to comply in all material respects with the Foreign Corrupt Practices Act of 1977, as amended.</w:t>
      </w:r>
    </w:p>
    <w:p>
      <w:pPr>
        <w:spacing w:after="0" w:line="19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2.21. </w:t>
      </w:r>
      <w:r>
        <w:rPr>
          <w:rFonts w:ascii="Arial" w:cs="Arial" w:eastAsia="Arial" w:hAnsi="Arial"/>
          <w:sz w:val="16"/>
          <w:szCs w:val="16"/>
          <w:i w:val="1"/>
          <w:iCs w:val="1"/>
          <w:u w:val="single" w:color="auto"/>
          <w:color w:val="auto"/>
        </w:rPr>
        <w:t>Compliance with OFAC</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 Company and its Subsidiaries or, to the Company’s knowledge, any director, officer, agent, employee or</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 of the Company and its Subsidiaries or any other person acting on behalf of the Company and its Subsidiaries, is currently subject to any U.S. sanctions administered by the Office of Foreign Assets Control of the U.S. Department of the Treasury (“OFAC”), and the Company will not, directly or indirectly, use the proceeds of the Offering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2.22. </w:t>
      </w:r>
      <w:r>
        <w:rPr>
          <w:rFonts w:ascii="Arial" w:cs="Arial" w:eastAsia="Arial" w:hAnsi="Arial"/>
          <w:sz w:val="16"/>
          <w:szCs w:val="16"/>
          <w:i w:val="1"/>
          <w:iCs w:val="1"/>
          <w:u w:val="single" w:color="auto"/>
          <w:color w:val="auto"/>
        </w:rPr>
        <w:t>Money Laundering Laws</w:t>
      </w:r>
      <w:r>
        <w:rPr>
          <w:rFonts w:ascii="Arial" w:cs="Arial" w:eastAsia="Arial" w:hAnsi="Arial"/>
          <w:sz w:val="16"/>
          <w:szCs w:val="16"/>
          <w:i w:val="1"/>
          <w:iCs w:val="1"/>
          <w:color w:val="auto"/>
        </w:rPr>
        <w:t xml:space="preserve">. </w:t>
      </w:r>
      <w:r>
        <w:rPr>
          <w:rFonts w:ascii="Arial" w:cs="Arial" w:eastAsia="Arial" w:hAnsi="Arial"/>
          <w:sz w:val="16"/>
          <w:szCs w:val="16"/>
          <w:color w:val="auto"/>
        </w:rPr>
        <w:t>The operations of the Company and its Subsidiaries are and have been conducted at all times in compliance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Entity (collectively, the “</w:t>
      </w:r>
      <w:r>
        <w:rPr>
          <w:rFonts w:ascii="Arial" w:cs="Arial" w:eastAsia="Arial" w:hAnsi="Arial"/>
          <w:sz w:val="16"/>
          <w:szCs w:val="16"/>
          <w:b w:val="1"/>
          <w:bCs w:val="1"/>
          <w:color w:val="auto"/>
        </w:rPr>
        <w:t>Money Laundering Laws</w:t>
      </w:r>
      <w:r>
        <w:rPr>
          <w:rFonts w:ascii="Arial" w:cs="Arial" w:eastAsia="Arial" w:hAnsi="Arial"/>
          <w:sz w:val="16"/>
          <w:szCs w:val="16"/>
          <w:color w:val="auto"/>
        </w:rPr>
        <w:t>”); and no action, suit or proceeding by or before any Governmental Entity involving the Company with respect to the Money Laundering Laws is pending or, to the best knowledge of the Company, threatened.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right="20" w:firstLine="648"/>
        <w:spacing w:after="0" w:line="308" w:lineRule="auto"/>
        <w:rPr>
          <w:sz w:val="20"/>
          <w:szCs w:val="20"/>
          <w:color w:val="auto"/>
        </w:rPr>
      </w:pPr>
      <w:r>
        <w:rPr>
          <w:rFonts w:ascii="Arial" w:cs="Arial" w:eastAsia="Arial" w:hAnsi="Arial"/>
          <w:sz w:val="17"/>
          <w:szCs w:val="17"/>
          <w:i w:val="1"/>
          <w:iCs w:val="1"/>
          <w:color w:val="auto"/>
        </w:rPr>
        <w:t xml:space="preserve">2.23. </w:t>
      </w:r>
      <w:r>
        <w:rPr>
          <w:rFonts w:ascii="Arial" w:cs="Arial" w:eastAsia="Arial" w:hAnsi="Arial"/>
          <w:sz w:val="17"/>
          <w:szCs w:val="17"/>
          <w:i w:val="1"/>
          <w:iCs w:val="1"/>
          <w:u w:val="single" w:color="auto"/>
          <w:color w:val="auto"/>
        </w:rPr>
        <w:t>Officers’ Certificate</w:t>
      </w:r>
      <w:r>
        <w:rPr>
          <w:rFonts w:ascii="Arial" w:cs="Arial" w:eastAsia="Arial" w:hAnsi="Arial"/>
          <w:sz w:val="17"/>
          <w:szCs w:val="17"/>
          <w:i w:val="1"/>
          <w:iCs w:val="1"/>
          <w:color w:val="auto"/>
        </w:rPr>
        <w:t xml:space="preserve"> . </w:t>
      </w:r>
      <w:r>
        <w:rPr>
          <w:rFonts w:ascii="Arial" w:cs="Arial" w:eastAsia="Arial" w:hAnsi="Arial"/>
          <w:sz w:val="17"/>
          <w:szCs w:val="17"/>
          <w:color w:val="auto"/>
        </w:rPr>
        <w:t>Any certificate signed by any duly authorized officer of the Company and delivered to you or to Representatives Counsel</w:t>
      </w:r>
      <w:r>
        <w:rPr>
          <w:rFonts w:ascii="Arial" w:cs="Arial" w:eastAsia="Arial" w:hAnsi="Arial"/>
          <w:sz w:val="17"/>
          <w:szCs w:val="17"/>
          <w:i w:val="1"/>
          <w:iCs w:val="1"/>
          <w:color w:val="auto"/>
        </w:rPr>
        <w:t xml:space="preserve"> </w:t>
      </w:r>
      <w:r>
        <w:rPr>
          <w:rFonts w:ascii="Arial" w:cs="Arial" w:eastAsia="Arial" w:hAnsi="Arial"/>
          <w:sz w:val="17"/>
          <w:szCs w:val="17"/>
          <w:color w:val="auto"/>
        </w:rPr>
        <w:t>shall be deemed a representation and warranty by the Company to the Underwriters as to the matters covered thereby.</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2.24. </w:t>
      </w:r>
      <w:r>
        <w:rPr>
          <w:rFonts w:ascii="Arial" w:cs="Arial" w:eastAsia="Arial" w:hAnsi="Arial"/>
          <w:sz w:val="17"/>
          <w:szCs w:val="17"/>
          <w:i w:val="1"/>
          <w:iCs w:val="1"/>
          <w:u w:val="single" w:color="auto"/>
          <w:color w:val="auto"/>
        </w:rPr>
        <w:t>Lock-Up Agreements</w:t>
      </w:r>
      <w:r>
        <w:rPr>
          <w:rFonts w:ascii="Arial" w:cs="Arial" w:eastAsia="Arial" w:hAnsi="Arial"/>
          <w:sz w:val="17"/>
          <w:szCs w:val="17"/>
          <w:u w:val="single" w:color="auto"/>
          <w:color w:val="auto"/>
        </w:rPr>
        <w:t>. Schedule 3</w:t>
      </w:r>
      <w:r>
        <w:rPr>
          <w:rFonts w:ascii="Arial" w:cs="Arial" w:eastAsia="Arial" w:hAnsi="Arial"/>
          <w:sz w:val="17"/>
          <w:szCs w:val="17"/>
          <w:i w:val="1"/>
          <w:iCs w:val="1"/>
          <w:color w:val="auto"/>
        </w:rPr>
        <w:t xml:space="preserve"> </w:t>
      </w:r>
      <w:r>
        <w:rPr>
          <w:rFonts w:ascii="Arial" w:cs="Arial" w:eastAsia="Arial" w:hAnsi="Arial"/>
          <w:sz w:val="17"/>
          <w:szCs w:val="17"/>
          <w:color w:val="auto"/>
        </w:rPr>
        <w:t>hereto contains a complete and accurate list of the Company’s officers, directors and each owner of 5% or</w:t>
      </w:r>
      <w:r>
        <w:rPr>
          <w:rFonts w:ascii="Arial" w:cs="Arial" w:eastAsia="Arial" w:hAnsi="Arial"/>
          <w:sz w:val="17"/>
          <w:szCs w:val="17"/>
          <w:i w:val="1"/>
          <w:iCs w:val="1"/>
          <w:color w:val="auto"/>
        </w:rPr>
        <w:t xml:space="preserve"> </w:t>
      </w:r>
      <w:r>
        <w:rPr>
          <w:rFonts w:ascii="Arial" w:cs="Arial" w:eastAsia="Arial" w:hAnsi="Arial"/>
          <w:sz w:val="17"/>
          <w:szCs w:val="17"/>
          <w:color w:val="auto"/>
        </w:rPr>
        <w:t>more of the Company’s outstanding common shares (or securities convertible or exercisable into common shares of the Company) (collectively, the “</w:t>
      </w:r>
      <w:r>
        <w:rPr>
          <w:rFonts w:ascii="Arial" w:cs="Arial" w:eastAsia="Arial" w:hAnsi="Arial"/>
          <w:sz w:val="17"/>
          <w:szCs w:val="17"/>
          <w:b w:val="1"/>
          <w:bCs w:val="1"/>
          <w:color w:val="auto"/>
        </w:rPr>
        <w:t>Lock-Up Parties</w:t>
      </w:r>
      <w:r>
        <w:rPr>
          <w:rFonts w:ascii="Arial" w:cs="Arial" w:eastAsia="Arial" w:hAnsi="Arial"/>
          <w:sz w:val="17"/>
          <w:szCs w:val="17"/>
          <w:color w:val="auto"/>
        </w:rPr>
        <w:t>”). The Company has caused each of the Lock-Up Parties to deliver to the Representative an executed Lock-Up Agreement, in a form substantially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similar to that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(the “</w:t>
      </w:r>
      <w:r>
        <w:rPr>
          <w:rFonts w:ascii="Arial" w:cs="Arial" w:eastAsia="Arial" w:hAnsi="Arial"/>
          <w:sz w:val="17"/>
          <w:szCs w:val="17"/>
          <w:b w:val="1"/>
          <w:bCs w:val="1"/>
          <w:color w:val="auto"/>
        </w:rPr>
        <w:t>Lock-Up Agreement</w:t>
      </w:r>
      <w:r>
        <w:rPr>
          <w:rFonts w:ascii="Arial" w:cs="Arial" w:eastAsia="Arial" w:hAnsi="Arial"/>
          <w:sz w:val="17"/>
          <w:szCs w:val="17"/>
          <w:color w:val="auto"/>
        </w:rPr>
        <w:t>”), prior to the execution of this Agreement.</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2.25. </w:t>
      </w:r>
      <w:r>
        <w:rPr>
          <w:rFonts w:ascii="Arial" w:cs="Arial" w:eastAsia="Arial" w:hAnsi="Arial"/>
          <w:sz w:val="17"/>
          <w:szCs w:val="17"/>
          <w:i w:val="1"/>
          <w:iCs w:val="1"/>
          <w:u w:val="single" w:color="auto"/>
          <w:color w:val="auto"/>
        </w:rPr>
        <w:t>Subsidiaries</w:t>
      </w:r>
      <w:r>
        <w:rPr>
          <w:rFonts w:ascii="Arial" w:cs="Arial" w:eastAsia="Arial" w:hAnsi="Arial"/>
          <w:sz w:val="17"/>
          <w:szCs w:val="17"/>
          <w:color w:val="auto"/>
        </w:rPr>
        <w:t>. All direct and indirect Subsidiaries of the Company are duly organized and in good standing under the laws of the place of</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 or incorporation, and each Subsidiary is in good standing in each jurisdiction in which its ownership or lease of property or the conduct of business requires such qualification, except where the failure to qualify would not have a Material Adverse Change. The Company’s ownership and control of each Subsidiary is as described in the Registration Statement, the Pricing Disclosure Package and the Prospectus.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2.26. </w:t>
      </w:r>
      <w:r>
        <w:rPr>
          <w:rFonts w:ascii="Arial" w:cs="Arial" w:eastAsia="Arial" w:hAnsi="Arial"/>
          <w:sz w:val="18"/>
          <w:szCs w:val="18"/>
          <w:i w:val="1"/>
          <w:iCs w:val="1"/>
          <w:u w:val="single" w:color="auto"/>
          <w:color w:val="auto"/>
        </w:rPr>
        <w:t>Related Party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There are no business relationships or related party transactions involving the Company or any other person</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to be described in the Registration Statement, the Pricing Disclosure Package and the Prospectus that have not been described as required by the Securities Act Regulations.</w:t>
      </w:r>
    </w:p>
    <w:p>
      <w:pPr>
        <w:spacing w:after="0" w:line="18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2.27. </w:t>
      </w:r>
      <w:r>
        <w:rPr>
          <w:rFonts w:ascii="Arial" w:cs="Arial" w:eastAsia="Arial" w:hAnsi="Arial"/>
          <w:sz w:val="16"/>
          <w:szCs w:val="16"/>
          <w:i w:val="1"/>
          <w:iCs w:val="1"/>
          <w:u w:val="single" w:color="auto"/>
          <w:color w:val="auto"/>
        </w:rPr>
        <w:t>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The Board of Directors of the Company is comprised of the persons set forth under the heading of the Pricing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Prospectus captioned “Management.” The qualifications of the persons serving as board members and the overall composition of the board comply with the Exchange Act, the Exchange Act Regulations, the Sarbanes-Oxley Act of 2002 and the rules promulgated thereunder (the “</w:t>
      </w:r>
      <w:r>
        <w:rPr>
          <w:rFonts w:ascii="Arial" w:cs="Arial" w:eastAsia="Arial" w:hAnsi="Arial"/>
          <w:sz w:val="16"/>
          <w:szCs w:val="16"/>
          <w:b w:val="1"/>
          <w:bCs w:val="1"/>
          <w:color w:val="auto"/>
        </w:rPr>
        <w:t>Sarbanes-Oxley Act</w:t>
      </w:r>
      <w:r>
        <w:rPr>
          <w:rFonts w:ascii="Arial" w:cs="Arial" w:eastAsia="Arial" w:hAnsi="Arial"/>
          <w:sz w:val="16"/>
          <w:szCs w:val="16"/>
          <w:color w:val="auto"/>
        </w:rPr>
        <w:t>”) applicable to the Company and the listing rules of the Exchange. At least one member of the Audit Committee of the Board of Directors of the Company qualifies as an “audit committee financial expert,” as such term is defined under Regulation S-K and the listing rules of the Exchange. In addition, at least a majority of the persons serving on the Board of Directors qualify as “independent,” as defined under the listing rules of the Exchange.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2.28. </w:t>
      </w:r>
      <w:r>
        <w:rPr>
          <w:rFonts w:ascii="Arial" w:cs="Arial" w:eastAsia="Arial" w:hAnsi="Arial"/>
          <w:sz w:val="18"/>
          <w:szCs w:val="18"/>
          <w:i w:val="1"/>
          <w:iCs w:val="1"/>
          <w:u w:val="single" w:color="auto"/>
          <w:color w:val="auto"/>
        </w:rPr>
        <w:t>Sarbanes-Oxley Compliance</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79" w:lineRule="auto"/>
        <w:rPr>
          <w:sz w:val="20"/>
          <w:szCs w:val="20"/>
          <w:color w:val="auto"/>
        </w:rPr>
      </w:pPr>
      <w:r>
        <w:rPr>
          <w:rFonts w:ascii="Arial" w:cs="Arial" w:eastAsia="Arial" w:hAnsi="Arial"/>
          <w:sz w:val="17"/>
          <w:szCs w:val="17"/>
          <w:color w:val="auto"/>
        </w:rPr>
        <w:t xml:space="preserve">2.28.1. </w:t>
      </w:r>
      <w:r>
        <w:rPr>
          <w:rFonts w:ascii="Arial" w:cs="Arial" w:eastAsia="Arial" w:hAnsi="Arial"/>
          <w:sz w:val="17"/>
          <w:szCs w:val="17"/>
          <w:u w:val="single" w:color="auto"/>
          <w:color w:val="auto"/>
        </w:rPr>
        <w:t>Disclosure Controls</w:t>
      </w:r>
      <w:r>
        <w:rPr>
          <w:rFonts w:ascii="Arial" w:cs="Arial" w:eastAsia="Arial" w:hAnsi="Arial"/>
          <w:sz w:val="17"/>
          <w:szCs w:val="17"/>
          <w:color w:val="auto"/>
        </w:rPr>
        <w:t>. Except as disclosed in the Registration Statement, Pricing Disclosure Package and the Prospectus, the Company has developed and currently maintains disclosure controls and procedures that will comply with Rule 13a-15 or 15d-15 under the Exchange Act Regulations, and such controls and procedures are effective to ensure that all material information concerning the Company will be made known on a timely basis to the individuals responsible for the preparation of the Company’s Exchange Act filings and other public disclosure documents.</w:t>
      </w:r>
    </w:p>
    <w:p>
      <w:pPr>
        <w:spacing w:after="0" w:line="171"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auto"/>
        </w:rPr>
        <w:t xml:space="preserve">2.28.2. </w:t>
      </w:r>
      <w:r>
        <w:rPr>
          <w:rFonts w:ascii="Arial" w:cs="Arial" w:eastAsia="Arial" w:hAnsi="Arial"/>
          <w:sz w:val="16"/>
          <w:szCs w:val="16"/>
          <w:u w:val="single" w:color="auto"/>
          <w:color w:val="auto"/>
        </w:rPr>
        <w:t>Compliance</w:t>
      </w:r>
      <w:r>
        <w:rPr>
          <w:rFonts w:ascii="Arial" w:cs="Arial" w:eastAsia="Arial" w:hAnsi="Arial"/>
          <w:sz w:val="16"/>
          <w:szCs w:val="16"/>
          <w:color w:val="auto"/>
        </w:rPr>
        <w:t>. The Company is, or at the Applicable Time and on the Closing Date will be, in material compliance with the provisions of the Sarbanes-Oxley Act applicable to it, and has implemented or will implement such programs and has taken reasonable steps to ensure the Company’s future compliance (not later than the relevant statutory and regulatory deadlines therefor) with all of the material provisions of the Sarbanes-Oxley Act.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firstLine="648"/>
        <w:spacing w:after="0" w:line="285" w:lineRule="auto"/>
        <w:rPr>
          <w:sz w:val="20"/>
          <w:szCs w:val="20"/>
          <w:color w:val="auto"/>
        </w:rPr>
      </w:pPr>
      <w:r>
        <w:rPr>
          <w:rFonts w:ascii="Arial" w:cs="Arial" w:eastAsia="Arial" w:hAnsi="Arial"/>
          <w:sz w:val="16"/>
          <w:szCs w:val="16"/>
          <w:i w:val="1"/>
          <w:iCs w:val="1"/>
          <w:color w:val="auto"/>
        </w:rPr>
        <w:t xml:space="preserve">2.29. </w:t>
      </w:r>
      <w:r>
        <w:rPr>
          <w:rFonts w:ascii="Arial" w:cs="Arial" w:eastAsia="Arial" w:hAnsi="Arial"/>
          <w:sz w:val="16"/>
          <w:szCs w:val="16"/>
          <w:u w:val="single" w:color="auto"/>
          <w:color w:val="auto"/>
        </w:rPr>
        <w:t>Accounting Controls</w:t>
      </w:r>
      <w:r>
        <w:rPr>
          <w:rFonts w:ascii="Arial" w:cs="Arial" w:eastAsia="Arial" w:hAnsi="Arial"/>
          <w:sz w:val="16"/>
          <w:szCs w:val="16"/>
          <w:color w:val="auto"/>
        </w:rPr>
        <w:t>. Except as disclosed in the Registration Statement, Pricing Disclosure Package and the Prospectus,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maintains, the Company and its Subsidiaries maintain systems of “internal control over financial reporting” (as defined under Rules 13a-15 and 15d-15 under the Exchange Act Regulations) that comply in all material respects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GAAP, including, but not limited to,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Registration Statement, the Pricing Disclosure Package and the Prospectus, the Company is not aware of any material weaknesses in its internal control over financial reporting, and with respect to such remedial actions disclosed in the Registration Statement, the Pricing Disclosure Package and the Prospectus, the Company represents that it has taken all remedial actions set forth in such disclosure. The Company’s auditors and the Audit Committee of the Board of Directors of the Company have been advised of: (i) all significant deficiencies and material weaknesses in the design or operation of internal controls over financial reporting which are known to the Company’s management and that have adversely affected or are reasonably likely to adversely affect the Company’ ability to record, process, summarize and report financial information; and (ii) any fraud known to the Company’s management, whether or not material, that involves management or other employees who have a significant role in the Company’s internal controls over financial reporting.</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2.30. </w:t>
      </w:r>
      <w:r>
        <w:rPr>
          <w:rFonts w:ascii="Arial" w:cs="Arial" w:eastAsia="Arial" w:hAnsi="Arial"/>
          <w:sz w:val="18"/>
          <w:szCs w:val="18"/>
          <w:i w:val="1"/>
          <w:iCs w:val="1"/>
          <w:u w:val="single" w:color="auto"/>
          <w:color w:val="auto"/>
        </w:rPr>
        <w:t>No Investment Company Status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not and, after giving effect to the Offering and the application of the proceeds thereof as</w:t>
      </w:r>
      <w:r>
        <w:rPr>
          <w:rFonts w:ascii="Arial" w:cs="Arial" w:eastAsia="Arial" w:hAnsi="Arial"/>
          <w:sz w:val="18"/>
          <w:szCs w:val="18"/>
          <w:i w:val="1"/>
          <w:iCs w:val="1"/>
          <w:color w:val="auto"/>
        </w:rPr>
        <w:t xml:space="preserve"> </w:t>
      </w:r>
      <w:r>
        <w:rPr>
          <w:rFonts w:ascii="Arial" w:cs="Arial" w:eastAsia="Arial" w:hAnsi="Arial"/>
          <w:sz w:val="18"/>
          <w:szCs w:val="18"/>
          <w:color w:val="auto"/>
        </w:rPr>
        <w:t>described in the Registration Statement, the Pricing Disclosure Package and the Prospectus, will not be, required to register as an “investment company,” as defined in the Investment Company Act of 1940, as amended.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2.31. </w:t>
      </w:r>
      <w:r>
        <w:rPr>
          <w:rFonts w:ascii="Arial" w:cs="Arial" w:eastAsia="Arial" w:hAnsi="Arial"/>
          <w:sz w:val="18"/>
          <w:szCs w:val="18"/>
          <w:i w:val="1"/>
          <w:iCs w:val="1"/>
          <w:u w:val="single" w:color="auto"/>
          <w:color w:val="auto"/>
        </w:rPr>
        <w:t>No Labor Disputes</w:t>
      </w:r>
      <w:r>
        <w:rPr>
          <w:rFonts w:ascii="Arial" w:cs="Arial" w:eastAsia="Arial" w:hAnsi="Arial"/>
          <w:sz w:val="18"/>
          <w:szCs w:val="18"/>
          <w:i w:val="1"/>
          <w:iCs w:val="1"/>
          <w:color w:val="auto"/>
        </w:rPr>
        <w:t xml:space="preserve">. </w:t>
      </w:r>
      <w:r>
        <w:rPr>
          <w:rFonts w:ascii="Arial" w:cs="Arial" w:eastAsia="Arial" w:hAnsi="Arial"/>
          <w:sz w:val="18"/>
          <w:szCs w:val="18"/>
          <w:color w:val="auto"/>
        </w:rPr>
        <w:t>No labor dispute with the employees of the Company or any of its Subsidiaries exists or, to the knowledge of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is imminent.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ind w:firstLine="648"/>
        <w:spacing w:after="0" w:line="283" w:lineRule="auto"/>
        <w:rPr>
          <w:sz w:val="20"/>
          <w:szCs w:val="20"/>
          <w:color w:val="auto"/>
        </w:rPr>
      </w:pPr>
      <w:r>
        <w:rPr>
          <w:rFonts w:ascii="Arial" w:cs="Arial" w:eastAsia="Arial" w:hAnsi="Arial"/>
          <w:sz w:val="16"/>
          <w:szCs w:val="16"/>
          <w:i w:val="1"/>
          <w:iCs w:val="1"/>
          <w:color w:val="auto"/>
        </w:rPr>
        <w:t xml:space="preserve">2.32. </w:t>
      </w:r>
      <w:r>
        <w:rPr>
          <w:rFonts w:ascii="Arial" w:cs="Arial" w:eastAsia="Arial" w:hAnsi="Arial"/>
          <w:sz w:val="16"/>
          <w:szCs w:val="16"/>
          <w:i w:val="1"/>
          <w:iCs w:val="1"/>
          <w:u w:val="single" w:color="auto"/>
          <w:color w:val="auto"/>
        </w:rPr>
        <w:t>Intellectual Property Rights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each of its Subsidiaries owns or possesses or has valid rights to use all patents, patent</w:t>
      </w:r>
      <w:r>
        <w:rPr>
          <w:rFonts w:ascii="Arial" w:cs="Arial" w:eastAsia="Arial" w:hAnsi="Arial"/>
          <w:sz w:val="16"/>
          <w:szCs w:val="16"/>
          <w:i w:val="1"/>
          <w:iCs w:val="1"/>
          <w:color w:val="auto"/>
        </w:rPr>
        <w:t xml:space="preserve"> </w:t>
      </w:r>
      <w:r>
        <w:rPr>
          <w:rFonts w:ascii="Arial" w:cs="Arial" w:eastAsia="Arial" w:hAnsi="Arial"/>
          <w:sz w:val="16"/>
          <w:szCs w:val="16"/>
          <w:color w:val="auto"/>
        </w:rPr>
        <w:t>applications, trademarks, service marks, trade names, trademark registrations, service mark registrations, copyrights, licenses, inventions, trade secrets and similar rights (“</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xml:space="preserve">”) necessary for the conduct of the business of the Company and its Subsidiaries as currently carried on and as described in the Registration Statement, the Pricing Disclosure Package and the Prospectus. To the knowledge of the Company, no action or use by the Company or any of its Subsidiaries necessary for the conduct of its business as currently carried on and as described in the Registration Statement and the Prospectus will involve or give rise to any infringement of, or license or similar fees for, any Intellectual Property Rights of others. Neither the Company nor any of its Subsidiaries has received any written notice alleging any such infringement, fee or conflict with asserted Intellectual Property Rights of others. Except as would not reasonably be expected to result, individually or in the aggregate, in a Material Adverse Change (A) to the knowledge of the Company, there is no infringement, misappropriation or violation by third parties of any of the Intellectual Property Rights owned by the Company; (B) there is no pending or, to the knowledge of the Company, threatened action, suit, proceeding or claim by others challenging the rights of the Company in or to any such Intellectual Property Rights, and the Company is unaware of any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reasonably be expected to result in a Material Adverse Change; (C) the Intellectual Property Rights owned by the Company and, to the knowledge of the Company, the Intellectual Property Rights licensed to the Company have not been adjudged by a court of competent jurisdiction invalid or unenforceable, in whole or in part, and there is no pending or, to the Company’s knowledge, threatened action, suit, proceeding or claim by others challenging the validity or scope of any such Intellectual Property Rights, and the Company is unaware of any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reasonably be expected to result in a Material Adverse Change; (D) there is no pending or, to the Company’s knowledge, threatened action, suit, proceeding or claim by others that the Company infringes, misappropriates or otherwise violates any Intellectual Property Rights or other proprietary rights of others, the Company has not received any written notice of such claim and the Company is unaware of any other facts which would form a reasonable basis for any such claim that would, individually or in the aggregate, together with any other claims in this </w:t>
      </w:r>
      <w:r>
        <w:rPr>
          <w:rFonts w:ascii="Arial" w:cs="Arial" w:eastAsia="Arial" w:hAnsi="Arial"/>
          <w:sz w:val="16"/>
          <w:szCs w:val="16"/>
          <w:u w:val="single" w:color="auto"/>
          <w:color w:val="auto"/>
        </w:rPr>
        <w:t>Section 2.32,</w:t>
      </w:r>
      <w:r>
        <w:rPr>
          <w:rFonts w:ascii="Arial" w:cs="Arial" w:eastAsia="Arial" w:hAnsi="Arial"/>
          <w:sz w:val="16"/>
          <w:szCs w:val="16"/>
          <w:color w:val="auto"/>
        </w:rPr>
        <w:t xml:space="preserve"> reasonably be expected to result in a Material Adverse Change; and (E) to the Company’s knowledge, no employee of the Company is in or has ever been in violation in any material respect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the Company, or actions undertaken by the employee while employed with the Company and could reasonably be expected to result, individually or in the aggregate, in a Material Adverse Change. To the Company’s knowledge, all material technical information developed by and belonging to the Company which has not been patented has been kept confidential. The Company is not a party to or bound by any options, licenses or agreements with respect to the Intellectual Property Rights of any other person or entity that are required to be set forth in the Registration Statement, the Pricing Disclosure Package and the Prospectus and are not described therein. The Registration Statement, the Pricing Disclosure Package and the Prospectus contain in all material respects the same description of the matters set forth in the preceding sentence. None of the technology employed by the Company has been obtained or is being used by the Company in violation of any contractual obligation binding on the Company or, to the Company’s knowledge, any of its officers, directors or employees, or otherwise in violation of the rights of any persons.</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2.33. </w:t>
      </w:r>
      <w:r>
        <w:rPr>
          <w:rFonts w:ascii="Arial" w:cs="Arial" w:eastAsia="Arial" w:hAnsi="Arial"/>
          <w:sz w:val="17"/>
          <w:szCs w:val="17"/>
          <w:i w:val="1"/>
          <w:iCs w:val="1"/>
          <w:u w:val="single" w:color="auto"/>
          <w:color w:val="auto"/>
        </w:rPr>
        <w:t>Taxes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Each of the Company and its Subsidiaries has filed all returns (as hereinafter defined) required to be filed with taxing authorities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the date hereof or has duly obtained extensions of time for the filing thereof, except in any case in which the failure so to file would not reasonably be expected to cause a Material Adverse Change. Each of the Company and its Subsidiaries has paid all taxes (as hereinafter defined) shown as due on such returns that were filed and has paid all taxes imposed on or assessed against the Company or such respective Subsidiary, except for any such taxes that are currently being contested in good faith or as would not reasonably be expected to cause a Material Adverse Change.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Except as disclosed in writing to the Underwriters, (i) no issues have been raised (and are currently pending) by any taxing authority in connection with any of the returns or taxes asserted as due from the Company or its Subsidiaries, and (ii) no waivers of statutes of limitation with respect to the returns or collection of taxes have been given by or requested from the Company or its Subsidiaries. The term “taxes” 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“returns” means all returns, declarations, reports, statements and other documents required to be filed in respect to taxes.</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2.34. </w:t>
      </w:r>
      <w:r>
        <w:rPr>
          <w:rFonts w:ascii="Arial" w:cs="Arial" w:eastAsia="Arial" w:hAnsi="Arial"/>
          <w:sz w:val="18"/>
          <w:szCs w:val="18"/>
          <w:i w:val="1"/>
          <w:iCs w:val="1"/>
          <w:u w:val="single" w:color="auto"/>
          <w:color w:val="auto"/>
        </w:rPr>
        <w:t>ERISA Compliance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not subject to the Employee Retirement Income Security Act of 1974, as amended, or the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published interpretations thereunder.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jc w:val="both"/>
        <w:ind w:firstLine="648"/>
        <w:spacing w:after="0" w:line="267" w:lineRule="auto"/>
        <w:rPr>
          <w:sz w:val="20"/>
          <w:szCs w:val="20"/>
          <w:color w:val="auto"/>
        </w:rPr>
      </w:pPr>
      <w:r>
        <w:rPr>
          <w:rFonts w:ascii="Arial" w:cs="Arial" w:eastAsia="Arial" w:hAnsi="Arial"/>
          <w:sz w:val="17"/>
          <w:szCs w:val="17"/>
          <w:i w:val="1"/>
          <w:iCs w:val="1"/>
          <w:color w:val="auto"/>
        </w:rPr>
        <w:t xml:space="preserve">2.35. </w:t>
      </w:r>
      <w:r>
        <w:rPr>
          <w:rFonts w:ascii="Arial" w:cs="Arial" w:eastAsia="Arial" w:hAnsi="Arial"/>
          <w:sz w:val="17"/>
          <w:szCs w:val="17"/>
          <w:i w:val="1"/>
          <w:iCs w:val="1"/>
          <w:u w:val="single" w:color="auto"/>
          <w:color w:val="auto"/>
        </w:rPr>
        <w:t>Compliance with Laws</w:t>
      </w:r>
      <w:r>
        <w:rPr>
          <w:rFonts w:ascii="Arial" w:cs="Arial" w:eastAsia="Arial" w:hAnsi="Arial"/>
          <w:sz w:val="20"/>
          <w:szCs w:val="20"/>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otherwise disclosed in the Registration Statement, Pricing Disclosure Package and Prospectus and as could</w:t>
      </w:r>
      <w:r>
        <w:rPr>
          <w:rFonts w:ascii="Arial" w:cs="Arial" w:eastAsia="Arial" w:hAnsi="Arial"/>
          <w:sz w:val="17"/>
          <w:szCs w:val="17"/>
          <w:i w:val="1"/>
          <w:iCs w:val="1"/>
          <w:color w:val="auto"/>
        </w:rPr>
        <w:t xml:space="preserve"> </w:t>
      </w:r>
      <w:r>
        <w:rPr>
          <w:rFonts w:ascii="Arial" w:cs="Arial" w:eastAsia="Arial" w:hAnsi="Arial"/>
          <w:sz w:val="17"/>
          <w:szCs w:val="17"/>
          <w:color w:val="auto"/>
        </w:rPr>
        <w:t>not, individually or in the aggregate, be expected to result in a Material Adverse Change, each of the Company and each Subsidiary, the Company: (A) is and at all times has been in compliance with all statutes, rules, or regulations applicable to the services provided by the Company (“</w:t>
      </w:r>
      <w:r>
        <w:rPr>
          <w:rFonts w:ascii="Arial" w:cs="Arial" w:eastAsia="Arial" w:hAnsi="Arial"/>
          <w:sz w:val="17"/>
          <w:szCs w:val="17"/>
          <w:b w:val="1"/>
          <w:bCs w:val="1"/>
          <w:color w:val="auto"/>
        </w:rPr>
        <w:t>Applicable Laws</w:t>
      </w:r>
      <w:r>
        <w:rPr>
          <w:rFonts w:ascii="Arial" w:cs="Arial" w:eastAsia="Arial" w:hAnsi="Arial"/>
          <w:sz w:val="17"/>
          <w:szCs w:val="17"/>
          <w:color w:val="auto"/>
        </w:rPr>
        <w:t>”), except as could not, individually or in the aggregate, reasonably be expected to have a Material Adverse Change; (B) has not received any warning letter, untitled letter or other correspondence or notice from any other governmental authority alleging or asserting noncompliance with any Applicable Laws or any licenses, certificates, approvals, clearances, authorizations, permits and supplements or amendments thereto required by any such Applicable Laws (“</w:t>
      </w:r>
      <w:r>
        <w:rPr>
          <w:rFonts w:ascii="Arial" w:cs="Arial" w:eastAsia="Arial" w:hAnsi="Arial"/>
          <w:sz w:val="17"/>
          <w:szCs w:val="17"/>
          <w:b w:val="1"/>
          <w:bCs w:val="1"/>
          <w:color w:val="auto"/>
        </w:rPr>
        <w:t>Authorizations</w:t>
      </w:r>
      <w:r>
        <w:rPr>
          <w:rFonts w:ascii="Arial" w:cs="Arial" w:eastAsia="Arial" w:hAnsi="Arial"/>
          <w:sz w:val="17"/>
          <w:szCs w:val="17"/>
          <w:color w:val="auto"/>
        </w:rPr>
        <w:t>”); (C) possesses all material Authorizations and such material Authorizations are valid and in full force and effect and are not in material violation of any term of any such Authorizations; (D) has not received written notice of any claim, action, suit, proceeding, hearing, enforcement, investigation, arbitration or other action from any governmental authority or third party alleging that any product operation or activity is in violation of any Applicable Laws or Authorizations and has no knowledge that any such governmental authority or third party is considering any such claim, litigation, arbitration, action, suit, investigation or proceeding that if brought would result in a Material Adverse Change; (E) has not received written notice that any governmental authority has taken, is taking or intends to take action to limit, suspend, modify or revoke any Authorizations and has no knowledge that any such governmental authority is considering such action; (F)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in all material respects on the date filed (or were corrected or supplemented by a subsequent submission); and (G) has not, either voluntarily or involuntarily, initiated, conducted, or issued or caused to be initiated, conducted or issued, any recall, market withdrawal or replacement, safety alert, post-sale warning, or other notice or action relating to the alleged lack of safety of any product or any alleged product defect or violation and, to the Company’s knowledge, no third party has initiated, conducted or intends to initiate any such notice or action.</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2.36. </w:t>
      </w:r>
      <w:r>
        <w:rPr>
          <w:rFonts w:ascii="Arial" w:cs="Arial" w:eastAsia="Arial" w:hAnsi="Arial"/>
          <w:sz w:val="18"/>
          <w:szCs w:val="18"/>
          <w:i w:val="1"/>
          <w:iCs w:val="1"/>
          <w:u w:val="single" w:color="auto"/>
          <w:color w:val="auto"/>
        </w:rPr>
        <w:t>Ineligible Issuer</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filing the Registration Statement and any post-effective amendment thereto, at the time of effectiveness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and any amendment thereto, at the earliest time thereafter that the Company or another offering participant made a bona fide offer (within the meaning of Rule 164(h)(2) of the Securities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2.37. </w:t>
      </w:r>
      <w:r>
        <w:rPr>
          <w:rFonts w:ascii="Arial" w:cs="Arial" w:eastAsia="Arial" w:hAnsi="Arial"/>
          <w:sz w:val="17"/>
          <w:szCs w:val="17"/>
          <w:i w:val="1"/>
          <w:iCs w:val="1"/>
          <w:u w:val="single" w:color="auto"/>
          <w:color w:val="auto"/>
        </w:rPr>
        <w:t>Real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set forth in the Registration Statement, the Pricing Disclosure Package and the Prospectus, the Company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Subsidiaries have good and marketable title in fee simple to, or have valid rights to lease or otherwise use, all items of real or personal property which are material to the business of the Company and its Subsidiaries taken as a whole, in each case free and clear of all liens, encumbrances, security interests, claims and defects that do not, singly or in the aggregate, materially affect the value of such property and do not interfere with the use made and proposed to be made of such property by the Company or its Subsidiaries; and all of the leases and subleases material to the business of the Company and its Subsidiaries, considered as one enterprise, and under which the Company or any of its Subsidiaries holds properties described in the Registration Statement, the Pricing Disclosure Package and the Prospectus, are in full force and effect, and neither the Company nor any Subsidiary has received any written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 which would result in a Material Adverse Change.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 w:name="page19"/>
    <w:bookmarkEnd w:id="18"/>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2.38. </w:t>
      </w:r>
      <w:r>
        <w:rPr>
          <w:rFonts w:ascii="Arial" w:cs="Arial" w:eastAsia="Arial" w:hAnsi="Arial"/>
          <w:sz w:val="17"/>
          <w:szCs w:val="17"/>
          <w:i w:val="1"/>
          <w:iCs w:val="1"/>
          <w:u w:val="single" w:color="auto"/>
          <w:color w:val="auto"/>
        </w:rPr>
        <w:t>Contracts Affecting Capital</w:t>
      </w:r>
      <w:r>
        <w:rPr>
          <w:rFonts w:ascii="Arial" w:cs="Arial" w:eastAsia="Arial" w:hAnsi="Arial"/>
          <w:sz w:val="17"/>
          <w:szCs w:val="17"/>
          <w:color w:val="auto"/>
        </w:rPr>
        <w:t>. There are no transactions, arrangements or other relationships between and/or among the Company, any of its</w:t>
      </w:r>
      <w:r>
        <w:rPr>
          <w:rFonts w:ascii="Arial" w:cs="Arial" w:eastAsia="Arial" w:hAnsi="Arial"/>
          <w:sz w:val="17"/>
          <w:szCs w:val="17"/>
          <w:i w:val="1"/>
          <w:iCs w:val="1"/>
          <w:color w:val="auto"/>
        </w:rPr>
        <w:t xml:space="preserve"> </w:t>
      </w:r>
      <w:r>
        <w:rPr>
          <w:rFonts w:ascii="Arial" w:cs="Arial" w:eastAsia="Arial" w:hAnsi="Arial"/>
          <w:sz w:val="17"/>
          <w:szCs w:val="17"/>
          <w:color w:val="auto"/>
        </w:rPr>
        <w:t>affiliates (as such term is defined in Rule 405 of the Securities Act Regulations) and any unconsolidated entity, including, but not limited to, any structured finance, special purpose or limited purpose entity that could reasonably be expected to materially affect the Company’s or its Subsidiaries’ liquidity or the availability of or requirements for their capital resources required to be described or incorporated by reference in the Registration Statement, the Pricing Disclosure Package and the Prospectus which have not been described or incorporated by reference as required.</w:t>
      </w:r>
    </w:p>
    <w:p>
      <w:pPr>
        <w:spacing w:after="0" w:line="17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2.39. </w:t>
      </w:r>
      <w:r>
        <w:rPr>
          <w:rFonts w:ascii="Arial" w:cs="Arial" w:eastAsia="Arial" w:hAnsi="Arial"/>
          <w:sz w:val="16"/>
          <w:szCs w:val="16"/>
          <w:i w:val="1"/>
          <w:iCs w:val="1"/>
          <w:u w:val="single" w:color="auto"/>
          <w:color w:val="auto"/>
        </w:rPr>
        <w:t>Loans to Directors or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There are no outstanding loans, advances (except normal advances for business expenses in the ordinary course</w:t>
      </w:r>
      <w:r>
        <w:rPr>
          <w:rFonts w:ascii="Arial" w:cs="Arial" w:eastAsia="Arial" w:hAnsi="Arial"/>
          <w:sz w:val="16"/>
          <w:szCs w:val="16"/>
          <w:i w:val="1"/>
          <w:iCs w:val="1"/>
          <w:color w:val="auto"/>
        </w:rPr>
        <w:t xml:space="preserve"> </w:t>
      </w:r>
      <w:r>
        <w:rPr>
          <w:rFonts w:ascii="Arial" w:cs="Arial" w:eastAsia="Arial" w:hAnsi="Arial"/>
          <w:sz w:val="16"/>
          <w:szCs w:val="16"/>
          <w:color w:val="auto"/>
        </w:rPr>
        <w:t>of business) or guarantees or indebtedness by the Company or its Subsidiaries to or for the benefit of any of the officers or directors of the Company, its Subsidiaries or any of their respective family members, except as disclosed in the Registration Statement, the Pricing Disclosure Package and the Prospectus.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2.40. </w:t>
      </w:r>
      <w:r>
        <w:rPr>
          <w:rFonts w:ascii="Arial" w:cs="Arial" w:eastAsia="Arial" w:hAnsi="Arial"/>
          <w:sz w:val="18"/>
          <w:szCs w:val="18"/>
          <w:i w:val="1"/>
          <w:iCs w:val="1"/>
          <w:u w:val="single" w:color="auto"/>
          <w:color w:val="auto"/>
        </w:rPr>
        <w:t>Industry Data; Forward-looking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statistical and market-related data included in each of the Registration Statement, the Pricing</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Package and the Prospectus are based on or derived from sources that the Company reasonably and in good faith believes are reliable and accurate or represent the Company’s good faith estimates that are made on the basis of data derived from such sources. No forward-looking statement (within the meaning of Section 27A of the Securities Act and Section 21E of the Exchange Act) contained in the Prospectus has been made or reaffirmed without a reasonable basis or has been disclosed other than in good faith.</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2.41. </w:t>
      </w:r>
      <w:r>
        <w:rPr>
          <w:rFonts w:ascii="Arial" w:cs="Arial" w:eastAsia="Arial" w:hAnsi="Arial"/>
          <w:sz w:val="18"/>
          <w:szCs w:val="18"/>
          <w:i w:val="1"/>
          <w:iCs w:val="1"/>
          <w:u w:val="single" w:color="auto"/>
          <w:color w:val="auto"/>
        </w:rPr>
        <w:t>Emerging Growth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time of the initial confidential submission of the Registration Statement to the Commission (or, if</w:t>
      </w:r>
      <w:r>
        <w:rPr>
          <w:rFonts w:ascii="Arial" w:cs="Arial" w:eastAsia="Arial" w:hAnsi="Arial"/>
          <w:sz w:val="18"/>
          <w:szCs w:val="18"/>
          <w:i w:val="1"/>
          <w:iCs w:val="1"/>
          <w:color w:val="auto"/>
        </w:rPr>
        <w:t xml:space="preserve"> </w:t>
      </w:r>
      <w:r>
        <w:rPr>
          <w:rFonts w:ascii="Arial" w:cs="Arial" w:eastAsia="Arial" w:hAnsi="Arial"/>
          <w:sz w:val="18"/>
          <w:szCs w:val="18"/>
          <w:color w:val="auto"/>
        </w:rPr>
        <w:t>earlier, the first date on which the Company engaged directly in or through any Person authorized to act on its behalf in any Testing-the 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2.42. </w:t>
      </w:r>
      <w:r>
        <w:rPr>
          <w:rFonts w:ascii="Arial" w:cs="Arial" w:eastAsia="Arial" w:hAnsi="Arial"/>
          <w:sz w:val="17"/>
          <w:szCs w:val="17"/>
          <w:i w:val="1"/>
          <w:iCs w:val="1"/>
          <w:u w:val="single" w:color="auto"/>
          <w:color w:val="auto"/>
        </w:rPr>
        <w:t>Testing-the-Waters Communications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Company has not (i) alone engaged in any Testing-the-Waters Communications, other than Testing-the-Waters Communications with the written consent of the Representative and with entities that are qualified institutional buyers within the meaning of Rule 144A under the Securities Act or institutions that are accredited investors within the meaning of Rule 501 under the Securities Act and (ii) authorized anyone other than the Representative to engage in Testing-the-Waters Communications. The Company confirms that the Representative has been authorized to act on its behalf in undertaking Testing-the-Waters Communications. The Company has not distributed any Written Testing-the-Waters Communications other than those listed on </w:t>
      </w:r>
      <w:r>
        <w:rPr>
          <w:rFonts w:ascii="Arial" w:cs="Arial" w:eastAsia="Arial" w:hAnsi="Arial"/>
          <w:sz w:val="17"/>
          <w:szCs w:val="17"/>
          <w:u w:val="single" w:color="auto"/>
          <w:color w:val="auto"/>
        </w:rPr>
        <w:t>Schedule 2-C</w:t>
      </w:r>
      <w:r>
        <w:rPr>
          <w:rFonts w:ascii="Arial" w:cs="Arial" w:eastAsia="Arial" w:hAnsi="Arial"/>
          <w:sz w:val="17"/>
          <w:szCs w:val="17"/>
          <w:color w:val="auto"/>
        </w:rPr>
        <w:t xml:space="preserve">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2.43. </w:t>
      </w:r>
      <w:r>
        <w:rPr>
          <w:rFonts w:ascii="Arial" w:cs="Arial" w:eastAsia="Arial" w:hAnsi="Arial"/>
          <w:sz w:val="18"/>
          <w:szCs w:val="18"/>
          <w:i w:val="1"/>
          <w:iCs w:val="1"/>
          <w:u w:val="single" w:color="auto"/>
          <w:color w:val="auto"/>
        </w:rPr>
        <w:t>Electronic Road Show</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made available a Bona Fide Electronic Road Show in compliance with Rule 433(d)(8)(ii)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Act Regulations such that no filing of any “road show” (as defined in Rule 433(h) of the Securities Act Regulations) is required in connection with the Offering</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2.44. </w:t>
      </w:r>
      <w:r>
        <w:rPr>
          <w:rFonts w:ascii="Arial" w:cs="Arial" w:eastAsia="Arial" w:hAnsi="Arial"/>
          <w:sz w:val="18"/>
          <w:szCs w:val="18"/>
          <w:i w:val="1"/>
          <w:iCs w:val="1"/>
          <w:u w:val="single" w:color="auto"/>
          <w:color w:val="auto"/>
        </w:rPr>
        <w:t>Margin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owns no “margin securities” as that term is defined in Regulation U of the Board of Governors of the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System (the “</w:t>
      </w:r>
      <w:r>
        <w:rPr>
          <w:rFonts w:ascii="Arial" w:cs="Arial" w:eastAsia="Arial" w:hAnsi="Arial"/>
          <w:sz w:val="18"/>
          <w:szCs w:val="18"/>
          <w:b w:val="1"/>
          <w:bCs w:val="1"/>
          <w:color w:val="auto"/>
        </w:rPr>
        <w:t>Federal Reserve Board</w:t>
      </w:r>
      <w:r>
        <w:rPr>
          <w:rFonts w:ascii="Arial" w:cs="Arial" w:eastAsia="Arial" w:hAnsi="Arial"/>
          <w:sz w:val="18"/>
          <w:szCs w:val="18"/>
          <w:color w:val="auto"/>
        </w:rPr>
        <w:t>”), and none of the proceeds of Offering will be used, directly or indirectly, for the purpose of purchasing or carrying any margin security, for the purpose of reducing or retiring any indebtedness which was originally incurred to purchase or carry any margin security or for any other purpose which might cause any of the common shares of the Company to be considered a “purpose credit” within the meanings of Regulation T, U or X of the Federal Reserve Board</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i w:val="1"/>
          <w:iCs w:val="1"/>
          <w:color w:val="auto"/>
        </w:rPr>
        <w:t xml:space="preserve">2.45. </w:t>
      </w:r>
      <w:r>
        <w:rPr>
          <w:rFonts w:ascii="Arial" w:cs="Arial" w:eastAsia="Arial" w:hAnsi="Arial"/>
          <w:sz w:val="18"/>
          <w:szCs w:val="18"/>
          <w:i w:val="1"/>
          <w:iCs w:val="1"/>
          <w:u w:val="single" w:color="auto"/>
          <w:color w:val="auto"/>
        </w:rPr>
        <w:t>PRC Representation and Warranties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2.45.1. </w:t>
      </w:r>
      <w:r>
        <w:rPr>
          <w:rFonts w:ascii="Arial" w:cs="Arial" w:eastAsia="Arial" w:hAnsi="Arial"/>
          <w:sz w:val="18"/>
          <w:szCs w:val="18"/>
          <w:u w:val="single" w:color="auto"/>
          <w:color w:val="auto"/>
        </w:rPr>
        <w:t>PRC Taxes</w:t>
      </w:r>
      <w:r>
        <w:rPr>
          <w:rFonts w:ascii="Arial" w:cs="Arial" w:eastAsia="Arial" w:hAnsi="Arial"/>
          <w:sz w:val="18"/>
          <w:szCs w:val="18"/>
          <w:color w:val="auto"/>
        </w:rPr>
        <w:t>. Except as disclosed in the Registration Statement, the Pricing Disclosure Package and Prospectus, including the risk factor set forth in “Risk Factors— we may be classified as a “resident enterprise” for PRC enterprise income tax purposes; such classification could result in unfavorable tax consequences to us and our non-PRC shareholders, no transaction, stamp, capital or other issuance, registration, transaction, transfer or withholding taxes or duties are payable in to any PRC taxing authority in connection with (A) the issuance, sale and delivery of the Shares and the Underwriters’ Warrants, (B) the purchase from the Company and the sale and delivery of the Shares to purchasers thereof, or (C) the execution and delivery of this Agreement by the Underwriters.</w:t>
      </w:r>
    </w:p>
    <w:p>
      <w:pPr>
        <w:spacing w:after="0" w:line="19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 xml:space="preserve">2.45.2. </w:t>
      </w:r>
      <w:r>
        <w:rPr>
          <w:rFonts w:ascii="Arial" w:cs="Arial" w:eastAsia="Arial" w:hAnsi="Arial"/>
          <w:sz w:val="17"/>
          <w:szCs w:val="17"/>
          <w:u w:val="single" w:color="auto"/>
          <w:color w:val="auto"/>
        </w:rPr>
        <w:t>Compliance with SAFE Regulations</w:t>
      </w:r>
      <w:r>
        <w:rPr>
          <w:rFonts w:ascii="Arial" w:cs="Arial" w:eastAsia="Arial" w:hAnsi="Arial"/>
          <w:sz w:val="17"/>
          <w:szCs w:val="17"/>
          <w:color w:val="auto"/>
        </w:rPr>
        <w:t>. The Company has taken all reasonable steps to cause all of the Company’s shareholders and warrant holders who are residents or citizens of the PRC, to comply with any applicable rules and regulations of the State Administration of Foreign Exchange relating to such shareholders’ and option holders’ shareholding with the Company (the “</w:t>
      </w:r>
      <w:r>
        <w:rPr>
          <w:rFonts w:ascii="Arial" w:cs="Arial" w:eastAsia="Arial" w:hAnsi="Arial"/>
          <w:sz w:val="17"/>
          <w:szCs w:val="17"/>
          <w:b w:val="1"/>
          <w:bCs w:val="1"/>
          <w:color w:val="auto"/>
        </w:rPr>
        <w:t>SAFE Rules and Regulations</w:t>
      </w:r>
      <w:r>
        <w:rPr>
          <w:rFonts w:ascii="Arial" w:cs="Arial" w:eastAsia="Arial" w:hAnsi="Arial"/>
          <w:sz w:val="17"/>
          <w:szCs w:val="17"/>
          <w:color w:val="auto"/>
        </w:rPr>
        <w:t>”), including, without limitation, taking reasonable steps to require each shareholder or option holder that is, or is directly or indirectly owned or controlled by, a resident or citizen of the PRC to complete any registration and other procedures required under applicable SAFE Rules and Regulations.</w:t>
      </w:r>
    </w:p>
    <w:p>
      <w:pPr>
        <w:spacing w:after="0" w:line="17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2.45.3. </w:t>
      </w:r>
      <w:r>
        <w:rPr>
          <w:rFonts w:ascii="Arial" w:cs="Arial" w:eastAsia="Arial" w:hAnsi="Arial"/>
          <w:sz w:val="18"/>
          <w:szCs w:val="18"/>
          <w:u w:val="single" w:color="auto"/>
          <w:color w:val="auto"/>
        </w:rPr>
        <w:t>M&amp;A and CSRC Rules</w:t>
      </w:r>
      <w:r>
        <w:rPr>
          <w:rFonts w:ascii="Arial" w:cs="Arial" w:eastAsia="Arial" w:hAnsi="Arial"/>
          <w:sz w:val="18"/>
          <w:szCs w:val="18"/>
          <w:color w:val="auto"/>
        </w:rPr>
        <w:t>. The Company is aware of and has been advised as to the content of the Rules on Mergers and Acquisitions of Domestic Enterprises by Foreign Investors jointly promulgated by the Ministry of Commerce, the State Assets Supervision and Administration Commission, the State Tax Administration, the State Administration of Industry and Commerce, the China Securities Regulatory Commission (“</w:t>
      </w:r>
      <w:r>
        <w:rPr>
          <w:rFonts w:ascii="Arial" w:cs="Arial" w:eastAsia="Arial" w:hAnsi="Arial"/>
          <w:sz w:val="18"/>
          <w:szCs w:val="18"/>
          <w:b w:val="1"/>
          <w:bCs w:val="1"/>
          <w:color w:val="auto"/>
        </w:rPr>
        <w:t>CSRC</w:t>
      </w:r>
      <w:r>
        <w:rPr>
          <w:rFonts w:ascii="Arial" w:cs="Arial" w:eastAsia="Arial" w:hAnsi="Arial"/>
          <w:sz w:val="18"/>
          <w:szCs w:val="18"/>
          <w:color w:val="auto"/>
        </w:rPr>
        <w:t>”) and the State Administration of Foreign Exchange of China on August 8, 2006 (the “</w:t>
      </w:r>
      <w:r>
        <w:rPr>
          <w:rFonts w:ascii="Arial" w:cs="Arial" w:eastAsia="Arial" w:hAnsi="Arial"/>
          <w:sz w:val="18"/>
          <w:szCs w:val="18"/>
          <w:b w:val="1"/>
          <w:bCs w:val="1"/>
          <w:color w:val="auto"/>
        </w:rPr>
        <w:t>M&amp;A Rules</w:t>
      </w:r>
      <w:r>
        <w:rPr>
          <w:rFonts w:ascii="Arial" w:cs="Arial" w:eastAsia="Arial" w:hAnsi="Arial"/>
          <w:sz w:val="18"/>
          <w:szCs w:val="18"/>
          <w:color w:val="auto"/>
        </w:rPr>
        <w:t>”), in particular the relevant provisions thereof that purport to require offshore special purpose vehicles formed for the purpose of obtaining a stock exchange listing outside of the PRC and controlled directly or indirectly by companies or natural persons of the PRC, to obtain the approval of the CSRC prior to the listing and trading of their securities on a stock exchange located outside of the PRC; the Company has received legal advice specifically with respect to the M&amp;A Rules from its PRC counsel and based on such legal advice, the Company confirms with the Underwriters:</w:t>
      </w:r>
    </w:p>
    <w:p>
      <w:pPr>
        <w:spacing w:after="0" w:line="192" w:lineRule="exact"/>
        <w:rPr>
          <w:sz w:val="20"/>
          <w:szCs w:val="20"/>
          <w:color w:val="auto"/>
        </w:rPr>
      </w:pPr>
    </w:p>
    <w:p>
      <w:pPr>
        <w:jc w:val="both"/>
        <w:ind w:firstLine="2018"/>
        <w:spacing w:after="0" w:line="276" w:lineRule="auto"/>
        <w:tabs>
          <w:tab w:leader="none" w:pos="2230" w:val="left"/>
        </w:tabs>
        <w:numPr>
          <w:ilvl w:val="0"/>
          <w:numId w:val="7"/>
        </w:numPr>
        <w:rPr>
          <w:rFonts w:ascii="Arial" w:cs="Arial" w:eastAsia="Arial" w:hAnsi="Arial"/>
          <w:sz w:val="17"/>
          <w:szCs w:val="17"/>
          <w:color w:val="auto"/>
        </w:rPr>
      </w:pPr>
      <w:r>
        <w:rPr>
          <w:rFonts w:ascii="Arial" w:cs="Arial" w:eastAsia="Arial" w:hAnsi="Arial"/>
          <w:sz w:val="17"/>
          <w:szCs w:val="17"/>
          <w:color w:val="auto"/>
        </w:rPr>
        <w:t>Except as disclosed in the Pricing Disclosure Package, Registration Statement and the Prospectus, the issuance and sale of the Securities, the listing and trading of the Securities on NASDAQ and the consummation of the transactions contemplated by this Agreement are not and will not be, as of the date hereof, at the Closing Date or on each settlement date, affected by the M&amp;A Rules or any official clarifications, guidance, interpretations or implementation rules in connection with or related to the M&amp;A Rules, including the guidance and notices issued by the CSRC on September 8 and September 21, 2006, as amended (collectively, the “</w:t>
      </w:r>
      <w:r>
        <w:rPr>
          <w:rFonts w:ascii="Arial" w:cs="Arial" w:eastAsia="Arial" w:hAnsi="Arial"/>
          <w:sz w:val="17"/>
          <w:szCs w:val="17"/>
          <w:b w:val="1"/>
          <w:bCs w:val="1"/>
          <w:color w:val="auto"/>
        </w:rPr>
        <w:t>M&amp;A Rules and Related Clarifications</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2018"/>
        <w:spacing w:after="0" w:line="312" w:lineRule="auto"/>
        <w:tabs>
          <w:tab w:leader="none" w:pos="2288"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disclosed in the Pricing Disclosure Package, Registration Statement and the Prospectus, as of the date hereof, the M&amp;A Rules and Related Classifications did not and do not require the Company to obtain the approval of the CSRC prior to the issuance and sale of the Shares and Underwriters’ Warrants, the listing and trading of the Shares on Nasdaq, or the consummation of the transactions contemplated by this Agreement.</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2.46. </w:t>
      </w:r>
      <w:r>
        <w:rPr>
          <w:rFonts w:ascii="Arial" w:cs="Arial" w:eastAsia="Arial" w:hAnsi="Arial"/>
          <w:sz w:val="18"/>
          <w:szCs w:val="18"/>
          <w:i w:val="1"/>
          <w:iCs w:val="1"/>
          <w:u w:val="single" w:color="auto"/>
          <w:color w:val="auto"/>
        </w:rPr>
        <w:t>Dividends and Distributions</w:t>
      </w:r>
      <w:r>
        <w:rPr>
          <w:rFonts w:ascii="Arial" w:cs="Arial" w:eastAsia="Arial" w:hAnsi="Arial"/>
          <w:sz w:val="18"/>
          <w:szCs w:val="18"/>
          <w:color w:val="auto"/>
        </w:rPr>
        <w:t>. Except as disclosed in the Pricing Disclosure Package, Registration Statement and the Prospectus, no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is currently prohibited or restricted,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2.47. </w:t>
      </w:r>
      <w:r>
        <w:rPr>
          <w:rFonts w:ascii="Arial" w:cs="Arial" w:eastAsia="Arial" w:hAnsi="Arial"/>
          <w:sz w:val="17"/>
          <w:szCs w:val="17"/>
          <w:i w:val="1"/>
          <w:iCs w:val="1"/>
          <w:u w:val="single" w:color="auto"/>
          <w:color w:val="auto"/>
        </w:rPr>
        <w:t>Lending Relationships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disclosed in the Pricing Disclosure Package, Registration Statement and the Prospectus, the Company (i)</w:t>
      </w:r>
      <w:r>
        <w:rPr>
          <w:rFonts w:ascii="Arial" w:cs="Arial" w:eastAsia="Arial" w:hAnsi="Arial"/>
          <w:sz w:val="17"/>
          <w:szCs w:val="17"/>
          <w:i w:val="1"/>
          <w:iCs w:val="1"/>
          <w:color w:val="auto"/>
        </w:rPr>
        <w:t xml:space="preserve"> </w:t>
      </w:r>
      <w:r>
        <w:rPr>
          <w:rFonts w:ascii="Arial" w:cs="Arial" w:eastAsia="Arial" w:hAnsi="Arial"/>
          <w:sz w:val="17"/>
          <w:szCs w:val="17"/>
          <w:color w:val="auto"/>
        </w:rPr>
        <w:t>does not have any material lending or other relationship with any bank or lending affiliate of the Underwriters and (ii) does not intend to use any of the proceeds from the sale of the Securities hereunder to repay any outstanding debt owed to any affiliate of the Underwriters.</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2.48. </w:t>
      </w:r>
      <w:r>
        <w:rPr>
          <w:rFonts w:ascii="Arial" w:cs="Arial" w:eastAsia="Arial" w:hAnsi="Arial"/>
          <w:sz w:val="16"/>
          <w:szCs w:val="16"/>
          <w:i w:val="1"/>
          <w:iCs w:val="1"/>
          <w:u w:val="single" w:color="auto"/>
          <w:color w:val="auto"/>
        </w:rPr>
        <w:t>No Immunity</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None of the Company, its Subsidiaries or any of its or their properties or assets has any immunity from the jurisdiction of any</w:t>
      </w:r>
      <w:r>
        <w:rPr>
          <w:rFonts w:ascii="Arial" w:cs="Arial" w:eastAsia="Arial" w:hAnsi="Arial"/>
          <w:sz w:val="16"/>
          <w:szCs w:val="16"/>
          <w:i w:val="1"/>
          <w:iCs w:val="1"/>
          <w:color w:val="auto"/>
        </w:rPr>
        <w:t xml:space="preserve"> </w:t>
      </w:r>
      <w:r>
        <w:rPr>
          <w:rFonts w:ascii="Arial" w:cs="Arial" w:eastAsia="Arial" w:hAnsi="Arial"/>
          <w:sz w:val="16"/>
          <w:szCs w:val="16"/>
          <w:color w:val="auto"/>
        </w:rPr>
        <w:t>court or from any legal process (whether through service or notice, attachment prior to judgment, attachment in aid of execution or otherwise) under the laws of the Cayman Islands, British Virgin Islands, Hong Kong, Singapore, Taiwan, Australia, the PRC, New York or United States federal law; and, to the extent that the Company, its Subsidiaries, or any of their respective properties, assets or revenues may have or may hereafter become entitled to any such right of immunity in any such court in which proceedings may at any time be commenced, each of the Company, its Subsidiaries waives or will waive such right to the extent permitted by law and has consented to such relief and enforcement under New York law as provided under this Agreement.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2.49. </w:t>
      </w:r>
      <w:r>
        <w:rPr>
          <w:rFonts w:ascii="Arial" w:cs="Arial" w:eastAsia="Arial" w:hAnsi="Arial"/>
          <w:sz w:val="17"/>
          <w:szCs w:val="17"/>
          <w:i w:val="1"/>
          <w:iCs w:val="1"/>
          <w:u w:val="single" w:color="auto"/>
          <w:color w:val="auto"/>
        </w:rPr>
        <w:t>Free Transferability of Dividends or Distributions</w:t>
      </w:r>
      <w:r>
        <w:rPr>
          <w:rFonts w:ascii="Arial" w:cs="Arial" w:eastAsia="Arial" w:hAnsi="Arial"/>
          <w:sz w:val="17"/>
          <w:szCs w:val="17"/>
          <w:u w:val="single" w:color="auto"/>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Except as disclosed in the Pricing Disclosure Package, Registration Statement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all dividends and other distributions declared and payable on the common shares of the Company may under the current laws and regulations of the Cayman Islands, the British Virgin Islands, Singapore, Taiwan, Hong Kong, Australia and PRC, be paid to the holders of Securities, as the case may be, in United States dollars and may be converted into foreign currency that may be transferred out of the Cayman Islands, British Virgin Islands, Singapore, Taiwan, Hong Kong, Australia and the PRC, and all such payments made to holders thereof or therein who are nonresidents of the Cayman Islands, British Virgin Islands, Singapore, Taiwan, Hong Kong, Australia or the PRC, will not be subject to income, withholding or other taxes under laws and regulations of the Cayman Islands, British Virgin Islands, Singapore, Taiwan, Hong Kong, Australia and the PRC, or any political subdivision or taxing authority thereof or therein and will otherwise be free and clear of any other tax, duty, withholding or deduction in the Cayman Islands, British Virgin Islands, Singapore, Taiwan, Hong Kong, Australia and the PRC or any political subdivision or taxing authority thereof or therein and without the necessity of obtaining any governmental authorization in the Cayman Islands, the British Virgin Islands, Singapore, Taiwan, Hong Kong, Australia and the PRC or any political subdivision or taxing authority thereof or therein.</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2.50. </w:t>
      </w:r>
      <w:r>
        <w:rPr>
          <w:rFonts w:ascii="Arial" w:cs="Arial" w:eastAsia="Arial" w:hAnsi="Arial"/>
          <w:sz w:val="18"/>
          <w:szCs w:val="18"/>
          <w:i w:val="1"/>
          <w:iCs w:val="1"/>
          <w:u w:val="single" w:color="auto"/>
          <w:color w:val="auto"/>
        </w:rPr>
        <w:t>Not a PFIC</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disclosed in the Pricing Disclosure Package, Registration Statement and Prospectus, the Company does not expect that it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treated as a Passive Foreign Investment Company (“</w:t>
      </w:r>
      <w:r>
        <w:rPr>
          <w:rFonts w:ascii="Arial" w:cs="Arial" w:eastAsia="Arial" w:hAnsi="Arial"/>
          <w:sz w:val="18"/>
          <w:szCs w:val="18"/>
          <w:b w:val="1"/>
          <w:bCs w:val="1"/>
          <w:color w:val="auto"/>
        </w:rPr>
        <w:t>PFIC</w:t>
      </w:r>
      <w:r>
        <w:rPr>
          <w:rFonts w:ascii="Arial" w:cs="Arial" w:eastAsia="Arial" w:hAnsi="Arial"/>
          <w:sz w:val="18"/>
          <w:szCs w:val="18"/>
          <w:color w:val="auto"/>
        </w:rPr>
        <w:t>”) within the meaning of Section 1297 of the United States Internal Revenue Code of 1986, as amended, for its current taxable year. The Company has no plan or intention to operate in such a manner that would reasonably be expected to result in the Company becoming a PFIC in future taxable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2.51. </w:t>
      </w:r>
      <w:r>
        <w:rPr>
          <w:rFonts w:ascii="Arial" w:cs="Arial" w:eastAsia="Arial" w:hAnsi="Arial"/>
          <w:sz w:val="18"/>
          <w:szCs w:val="18"/>
          <w:i w:val="1"/>
          <w:iCs w:val="1"/>
          <w:u w:val="single" w:color="auto"/>
          <w:color w:val="auto"/>
        </w:rPr>
        <w:t>Foreign Private Issuer Status</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a “foreign private issuer” within the meaning of Rule 405 under the Act.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2.52. </w:t>
      </w:r>
      <w:r>
        <w:rPr>
          <w:rFonts w:ascii="Arial" w:cs="Arial" w:eastAsia="Arial" w:hAnsi="Arial"/>
          <w:sz w:val="18"/>
          <w:szCs w:val="18"/>
          <w:i w:val="1"/>
          <w:iCs w:val="1"/>
          <w:u w:val="single" w:color="auto"/>
          <w:color w:val="auto"/>
        </w:rPr>
        <w:t>Choice of Law</w:t>
      </w:r>
      <w:r>
        <w:rPr>
          <w:rFonts w:ascii="Arial" w:cs="Arial" w:eastAsia="Arial" w:hAnsi="Arial"/>
          <w:sz w:val="18"/>
          <w:szCs w:val="18"/>
          <w:u w:val="single" w:color="auto"/>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disclosed in the Pricing Disclosure Package, Registration Statement and the Prospectus, the choice of law provision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each constitutes a legal and valid choice of law under the laws of the Cayman Islands, the British Virgin Islands, Singapore, Taiwan, Hong Kong and the PRC and will be honored by courts in the Cayman Islands, the British Virgin Islands, Singapore, Taiwan, Hong Kong and the PRC, subject to compliance with relevant civil procedural requirements (that do not involve a re-examination of the merits of the claim) in the Cayman Islands, the British Virgin Islands, Singapore, Taiwan, Hong Kong, Australia and the PRC. The Company has the power to submit, and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has legally, validly, effectively and submitted, to the personal jurisdiction of each of the New York Courts, and the Company has the power to designate, appoint and authorize, and pursuant to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 has legally, validly, effectively and irrevocably designated, appointed an authorized agent for service of process in any action arising out of or relating to this Agreement or the Securities in any New York Court, and service of process effected on such authorized agent will be effective to confer valid personal jurisdiction over the Company as provided in </w:t>
      </w:r>
      <w:r>
        <w:rPr>
          <w:rFonts w:ascii="Arial" w:cs="Arial" w:eastAsia="Arial" w:hAnsi="Arial"/>
          <w:sz w:val="18"/>
          <w:szCs w:val="18"/>
          <w:u w:val="single" w:color="auto"/>
          <w:color w:val="auto"/>
        </w:rPr>
        <w:t>Section 9.6</w:t>
      </w:r>
      <w:r>
        <w:rPr>
          <w:rFonts w:ascii="Arial" w:cs="Arial" w:eastAsia="Arial" w:hAnsi="Arial"/>
          <w:sz w:val="18"/>
          <w:szCs w:val="18"/>
          <w:color w:val="auto"/>
        </w:rPr>
        <w:t xml:space="preserve"> of this Agreement.</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2.53. </w:t>
      </w:r>
      <w:r>
        <w:rPr>
          <w:rFonts w:ascii="Arial" w:cs="Arial" w:eastAsia="Arial" w:hAnsi="Arial"/>
          <w:sz w:val="18"/>
          <w:szCs w:val="18"/>
          <w:i w:val="1"/>
          <w:iCs w:val="1"/>
          <w:u w:val="single" w:color="auto"/>
          <w:color w:val="auto"/>
        </w:rPr>
        <w:t>Recognition of Judgments</w:t>
      </w:r>
      <w:r>
        <w:rPr>
          <w:rFonts w:ascii="Arial" w:cs="Arial" w:eastAsia="Arial" w:hAnsi="Arial"/>
          <w:sz w:val="18"/>
          <w:szCs w:val="18"/>
          <w:i w:val="1"/>
          <w:iCs w:val="1"/>
          <w:color w:val="auto"/>
        </w:rPr>
        <w:t xml:space="preserve">. </w:t>
      </w:r>
      <w:r>
        <w:rPr>
          <w:rFonts w:ascii="Arial" w:cs="Arial" w:eastAsia="Arial" w:hAnsi="Arial"/>
          <w:sz w:val="18"/>
          <w:szCs w:val="18"/>
          <w:color w:val="auto"/>
        </w:rPr>
        <w:t>Any final judgment for a fixed sum of money rendered by a New York Court having jurisdiction under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law in respect of any suit, action or proceeding against the Company based upon this Agreement would be recognized and enforced against the Company by Cayman Islands courts without re-examining the merits of the case under the common law doctrine of obligation;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judgment is (A) given by a foreign court of competent jurisdiction; (B) imposes on the judgment debtor a liability to pay a liquidated sum for which the judgment has been given; (C) is final; (D) is not in respect of taxes, a fine or a penalty; and (E) was not obtained in a manner and is not of a kind the enforcement of which is contrary to natural justice or the public policy of the Cayman Islands.</w:t>
      </w:r>
    </w:p>
    <w:p>
      <w:pPr>
        <w:spacing w:after="0" w:line="19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and agrees as follows: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3.1. </w:t>
      </w:r>
      <w:r>
        <w:rPr>
          <w:rFonts w:ascii="Arial" w:cs="Arial" w:eastAsia="Arial" w:hAnsi="Arial"/>
          <w:sz w:val="18"/>
          <w:szCs w:val="18"/>
          <w:i w:val="1"/>
          <w:iCs w:val="1"/>
          <w:u w:val="single" w:color="auto"/>
          <w:color w:val="auto"/>
        </w:rPr>
        <w:t>Amendments to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shall deliver to the Representative, prior to filing, any amendment or supplement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or Prospectus proposed to be filed after the Effective Date and not file any such amendment or supplement to which the Representative shall reasonably object in writing.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3.2. </w:t>
      </w:r>
      <w:r>
        <w:rPr>
          <w:rFonts w:ascii="Arial" w:cs="Arial" w:eastAsia="Arial" w:hAnsi="Arial"/>
          <w:sz w:val="18"/>
          <w:szCs w:val="18"/>
          <w:i w:val="1"/>
          <w:iCs w:val="1"/>
          <w:u w:val="single" w:color="auto"/>
          <w:color w:val="auto"/>
        </w:rPr>
        <w:t>Federal Securities Laws</w:t>
      </w:r>
      <w:r>
        <w:rPr>
          <w:rFonts w:ascii="Arial" w:cs="Arial" w:eastAsia="Arial" w:hAnsi="Arial"/>
          <w:sz w:val="18"/>
          <w:szCs w:val="18"/>
          <w:i w:val="1"/>
          <w:iCs w:val="1"/>
          <w:color w:val="auto"/>
        </w:rPr>
        <w:t>.</w:t>
      </w:r>
    </w:p>
    <w:p>
      <w:pPr>
        <w:spacing w:after="0" w:line="225"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The Company, subject to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shall comply with the requirements of Rule 430A of the Securities Act Regulations, and will notify the Representative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Shares and Underwriters’ Warrants for offering or sale in any jurisdiction, or of the initiation or threatening of any proceedings for any of such purposes or of any examination pursuant to Section 8(d) or 8(e) of the Securities Act concerning the Registration Statement and (v) if the Company becomes the subject of a proceeding under Section 8A of the Securities Act in connection with the Offering of the Shares and Underwriters’ Warrants. The Company shall effect all filings required under Rule 424(b) of the Securities Act Regulations, in the manner and within the time period required by Rule 424(b) (without reliance on Rule 424(b)(8)), and shall take such steps as it deems necessary to ascertain promptly whether the form of prospectus transmitted for filing under Rule 424(b) was received for filing by the Commission and, in the event that it was not, it will promptly file such prospectus. The Company shall use its best efforts to prevent the issuance of any stop order, prevention or suspension and, if any such order is issued, to obtain the lifting thereof at the earliest possible moment.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jc w:val="both"/>
        <w:ind w:firstLine="1297"/>
        <w:spacing w:after="0" w:line="284"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u w:val="single" w:color="auto"/>
          <w:color w:val="auto"/>
        </w:rPr>
        <w:t>Continued Compliance</w:t>
      </w:r>
      <w:r>
        <w:rPr>
          <w:rFonts w:ascii="Arial" w:cs="Arial" w:eastAsia="Arial" w:hAnsi="Arial"/>
          <w:sz w:val="16"/>
          <w:szCs w:val="16"/>
          <w:color w:val="auto"/>
        </w:rPr>
        <w:t>. The Company shall comply with the Securities Act, the Securities Act Regulations, the Exchange Act and the Exchange Act Regulations so as to permit the completion of the distribution of the Shares as contemplated in this Agreement and in the Registration Statement, the Pricing Disclosure Package and the Prospectus. If at any time when a prospectus relating to the Shares is (or, but for the exception afforded by Rule 172 of the Securities Act Regulations (“</w:t>
      </w:r>
      <w:r>
        <w:rPr>
          <w:rFonts w:ascii="Arial" w:cs="Arial" w:eastAsia="Arial" w:hAnsi="Arial"/>
          <w:sz w:val="16"/>
          <w:szCs w:val="16"/>
          <w:b w:val="1"/>
          <w:bCs w:val="1"/>
          <w:color w:val="auto"/>
        </w:rPr>
        <w:t>Rule 172</w:t>
      </w:r>
      <w:r>
        <w:rPr>
          <w:rFonts w:ascii="Arial" w:cs="Arial" w:eastAsia="Arial" w:hAnsi="Arial"/>
          <w:sz w:val="16"/>
          <w:szCs w:val="16"/>
          <w:color w:val="auto"/>
        </w:rPr>
        <w:t xml:space="preserve">”), would be) required by the Securities Act to be delivered in connection with sales of the Shares,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Pricing Disclosure Package or the Prospectus in order that the Pricing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Pricing Disclosure Package or the Prospectus, as the case may be, in order to comply with the requirements of the Securities Act or the Securities Act Regulations, the Company will promptly (A) give the Representative notice of such event; (B) prepare any amendment or supplement as may be necessary to correct such statement or omission or to make the Registration Statement, the Pricing Disclosure Package or the Prospectus comply with such requirements and, a reasonable amount of time prior to any proposed filing or use, furnish the Representative with copies of any such amendment or supplement and (C) file with the Commission any such amendment or supplement;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file or use any such amendment or supplement to which the Representative or Representative’s Counsel shall reasonably object. The Company will furnish to the Underwriters such number of copies of such amendment or supplement as the Underwriters may reasonably request. The Company has given the Representative notice of any filings made pursuant to the Exchange Act or the Exchange Act Regulations within 48 hours prior to the Applicable Time. The Company shall give the Representative notice of its intention to make any such filing from the Applicable Time until the later of the Closing Date and the exercise in full or expiration of the Over-allotment Option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and will furnish the Representative with copies of the related document(s) a reasonable amount of time prior to such proposed filing, as the case may be, and will not file or use any such document to which the Representative or counsel for the Underwriters shall reasonably object.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Until three years after the date of this Agreement, the Company shall use its commercially reasonable efforts to maintain the registration of the common shares of the Company under the Exchange Act.</w:t>
      </w:r>
    </w:p>
    <w:p>
      <w:pPr>
        <w:spacing w:after="0" w:line="170"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3.2.4. </w:t>
      </w:r>
      <w:r>
        <w:rPr>
          <w:rFonts w:ascii="Arial" w:cs="Arial" w:eastAsia="Arial" w:hAnsi="Arial"/>
          <w:sz w:val="17"/>
          <w:szCs w:val="17"/>
          <w:u w:val="single" w:color="auto"/>
          <w:color w:val="auto"/>
        </w:rPr>
        <w:t>Free Writing Prospectuses</w:t>
      </w:r>
      <w:r>
        <w:rPr>
          <w:rFonts w:ascii="Arial" w:cs="Arial" w:eastAsia="Arial" w:hAnsi="Arial"/>
          <w:sz w:val="17"/>
          <w:szCs w:val="17"/>
          <w:color w:val="auto"/>
        </w:rPr>
        <w:t xml:space="preserve">. The Company agrees that, unless it obtains the prior written consent of the Representative, it shall not make any offer relating to the Shares that would constitute an Issuer Free Writing Prospectus or that would otherwise constitute a “free writing prospectus,” or a portion thereof, required to be filed by the Company with the Commission or retained by the Company under Rule 433;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Representative shall be deemed to have consented to each Issuer General Use Free Writing Prospectus set forth in </w:t>
      </w:r>
      <w:r>
        <w:rPr>
          <w:rFonts w:ascii="Arial" w:cs="Arial" w:eastAsia="Arial" w:hAnsi="Arial"/>
          <w:sz w:val="17"/>
          <w:szCs w:val="17"/>
          <w:u w:val="single" w:color="auto"/>
          <w:color w:val="auto"/>
        </w:rPr>
        <w:t>Schedule 2-B</w:t>
      </w:r>
      <w:r>
        <w:rPr>
          <w:rFonts w:ascii="Arial" w:cs="Arial" w:eastAsia="Arial" w:hAnsi="Arial"/>
          <w:sz w:val="17"/>
          <w:szCs w:val="17"/>
          <w:color w:val="auto"/>
        </w:rPr>
        <w:t>. The Company represents that it has treated or agrees that it will treat each such free writing prospectus consented to, or deemed consented to, by the Underwriters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Underwriters and will promptly amend or supplement, at its own expense, such Issuer Free Writing Prospectus to eliminate or correct such conflict, untrue statement or omission.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1297"/>
        <w:spacing w:after="0" w:line="276" w:lineRule="auto"/>
        <w:rPr>
          <w:sz w:val="20"/>
          <w:szCs w:val="20"/>
          <w:color w:val="auto"/>
        </w:rPr>
      </w:pPr>
      <w:r>
        <w:rPr>
          <w:rFonts w:ascii="Arial" w:cs="Arial" w:eastAsia="Arial" w:hAnsi="Arial"/>
          <w:sz w:val="17"/>
          <w:szCs w:val="17"/>
          <w:color w:val="auto"/>
        </w:rPr>
        <w:t xml:space="preserve">3.2.5. </w:t>
      </w:r>
      <w:r>
        <w:rPr>
          <w:rFonts w:ascii="Arial" w:cs="Arial" w:eastAsia="Arial" w:hAnsi="Arial"/>
          <w:sz w:val="17"/>
          <w:szCs w:val="17"/>
          <w:u w:val="single" w:color="auto"/>
          <w:color w:val="auto"/>
        </w:rPr>
        <w:t>Testing-the-Waters Communications</w:t>
      </w:r>
      <w:r>
        <w:rPr>
          <w:rFonts w:ascii="Arial" w:cs="Arial" w:eastAsia="Arial" w:hAnsi="Arial"/>
          <w:sz w:val="17"/>
          <w:szCs w:val="17"/>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shall promptly notify the Representative and shall promptly amend or supplement, at its own expense, such Written Testing-the-Waters Communication to eliminate or correct such untrue statement or omission.</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3.3. </w:t>
      </w:r>
      <w:r>
        <w:rPr>
          <w:rFonts w:ascii="Arial" w:cs="Arial" w:eastAsia="Arial" w:hAnsi="Arial"/>
          <w:sz w:val="17"/>
          <w:szCs w:val="17"/>
          <w:i w:val="1"/>
          <w:iCs w:val="1"/>
          <w:u w:val="single" w:color="auto"/>
          <w:color w:val="auto"/>
        </w:rPr>
        <w:t>Delivery to the Underwriters of Registration Statements</w:t>
      </w:r>
      <w:r>
        <w:rPr>
          <w:rFonts w:ascii="Arial" w:cs="Arial" w:eastAsia="Arial" w:hAnsi="Arial"/>
          <w:sz w:val="17"/>
          <w:szCs w:val="17"/>
          <w:color w:val="auto"/>
        </w:rPr>
        <w:t>. The Company has delivered or made available or shall deliver or make available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Representative and Representative’s Counsel, without charge, signed copies of the Registration Statement as originally filed and each amendment thereto (including exhibits filed therewith) and signed copies of all consents and certificates of experts, and upon request will also deliver to the Underwriters,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3.4. </w:t>
      </w:r>
      <w:r>
        <w:rPr>
          <w:rFonts w:ascii="Arial" w:cs="Arial" w:eastAsia="Arial" w:hAnsi="Arial"/>
          <w:sz w:val="17"/>
          <w:szCs w:val="17"/>
          <w:i w:val="1"/>
          <w:iCs w:val="1"/>
          <w:u w:val="single" w:color="auto"/>
          <w:color w:val="auto"/>
        </w:rPr>
        <w:t>Delivery to the Underwriters of Prospectuses</w:t>
      </w:r>
      <w:r>
        <w:rPr>
          <w:rFonts w:ascii="Arial" w:cs="Arial" w:eastAsia="Arial" w:hAnsi="Arial"/>
          <w:sz w:val="17"/>
          <w:szCs w:val="17"/>
          <w:color w:val="auto"/>
        </w:rPr>
        <w:t>. The Company has delivered or made available or will deliver or make available to each</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Underwriter, without charge, as many copies of each Preliminary Prospectus as such Underwriter reasonably requested, and the Company hereby consents to the use of such copies for purposes permitted by the Securities Act. The Company will furnish to each Underwriter, without charge, during the period when a prospectus relating to the Shares is (or, but for the exception afforded by Rule 172, would be) required to be delivered under the Securities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3.5. </w:t>
      </w:r>
      <w:r>
        <w:rPr>
          <w:rFonts w:ascii="Arial" w:cs="Arial" w:eastAsia="Arial" w:hAnsi="Arial"/>
          <w:sz w:val="17"/>
          <w:szCs w:val="17"/>
          <w:i w:val="1"/>
          <w:iCs w:val="1"/>
          <w:u w:val="single" w:color="auto"/>
          <w:color w:val="auto"/>
        </w:rPr>
        <w:t>Effectiveness and Events Requiring Notice to the Representative</w:t>
      </w:r>
      <w:r>
        <w:rPr>
          <w:rFonts w:ascii="Arial" w:cs="Arial" w:eastAsia="Arial" w:hAnsi="Arial"/>
          <w:sz w:val="17"/>
          <w:szCs w:val="17"/>
          <w:color w:val="auto"/>
        </w:rPr>
        <w:t>. The Company shall use its commercially reasonable efforts to cause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Registration Statement covering the issuance of the common shares underlying the Warrants to remain effective with a current prospectus for at least nine (9) months after the Applicable Time, and shall notify the Representative immediately and confirm the notice in writing: (i) of the cessation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Shares for offering or sale in any jurisdiction or of the initiation, or the threatening, of any proceeding for that purpose; (iv) of the mailing and delivery to the Commission for filing of any amendment or supplement to the Registration Statement or Prospectus; (v) of the receipt of any comments or request for any additional information from the Commission; and (vi) of the happening of any event during the period described in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that, in the judgment of the Company, makes any statement of a material fact made in the Registration Statement, the Pricing Disclosure Package or the Prospectus untrue or that requires the making of any changes in (a) the Registration Statement in order to make the statements therein not misleading, or (b) in the Pricing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shall make every reasonable effort to obtain promptly the lifting of such order.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3.6. </w:t>
      </w:r>
      <w:r>
        <w:rPr>
          <w:rFonts w:ascii="Arial" w:cs="Arial" w:eastAsia="Arial" w:hAnsi="Arial"/>
          <w:sz w:val="18"/>
          <w:szCs w:val="18"/>
          <w:i w:val="1"/>
          <w:iCs w:val="1"/>
          <w:u w:val="single" w:color="auto"/>
          <w:color w:val="auto"/>
        </w:rPr>
        <w:t>Review of Financial Statements</w:t>
      </w:r>
      <w:r>
        <w:rPr>
          <w:rFonts w:ascii="Arial" w:cs="Arial" w:eastAsia="Arial" w:hAnsi="Arial"/>
          <w:sz w:val="18"/>
          <w:szCs w:val="18"/>
          <w:color w:val="auto"/>
        </w:rPr>
        <w:t>. For a period of three (3) years after the date of this Agreement, the Company, at its expense, shall cause its</w:t>
      </w:r>
      <w:r>
        <w:rPr>
          <w:rFonts w:ascii="Arial" w:cs="Arial" w:eastAsia="Arial" w:hAnsi="Arial"/>
          <w:sz w:val="18"/>
          <w:szCs w:val="18"/>
          <w:i w:val="1"/>
          <w:iCs w:val="1"/>
          <w:color w:val="auto"/>
        </w:rPr>
        <w:t xml:space="preserve"> </w:t>
      </w:r>
      <w:r>
        <w:rPr>
          <w:rFonts w:ascii="Arial" w:cs="Arial" w:eastAsia="Arial" w:hAnsi="Arial"/>
          <w:sz w:val="18"/>
          <w:szCs w:val="18"/>
          <w:color w:val="auto"/>
        </w:rPr>
        <w:t>regularly engaged independent registered public accounting firm to review (but not audit) the Company’s financial statements for each of the three fiscal quarters immediately preceding the announcement of any quarterly financial information.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3.7. </w:t>
      </w:r>
      <w:r>
        <w:rPr>
          <w:rFonts w:ascii="Arial" w:cs="Arial" w:eastAsia="Arial" w:hAnsi="Arial"/>
          <w:sz w:val="18"/>
          <w:szCs w:val="18"/>
          <w:i w:val="1"/>
          <w:iCs w:val="1"/>
          <w:u w:val="single" w:color="auto"/>
          <w:color w:val="auto"/>
        </w:rPr>
        <w:t>Listing</w:t>
      </w:r>
      <w:r>
        <w:rPr>
          <w:rFonts w:ascii="Arial" w:cs="Arial" w:eastAsia="Arial" w:hAnsi="Arial"/>
          <w:sz w:val="18"/>
          <w:szCs w:val="18"/>
          <w:color w:val="auto"/>
        </w:rPr>
        <w:t>. The Company shall use its commercially reasonable efforts to maintain the listing of the Shares and the common shares underlying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on the Exchange for at least three years from the date of this Agreement.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3.8. </w:t>
      </w:r>
      <w:r>
        <w:rPr>
          <w:rFonts w:ascii="Arial" w:cs="Arial" w:eastAsia="Arial" w:hAnsi="Arial"/>
          <w:sz w:val="18"/>
          <w:szCs w:val="18"/>
          <w:i w:val="1"/>
          <w:iCs w:val="1"/>
          <w:u w:val="single" w:color="auto"/>
          <w:color w:val="auto"/>
        </w:rPr>
        <w:t>Financial Public Relations Firm</w:t>
      </w:r>
      <w:r>
        <w:rPr>
          <w:rFonts w:ascii="Arial" w:cs="Arial" w:eastAsia="Arial" w:hAnsi="Arial"/>
          <w:sz w:val="18"/>
          <w:szCs w:val="18"/>
          <w:color w:val="auto"/>
        </w:rPr>
        <w:t>. As of the Effective Date, the Company shall have retained a financial public relations firm reasonably</w:t>
      </w:r>
      <w:r>
        <w:rPr>
          <w:rFonts w:ascii="Arial" w:cs="Arial" w:eastAsia="Arial" w:hAnsi="Arial"/>
          <w:sz w:val="18"/>
          <w:szCs w:val="18"/>
          <w:i w:val="1"/>
          <w:iCs w:val="1"/>
          <w:color w:val="auto"/>
        </w:rPr>
        <w:t xml:space="preserve"> </w:t>
      </w:r>
      <w:r>
        <w:rPr>
          <w:rFonts w:ascii="Arial" w:cs="Arial" w:eastAsia="Arial" w:hAnsi="Arial"/>
          <w:sz w:val="18"/>
          <w:szCs w:val="18"/>
          <w:color w:val="auto"/>
        </w:rPr>
        <w:t>acceptable to the Representative and the Company, which shall initially be Ascent Investor Relations LLC, which firm shall be experienced in assisting issuers in initial public offerings of securities and in their relations with their security holders, and shall retain such firm or another firm reasonably acceptable to the Representative for a period of not less than two (2) years after the Effective Date.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3.9. </w:t>
      </w:r>
      <w:r>
        <w:rPr>
          <w:rFonts w:ascii="Arial" w:cs="Arial" w:eastAsia="Arial" w:hAnsi="Arial"/>
          <w:sz w:val="18"/>
          <w:szCs w:val="18"/>
          <w:i w:val="1"/>
          <w:iCs w:val="1"/>
          <w:u w:val="single" w:color="auto"/>
          <w:color w:val="auto"/>
        </w:rPr>
        <w:t>Reports to the Representative</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auto"/>
        </w:rPr>
        <w:t xml:space="preserve">3.9.1. </w:t>
      </w:r>
      <w:r>
        <w:rPr>
          <w:rFonts w:ascii="Arial" w:cs="Arial" w:eastAsia="Arial" w:hAnsi="Arial"/>
          <w:sz w:val="16"/>
          <w:szCs w:val="16"/>
          <w:u w:val="single" w:color="auto"/>
          <w:color w:val="auto"/>
        </w:rPr>
        <w:t>Periodic Reports, etc</w:t>
      </w:r>
      <w:r>
        <w:rPr>
          <w:rFonts w:ascii="Arial" w:cs="Arial" w:eastAsia="Arial" w:hAnsi="Arial"/>
          <w:sz w:val="16"/>
          <w:szCs w:val="16"/>
          <w:color w:val="auto"/>
        </w:rPr>
        <w:t xml:space="preserve">. For a period of three (3) years after the date of this Agreement, the Company shall furnish or make available to the Representative copies of such financial statements and other periodic and special reports as the Company from time to time furnishes generally to holders of any class of its securities and also furnish or make available to the Representative: (i) a copy of each periodic report the Company shall be required to file with the Commission under the Exchange Act and the Exchange Act Regulations; (ii) a copy of every press release and every news item and article with respect to the Company or its affairs which was released by the Company; (iii) a copy of each Form 6-K prepared and filed by the Company; (iv) a copy of each registration statement filed by the Company under the Securities Act; and (v) such additional documents and information with respect to the Company and the affairs of any future subsidiaries of the Company as the Representative may from time to time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the Representative shall sign, if requested by the Company, a Regulation FD compliant confidentiality agreement which is reasonably acceptable to the Representative and Representative’s Counsel in connection with the Representative’s receipt of such information. Documents filed with the Commission pursuant to its EDGAR system shall be deemed to have been delivered to the Representative pursuant to this </w:t>
      </w:r>
      <w:r>
        <w:rPr>
          <w:rFonts w:ascii="Arial" w:cs="Arial" w:eastAsia="Arial" w:hAnsi="Arial"/>
          <w:sz w:val="16"/>
          <w:szCs w:val="16"/>
          <w:u w:val="single" w:color="auto"/>
          <w:color w:val="auto"/>
        </w:rPr>
        <w:t>Section 3.9.1</w:t>
      </w:r>
      <w:r>
        <w:rPr>
          <w:rFonts w:ascii="Arial" w:cs="Arial" w:eastAsia="Arial" w:hAnsi="Arial"/>
          <w:sz w:val="16"/>
          <w:szCs w:val="16"/>
          <w:color w:val="auto"/>
        </w:rPr>
        <w:t>.</w:t>
      </w:r>
    </w:p>
    <w:p>
      <w:pPr>
        <w:spacing w:after="0" w:line="16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3.9.2. </w:t>
      </w:r>
      <w:r>
        <w:rPr>
          <w:rFonts w:ascii="Arial" w:cs="Arial" w:eastAsia="Arial" w:hAnsi="Arial"/>
          <w:sz w:val="18"/>
          <w:szCs w:val="18"/>
          <w:u w:val="single" w:color="auto"/>
          <w:color w:val="auto"/>
        </w:rPr>
        <w:t>Transfer Agent; Transfer Sheets</w:t>
      </w:r>
      <w:r>
        <w:rPr>
          <w:rFonts w:ascii="Arial" w:cs="Arial" w:eastAsia="Arial" w:hAnsi="Arial"/>
          <w:sz w:val="18"/>
          <w:szCs w:val="18"/>
          <w:color w:val="auto"/>
        </w:rPr>
        <w:t>. For a period of three (3) years after the date of this Agreement, the Company shall retain a transfer agent and registrar acceptable to the Representative (the “</w:t>
      </w:r>
      <w:r>
        <w:rPr>
          <w:rFonts w:ascii="Arial" w:cs="Arial" w:eastAsia="Arial" w:hAnsi="Arial"/>
          <w:sz w:val="18"/>
          <w:szCs w:val="18"/>
          <w:b w:val="1"/>
          <w:bCs w:val="1"/>
          <w:color w:val="auto"/>
        </w:rPr>
        <w:t>Transfer Agent</w:t>
      </w:r>
      <w:r>
        <w:rPr>
          <w:rFonts w:ascii="Arial" w:cs="Arial" w:eastAsia="Arial" w:hAnsi="Arial"/>
          <w:sz w:val="18"/>
          <w:szCs w:val="18"/>
          <w:color w:val="auto"/>
        </w:rPr>
        <w:t>”) and shall furnish to the Representative at the Company’s sole cost and expense such transfer sheets of the Company’s securities as the Representative may reasonably request, including the daily and monthly consolidated transfer sheets of the Transfer Agent and DTC. Continental Stock Transfer &amp; Trust Company is acceptable to the Representative to act as Transfer Agent for the common shares of the Company.</w:t>
      </w:r>
    </w:p>
    <w:p>
      <w:pPr>
        <w:spacing w:after="0" w:line="18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3.9.3. </w:t>
      </w:r>
      <w:r>
        <w:rPr>
          <w:rFonts w:ascii="Arial" w:cs="Arial" w:eastAsia="Arial" w:hAnsi="Arial"/>
          <w:sz w:val="18"/>
          <w:szCs w:val="18"/>
          <w:u w:val="single" w:color="auto"/>
          <w:color w:val="auto"/>
        </w:rPr>
        <w:t>Trading Reports</w:t>
      </w:r>
      <w:r>
        <w:rPr>
          <w:rFonts w:ascii="Arial" w:cs="Arial" w:eastAsia="Arial" w:hAnsi="Arial"/>
          <w:sz w:val="18"/>
          <w:szCs w:val="18"/>
          <w:color w:val="auto"/>
        </w:rPr>
        <w:t>. For a period of six months after the date hereof, during such time as the Shares are listed on the Exchange, the Company shall provide to the Representative, at the Company’s expense, such reports published by the Exchange relating to price trading of the Shares, as the Representative shall reasonably request.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i w:val="1"/>
          <w:iCs w:val="1"/>
          <w:color w:val="auto"/>
        </w:rPr>
        <w:t xml:space="preserve">3.10. </w:t>
      </w:r>
      <w:r>
        <w:rPr>
          <w:rFonts w:ascii="Arial" w:cs="Arial" w:eastAsia="Arial" w:hAnsi="Arial"/>
          <w:sz w:val="18"/>
          <w:szCs w:val="18"/>
          <w:i w:val="1"/>
          <w:iCs w:val="1"/>
          <w:u w:val="single" w:color="auto"/>
          <w:color w:val="auto"/>
        </w:rPr>
        <w:t>Consideration; Payment of Expenses</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 xml:space="preserve">3.10.1. </w:t>
      </w:r>
      <w:r>
        <w:rPr>
          <w:rFonts w:ascii="Arial" w:cs="Arial" w:eastAsia="Arial" w:hAnsi="Arial"/>
          <w:sz w:val="16"/>
          <w:szCs w:val="16"/>
          <w:u w:val="single" w:color="auto"/>
          <w:color w:val="auto"/>
        </w:rPr>
        <w:t>Underwriting Discount</w:t>
      </w:r>
      <w:r>
        <w:rPr>
          <w:rFonts w:ascii="Arial" w:cs="Arial" w:eastAsia="Arial" w:hAnsi="Arial"/>
          <w:sz w:val="16"/>
          <w:szCs w:val="16"/>
          <w:color w:val="auto"/>
        </w:rPr>
        <w:t>. In consideration of the services to be provided for hereunder, the Company shall pay to the Underwriters or their respective designees their pro rata portion (based on the Shares purchased) of the following compensation with respect to the Shares which they are offering: (i) with respect to Shares sold to investors introduced by the Underwriters in this Offering, a six and a half percent (6.5%) underwriting discount; and (ii) with respect to Shares sold to investors introduced by the Company in this Offering, a four percent (4%) underwriting discount.</w:t>
      </w:r>
    </w:p>
    <w:p>
      <w:pPr>
        <w:spacing w:after="0" w:line="154" w:lineRule="exact"/>
        <w:rPr>
          <w:sz w:val="20"/>
          <w:szCs w:val="20"/>
          <w:color w:val="auto"/>
        </w:rPr>
      </w:pPr>
    </w:p>
    <w:p>
      <w:pPr>
        <w:jc w:val="both"/>
        <w:ind w:firstLine="1297"/>
        <w:spacing w:after="0" w:line="283" w:lineRule="auto"/>
        <w:rPr>
          <w:sz w:val="20"/>
          <w:szCs w:val="20"/>
          <w:color w:val="auto"/>
        </w:rPr>
      </w:pPr>
      <w:r>
        <w:rPr>
          <w:rFonts w:ascii="Arial" w:cs="Arial" w:eastAsia="Arial" w:hAnsi="Arial"/>
          <w:sz w:val="16"/>
          <w:szCs w:val="16"/>
          <w:color w:val="auto"/>
        </w:rPr>
        <w:t xml:space="preserve">3.10.2. </w:t>
      </w:r>
      <w:r>
        <w:rPr>
          <w:rFonts w:ascii="Arial" w:cs="Arial" w:eastAsia="Arial" w:hAnsi="Arial"/>
          <w:sz w:val="16"/>
          <w:szCs w:val="16"/>
          <w:u w:val="single" w:color="auto"/>
          <w:color w:val="auto"/>
        </w:rPr>
        <w:t>Underwriters’ Warrants</w:t>
      </w:r>
      <w:r>
        <w:rPr>
          <w:rFonts w:ascii="Arial" w:cs="Arial" w:eastAsia="Arial" w:hAnsi="Arial"/>
          <w:sz w:val="16"/>
          <w:szCs w:val="16"/>
          <w:color w:val="auto"/>
        </w:rPr>
        <w:t>. The Company hereby agrees to issue to the Underwriters (and/or their designees) on the Closing Date or the Option Closing Date, as applicable, warrants to purchase such number of common shares of the Company equal to: (i) with respect to Shares sold to investors introduced by the Underwriters in this Offering, five percent (5%) of the gross payment amount to be disbursed to the Company on the Closing Date or the Option Closing Date, as applicable, for the Shares, and (ii) with respect to Shares sold to investors introduced by the Company in this Offering, three percent (3%) of the gross payment amount to be disbursed to the Company on the Closing Date or the Option Closing Date, as applicable, for the Shares. divided by the purchase price of the Shares (collectively, the “</w:t>
      </w:r>
      <w:r>
        <w:rPr>
          <w:rFonts w:ascii="Arial" w:cs="Arial" w:eastAsia="Arial" w:hAnsi="Arial"/>
          <w:sz w:val="16"/>
          <w:szCs w:val="16"/>
          <w:b w:val="1"/>
          <w:bCs w:val="1"/>
          <w:color w:val="auto"/>
        </w:rPr>
        <w:t>Underwriters’ Warrants</w:t>
      </w:r>
      <w:r>
        <w:rPr>
          <w:rFonts w:ascii="Arial" w:cs="Arial" w:eastAsia="Arial" w:hAnsi="Arial"/>
          <w:sz w:val="16"/>
          <w:szCs w:val="16"/>
          <w:color w:val="auto"/>
        </w:rPr>
        <w:t xml:space="preserve">”). The Underwriters’ Warrants,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be exercisable, in whole or in part, commencing on the effective date of the Registration Statement (the “</w:t>
      </w:r>
      <w:r>
        <w:rPr>
          <w:rFonts w:ascii="Arial" w:cs="Arial" w:eastAsia="Arial" w:hAnsi="Arial"/>
          <w:sz w:val="16"/>
          <w:szCs w:val="16"/>
          <w:b w:val="1"/>
          <w:bCs w:val="1"/>
          <w:color w:val="auto"/>
        </w:rPr>
        <w:t>Effective Date</w:t>
      </w:r>
      <w:r>
        <w:rPr>
          <w:rFonts w:ascii="Arial" w:cs="Arial" w:eastAsia="Arial" w:hAnsi="Arial"/>
          <w:sz w:val="16"/>
          <w:szCs w:val="16"/>
          <w:color w:val="auto"/>
        </w:rPr>
        <w:t>”) and expiring on the five-year anniversary thereof at an initial exercise price per common share of $6.30, which is equal to 120% of the purchase price of the Shares. The Underwriters’ Warrants shall include a “cashless” exercise feature and shall include a provision for “piggy-back” registration rights until expiration or until the shares underlying the warrant are eligible for resale pursuant to an exemption from registration. The Representative understands and agrees that there are significant restrictions pursuant to FINRA Rule 5110 against transferring the Underwriters’ Warrants and the underlying common shares during the one hundred eighty</w:t>
      </w:r>
    </w:p>
    <w:p>
      <w:pPr>
        <w:spacing w:after="0" w:line="5" w:lineRule="exact"/>
        <w:rPr>
          <w:sz w:val="20"/>
          <w:szCs w:val="20"/>
          <w:color w:val="auto"/>
        </w:rPr>
      </w:pPr>
    </w:p>
    <w:p>
      <w:pPr>
        <w:jc w:val="both"/>
        <w:ind w:firstLine="8"/>
        <w:spacing w:after="0" w:line="252" w:lineRule="auto"/>
        <w:tabs>
          <w:tab w:leader="none" w:pos="453" w:val="left"/>
        </w:tabs>
        <w:numPr>
          <w:ilvl w:val="0"/>
          <w:numId w:val="9"/>
        </w:numPr>
        <w:rPr>
          <w:rFonts w:ascii="Arial" w:cs="Arial" w:eastAsia="Arial" w:hAnsi="Arial"/>
          <w:sz w:val="18"/>
          <w:szCs w:val="18"/>
          <w:color w:val="auto"/>
        </w:rPr>
      </w:pPr>
      <w:r>
        <w:rPr>
          <w:rFonts w:ascii="Arial" w:cs="Arial" w:eastAsia="Arial" w:hAnsi="Arial"/>
          <w:sz w:val="18"/>
          <w:szCs w:val="18"/>
          <w:color w:val="auto"/>
        </w:rPr>
        <w:t>days after the Effective Date and by its acceptance thereof shall agree that it will not sell, transfer, assign, pledge or hypothecate the Underwriters’ Warrants, or any portion thereof, or be the subject of any hedging, short sale, derivative, put or call transaction that would result in the effective economic disposition of such securities for a period of one hundred eighty (180) days following the Effective Date to anyone other than (i) an Underwriter, or (ii) a bona fide officer or partner of the Underwriters; and only if any such transferee agrees to the foregoing lock-up restrictions. Delivery of the Underwriters’ Warrants shall be made on the Closing Date or the Option Closing Date, as applicable, and shall be issued in the name or names and in such authorized denominations as the Representative may request.</w:t>
      </w:r>
    </w:p>
    <w:p>
      <w:pPr>
        <w:spacing w:after="0" w:line="194"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3.10.3. </w:t>
      </w:r>
      <w:r>
        <w:rPr>
          <w:rFonts w:ascii="Arial" w:cs="Arial" w:eastAsia="Arial" w:hAnsi="Arial"/>
          <w:sz w:val="16"/>
          <w:szCs w:val="16"/>
          <w:u w:val="single" w:color="auto"/>
          <w:color w:val="auto"/>
        </w:rPr>
        <w:t>General Expenses Related to the Offering</w:t>
      </w:r>
      <w:r>
        <w:rPr>
          <w:rFonts w:ascii="Arial" w:cs="Arial" w:eastAsia="Arial" w:hAnsi="Arial"/>
          <w:sz w:val="16"/>
          <w:szCs w:val="16"/>
          <w:color w:val="auto"/>
        </w:rPr>
        <w:t>. The Company hereby agrees to pay on each of the Closing Date and the Option Closing Date, if any, to the extent not paid at the Closing Date, all expenses incident to the performance of the obligations of the Company under this Agreement, including, but not limited to: (a) all filing fees and communication expenses relating to the registration of the Shares to be sold in the Offering (including the Over-allotment Option) with the Commission; (b) all Public Filing System filing fees associated with the review of the Offering by FINRA; (c) all fees and expenses relating to the listing of such Shares on the Exchange and such other Share exchanges as the Company and the Representative together determine;</w:t>
      </w:r>
    </w:p>
    <w:p>
      <w:pPr>
        <w:spacing w:after="0" w:line="2" w:lineRule="exact"/>
        <w:rPr>
          <w:sz w:val="20"/>
          <w:szCs w:val="20"/>
          <w:color w:val="auto"/>
        </w:rPr>
      </w:pPr>
    </w:p>
    <w:p>
      <w:pPr>
        <w:jc w:val="both"/>
        <w:ind w:firstLine="8"/>
        <w:spacing w:after="0" w:line="284" w:lineRule="auto"/>
        <w:tabs>
          <w:tab w:leader="none" w:pos="2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all fees, expenses and disbursements relating to background checks of the Company’s officers and directors; (e) all fees, expenses and disbursements relating to the registration, qualification or exemption of the Shares under the securities laws of such foreign jurisdictions as the Representative may reasonably designate;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and final Prospectuses as the Representative may reasonably deem necessary; (g) the costs and expenses of a public relations firm; (h) the costs of preparing, printing and delivering certificates representing the Shares; (i) fees and expenses of the transfer agent for the common shares of the Company; (j) Share transfer and/or stamp taxes, if any, payable upon the transfer of securities from the Company to the Underwriters; (k) the fees and expenses of the Company’s accountants; (l) the fees and expenses of the Company’s legal counsel and other agents and representatives; (m) fees and expenses of the Representative’s Counsel not to exceed $75,000 ($10,000 of which was already paid); (n) third-party due diligence expenses up to $50,000; (o) the cost associated with the Underwriters’ use of Ipreo’s book-building, prospectus tracking and compliance software for the Offering not to exceed $15,000 in the aggregate; (p) up to $25,000 of the Underwriters’ actual accountable “road show” expenses for the Offering; and (q) the costs associated with the bound volumes of the public offering materials as well as commemorative mementos and lucite tombstones in an amount not to exceed $2,500, with all of the Underwriters’ out-of-pocket expenses under sub-sections 3.10.3(m)-(q) not to exceed $167,500. The Representative may deduct from the net proceeds of the Offering payable to the Company on the Closing Date, or the Option Closing Date, if any, the expenses set forth herein to be paid by the Company to the Underwriters.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ind w:firstLine="1361"/>
        <w:spacing w:after="0" w:line="279" w:lineRule="auto"/>
        <w:rPr>
          <w:sz w:val="20"/>
          <w:szCs w:val="20"/>
          <w:color w:val="auto"/>
        </w:rPr>
      </w:pPr>
      <w:r>
        <w:rPr>
          <w:rFonts w:ascii="Arial" w:cs="Arial" w:eastAsia="Arial" w:hAnsi="Arial"/>
          <w:sz w:val="17"/>
          <w:szCs w:val="17"/>
          <w:color w:val="auto"/>
        </w:rPr>
        <w:t xml:space="preserve">3.10.4. </w:t>
      </w:r>
      <w:r>
        <w:rPr>
          <w:rFonts w:ascii="Arial" w:cs="Arial" w:eastAsia="Arial" w:hAnsi="Arial"/>
          <w:sz w:val="17"/>
          <w:szCs w:val="17"/>
          <w:u w:val="single" w:color="auto"/>
          <w:color w:val="auto"/>
        </w:rPr>
        <w:t>Non-accountable Expenses</w:t>
      </w:r>
      <w:r>
        <w:rPr>
          <w:rFonts w:ascii="Arial" w:cs="Arial" w:eastAsia="Arial" w:hAnsi="Arial"/>
          <w:sz w:val="17"/>
          <w:szCs w:val="17"/>
          <w:color w:val="auto"/>
        </w:rPr>
        <w:t xml:space="preserve">. The Company further agrees that, in addition to the expenses payable pursuant to </w:t>
      </w:r>
      <w:r>
        <w:rPr>
          <w:rFonts w:ascii="Arial" w:cs="Arial" w:eastAsia="Arial" w:hAnsi="Arial"/>
          <w:sz w:val="17"/>
          <w:szCs w:val="17"/>
          <w:u w:val="single" w:color="auto"/>
          <w:color w:val="auto"/>
        </w:rPr>
        <w:t>Section 3.10.3</w:t>
      </w:r>
      <w:r>
        <w:rPr>
          <w:rFonts w:ascii="Arial" w:cs="Arial" w:eastAsia="Arial" w:hAnsi="Arial"/>
          <w:sz w:val="17"/>
          <w:szCs w:val="17"/>
          <w:color w:val="auto"/>
        </w:rPr>
        <w:t xml:space="preserve">, on the Closing Date it shall pay to the Representative, by deduction from the net proceeds of the Offering contemplated herein, a non-accountable expense allowance equal to half a percent (0.5%) of the gross proceeds received by the Company from the sale of the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in the event that the Offering is terminated, the Company agrees to reimburse the Underwriters pursuant to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hereof.</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3.11. </w:t>
      </w:r>
      <w:r>
        <w:rPr>
          <w:rFonts w:ascii="Arial" w:cs="Arial" w:eastAsia="Arial" w:hAnsi="Arial"/>
          <w:sz w:val="17"/>
          <w:szCs w:val="17"/>
          <w:i w:val="1"/>
          <w:iCs w:val="1"/>
          <w:u w:val="single" w:color="auto"/>
          <w:color w:val="auto"/>
        </w:rPr>
        <w:t>Application of Net Proceeds</w:t>
      </w:r>
      <w:r>
        <w:rPr>
          <w:rFonts w:ascii="Arial" w:cs="Arial" w:eastAsia="Arial" w:hAnsi="Arial"/>
          <w:sz w:val="17"/>
          <w:szCs w:val="17"/>
          <w:color w:val="auto"/>
        </w:rPr>
        <w:t>. The Company shall apply the net proceeds from the Offering received by it in a manner consistent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application thereof described under the caption “Use of Proceeds” in the Registration Statement, the Pricing Disclosure Package and the Prospectus.</w:t>
      </w:r>
    </w:p>
    <w:p>
      <w:pPr>
        <w:spacing w:after="0" w:line="147"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8"/>
          <w:szCs w:val="18"/>
          <w:i w:val="1"/>
          <w:iCs w:val="1"/>
          <w:color w:val="auto"/>
        </w:rPr>
        <w:t xml:space="preserve">3.12. </w:t>
      </w:r>
      <w:r>
        <w:rPr>
          <w:rFonts w:ascii="Arial" w:cs="Arial" w:eastAsia="Arial" w:hAnsi="Arial"/>
          <w:sz w:val="18"/>
          <w:szCs w:val="18"/>
          <w:i w:val="1"/>
          <w:iCs w:val="1"/>
          <w:u w:val="single" w:color="auto"/>
          <w:color w:val="auto"/>
        </w:rPr>
        <w:t>Delivery of Earnings Statements to Security Holders</w:t>
      </w:r>
      <w:r>
        <w:rPr>
          <w:rFonts w:ascii="Arial" w:cs="Arial" w:eastAsia="Arial" w:hAnsi="Arial"/>
          <w:sz w:val="18"/>
          <w:szCs w:val="18"/>
          <w:color w:val="auto"/>
        </w:rPr>
        <w:t>. The Company shall make generally available to its security holders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practicable, but not later than the first day of the fifteenth (15</w:t>
      </w:r>
      <w:r>
        <w:rPr>
          <w:rFonts w:ascii="Arial" w:cs="Arial" w:eastAsia="Arial" w:hAnsi="Arial"/>
          <w:sz w:val="30"/>
          <w:szCs w:val="30"/>
          <w:color w:val="auto"/>
          <w:vertAlign w:val="superscript"/>
        </w:rPr>
        <w:t>th</w:t>
      </w:r>
      <w:r>
        <w:rPr>
          <w:rFonts w:ascii="Arial" w:cs="Arial" w:eastAsia="Arial" w:hAnsi="Arial"/>
          <w:sz w:val="18"/>
          <w:szCs w:val="18"/>
          <w:color w:val="auto"/>
        </w:rPr>
        <w:t>) full calendar month following the date of this Agreement, an earnings statement (which need not be certified by independent registered public accounting firm unless required by the Securities Act or the Securities Act Regulations, but which shall satisfy the provisions of Rule 158(a) under Section 11(a) of the Securities Act) covering a period of at least twelve (12) consecutive months beginning after the date of this Agreement.</w:t>
      </w:r>
    </w:p>
    <w:p>
      <w:pPr>
        <w:spacing w:after="0" w:line="20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3.13. </w:t>
      </w:r>
      <w:r>
        <w:rPr>
          <w:rFonts w:ascii="Arial" w:cs="Arial" w:eastAsia="Arial" w:hAnsi="Arial"/>
          <w:sz w:val="17"/>
          <w:szCs w:val="17"/>
          <w:i w:val="1"/>
          <w:iCs w:val="1"/>
          <w:u w:val="single" w:color="auto"/>
          <w:color w:val="auto"/>
        </w:rPr>
        <w:t>Stabilization</w:t>
      </w:r>
      <w:r>
        <w:rPr>
          <w:rFonts w:ascii="Arial" w:cs="Arial" w:eastAsia="Arial" w:hAnsi="Arial"/>
          <w:sz w:val="17"/>
          <w:szCs w:val="17"/>
          <w:color w:val="auto"/>
        </w:rPr>
        <w:t>. Neither the Company nor, to its knowledge, any of its employees, directors or shareholders has taken or shall take, directly or</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indirectly, any action designed to or that has constituted or that might reasonably be expected to cause or result in, under Regulation M of the Exchange Act, or otherwise, stabilization or manipulation of the price of any security of the Company to facilitate the sale or resale of the Shares.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3.14. </w:t>
      </w:r>
      <w:r>
        <w:rPr>
          <w:rFonts w:ascii="Arial" w:cs="Arial" w:eastAsia="Arial" w:hAnsi="Arial"/>
          <w:sz w:val="18"/>
          <w:szCs w:val="18"/>
          <w:i w:val="1"/>
          <w:iCs w:val="1"/>
          <w:u w:val="single" w:color="auto"/>
          <w:color w:val="auto"/>
        </w:rPr>
        <w:t>Internal Controls</w:t>
      </w:r>
      <w:r>
        <w:rPr>
          <w:rFonts w:ascii="Arial" w:cs="Arial" w:eastAsia="Arial" w:hAnsi="Arial"/>
          <w:sz w:val="18"/>
          <w:szCs w:val="18"/>
          <w:color w:val="auto"/>
        </w:rPr>
        <w:t>. Except to the extent disclosed in the Registration Statement, Pricing Disclosure Package and Prospectus, the Company shall</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3.15. </w:t>
      </w:r>
      <w:r>
        <w:rPr>
          <w:rFonts w:ascii="Arial" w:cs="Arial" w:eastAsia="Arial" w:hAnsi="Arial"/>
          <w:sz w:val="16"/>
          <w:szCs w:val="16"/>
          <w:i w:val="1"/>
          <w:iCs w:val="1"/>
          <w:u w:val="single" w:color="auto"/>
          <w:color w:val="auto"/>
        </w:rPr>
        <w:t>Accountants</w:t>
      </w:r>
      <w:r>
        <w:rPr>
          <w:rFonts w:ascii="Arial" w:cs="Arial" w:eastAsia="Arial" w:hAnsi="Arial"/>
          <w:sz w:val="16"/>
          <w:szCs w:val="16"/>
          <w:color w:val="auto"/>
        </w:rPr>
        <w:t>. As of the date of this Agreement, the Company has retained an independent registered public accounting firm reasonably</w:t>
      </w:r>
      <w:r>
        <w:rPr>
          <w:rFonts w:ascii="Arial" w:cs="Arial" w:eastAsia="Arial" w:hAnsi="Arial"/>
          <w:sz w:val="16"/>
          <w:szCs w:val="16"/>
          <w:i w:val="1"/>
          <w:iCs w:val="1"/>
          <w:color w:val="auto"/>
        </w:rPr>
        <w:t xml:space="preserve"> </w:t>
      </w:r>
      <w:r>
        <w:rPr>
          <w:rFonts w:ascii="Arial" w:cs="Arial" w:eastAsia="Arial" w:hAnsi="Arial"/>
          <w:sz w:val="16"/>
          <w:szCs w:val="16"/>
          <w:color w:val="auto"/>
        </w:rPr>
        <w:t>acceptable to the Representative, and the Company shall continue to retain a nationally recognized independent registered public accounting firm for a period of at least three (3) years after the date of this Agreement. The Representative acknowledges that the Auditor is acceptable to the Representative.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3.16. </w:t>
      </w:r>
      <w:r>
        <w:rPr>
          <w:rFonts w:ascii="Arial" w:cs="Arial" w:eastAsia="Arial" w:hAnsi="Arial"/>
          <w:sz w:val="18"/>
          <w:szCs w:val="18"/>
          <w:i w:val="1"/>
          <w:iCs w:val="1"/>
          <w:u w:val="single" w:color="auto"/>
          <w:color w:val="auto"/>
        </w:rPr>
        <w:t>FINRA</w:t>
      </w:r>
      <w:r>
        <w:rPr>
          <w:rFonts w:ascii="Arial" w:cs="Arial" w:eastAsia="Arial" w:hAnsi="Arial"/>
          <w:sz w:val="18"/>
          <w:szCs w:val="18"/>
          <w:color w:val="auto"/>
        </w:rPr>
        <w:t>. For a period of 90 days from the later of the Closing Date or the Option Closing Date, the Company shall advise the Representative</w:t>
      </w:r>
      <w:r>
        <w:rPr>
          <w:rFonts w:ascii="Arial" w:cs="Arial" w:eastAsia="Arial" w:hAnsi="Arial"/>
          <w:sz w:val="18"/>
          <w:szCs w:val="18"/>
          <w:i w:val="1"/>
          <w:iCs w:val="1"/>
          <w:color w:val="auto"/>
        </w:rPr>
        <w:t xml:space="preserve"> </w:t>
      </w:r>
      <w:r>
        <w:rPr>
          <w:rFonts w:ascii="Arial" w:cs="Arial" w:eastAsia="Arial" w:hAnsi="Arial"/>
          <w:sz w:val="18"/>
          <w:szCs w:val="18"/>
          <w:color w:val="auto"/>
        </w:rPr>
        <w:t>(who shall make an appropriate filing with FINRA) if it is or becomes aware that (i) any officer or director of the Company, (ii) any beneficial owner of 5% or more of any class of the Company's securities or (iii) any beneficial owner of the Company's unregistered equity securities which were acquired during the 180 days immediately preceding the filing of the Registration Statement is or becomes an affiliate or associated person of a FINRA member participating in the Offering (as determined in accordance with the rules and regulations of FINRA).</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3.17. </w:t>
      </w:r>
      <w:r>
        <w:rPr>
          <w:rFonts w:ascii="Arial" w:cs="Arial" w:eastAsia="Arial" w:hAnsi="Arial"/>
          <w:sz w:val="17"/>
          <w:szCs w:val="17"/>
          <w:i w:val="1"/>
          <w:iCs w:val="1"/>
          <w:u w:val="single" w:color="auto"/>
          <w:color w:val="auto"/>
        </w:rPr>
        <w:t>No Fiduciary Duties</w:t>
      </w:r>
      <w:r>
        <w:rPr>
          <w:rFonts w:ascii="Arial" w:cs="Arial" w:eastAsia="Arial" w:hAnsi="Arial"/>
          <w:sz w:val="17"/>
          <w:szCs w:val="17"/>
          <w:color w:val="auto"/>
        </w:rPr>
        <w:t>. The Company acknowledges and agrees that the Underwriters’ responsibility to the Company is solely contractual in</w:t>
      </w:r>
      <w:r>
        <w:rPr>
          <w:rFonts w:ascii="Arial" w:cs="Arial" w:eastAsia="Arial" w:hAnsi="Arial"/>
          <w:sz w:val="17"/>
          <w:szCs w:val="17"/>
          <w:i w:val="1"/>
          <w:iCs w:val="1"/>
          <w:color w:val="auto"/>
        </w:rPr>
        <w:t xml:space="preserve"> </w:t>
      </w:r>
      <w:r>
        <w:rPr>
          <w:rFonts w:ascii="Arial" w:cs="Arial" w:eastAsia="Arial" w:hAnsi="Arial"/>
          <w:sz w:val="17"/>
          <w:szCs w:val="17"/>
          <w:color w:val="auto"/>
        </w:rPr>
        <w:t>nature and that none of the Underwriters or their affiliates or any selling agent shall be deemed to be acting in a fiduciary capacity, or otherwise owes any fiduciary duty to the Company or any of its affiliates in connection with the Offering and the other transactions contemplated by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3.18. </w:t>
      </w:r>
      <w:r>
        <w:rPr>
          <w:rFonts w:ascii="Arial" w:cs="Arial" w:eastAsia="Arial" w:hAnsi="Arial"/>
          <w:sz w:val="18"/>
          <w:szCs w:val="18"/>
          <w:i w:val="1"/>
          <w:iCs w:val="1"/>
          <w:u w:val="single" w:color="auto"/>
          <w:color w:val="auto"/>
        </w:rPr>
        <w:t>Company Lock-Up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3.18.1. Restriction on Sales of Capital Share. The Company, on behalf of itself and any successor entity, agrees that, without the prior written consent of the Representative, it will not, for a period of six (6) months after the date of this Agreement (the “</w:t>
      </w:r>
      <w:r>
        <w:rPr>
          <w:rFonts w:ascii="Arial" w:cs="Arial" w:eastAsia="Arial" w:hAnsi="Arial"/>
          <w:sz w:val="16"/>
          <w:szCs w:val="16"/>
          <w:b w:val="1"/>
          <w:bCs w:val="1"/>
          <w:color w:val="auto"/>
        </w:rPr>
        <w:t>Lock-Up Period</w:t>
      </w:r>
      <w:r>
        <w:rPr>
          <w:rFonts w:ascii="Arial" w:cs="Arial" w:eastAsia="Arial" w:hAnsi="Arial"/>
          <w:sz w:val="16"/>
          <w:szCs w:val="16"/>
          <w:color w:val="auto"/>
        </w:rPr>
        <w:t>”), (i) offer, pledge, sell, contract to sell, sell any option or contract to purchase, purchase any option or contract to sell, grant any option, right or warrant to purchase, lend, or otherwise transfer or dispose of, directly or indirectly, any shares of capital Share of the Company or any securities convertible into or exercisable or exchangeable for shares of capital Share of the Company; (ii) file or caused to be filed any registration statement with the Commission relating to the offering of any shares of capital Share of the Company or any securities convertible into or exercisable or exchangeable for shares of capital Share of the Company;</w:t>
      </w:r>
    </w:p>
    <w:p>
      <w:pPr>
        <w:spacing w:after="0" w:line="5" w:lineRule="exact"/>
        <w:rPr>
          <w:sz w:val="20"/>
          <w:szCs w:val="20"/>
          <w:color w:val="auto"/>
        </w:rPr>
      </w:pPr>
    </w:p>
    <w:p>
      <w:pPr>
        <w:jc w:val="both"/>
        <w:ind w:firstLine="8"/>
        <w:spacing w:after="0" w:line="268" w:lineRule="auto"/>
        <w:tabs>
          <w:tab w:leader="none" w:pos="328"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complete any offering of debt securities of the Company, other than entering into a line of credit with a traditional bank or (iv) enter into any swap or other arrangement that transfers to another, in whole or in part, any of the economic consequences of ownership of capital Share of the Company, whether any such transaction described in clause (i), (ii), (iii) or (iv) above is to be settled by delivery of shares of capital Share of the Company or such other securities, in cash or otherwise. The restrictions contained in this </w:t>
      </w:r>
      <w:r>
        <w:rPr>
          <w:rFonts w:ascii="Arial" w:cs="Arial" w:eastAsia="Arial" w:hAnsi="Arial"/>
          <w:sz w:val="17"/>
          <w:szCs w:val="17"/>
          <w:u w:val="single" w:color="auto"/>
          <w:color w:val="auto"/>
        </w:rPr>
        <w:t>Section 3.18.1</w:t>
      </w:r>
      <w:r>
        <w:rPr>
          <w:rFonts w:ascii="Arial" w:cs="Arial" w:eastAsia="Arial" w:hAnsi="Arial"/>
          <w:sz w:val="17"/>
          <w:szCs w:val="17"/>
          <w:color w:val="auto"/>
        </w:rPr>
        <w:t xml:space="preserve"> shall not apply to (i) the common shares of the Company to be sold hereunder, (ii) the issuance by the Company of common shares of the Company upon the exercise of a Share option or warrant or the conversion of a security outstanding on the date hereof, (iii) the issuance by the Company of options or common shares of the Company under any equity compensation plan of the Company, (iv) any issuance of securities disclosed in the Registration Statement, the Pricing Disclosure Package or the Prospectus, and (v) the filing of a Registration Statement on Form S-8 or any successor form thereto.</w:t>
      </w:r>
    </w:p>
    <w:p>
      <w:pPr>
        <w:spacing w:after="0" w:line="184"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3.18.2. Restriction on Continuous Offerings. Notwithstanding the restrictions contained in Section 3.18.1, the Company, on behalf of itself and any successor entity, agrees that, without the prior written consent of the Representatives, it will not, for a period of six (6) months after the date of this Agreement, directly or indirectly in any “at-the-market” or continuous equity transaction, offer to sell, sell, contract to sell, grant any option to sell or otherwise dispose of shares of capital Share of the Company or any securities convertible into or exercisable or exchangeable for shares of capital Share of the Company.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3.19. </w:t>
      </w:r>
      <w:r>
        <w:rPr>
          <w:rFonts w:ascii="Arial" w:cs="Arial" w:eastAsia="Arial" w:hAnsi="Arial"/>
          <w:sz w:val="18"/>
          <w:szCs w:val="18"/>
          <w:i w:val="1"/>
          <w:iCs w:val="1"/>
          <w:u w:val="single" w:color="auto"/>
          <w:color w:val="auto"/>
        </w:rPr>
        <w:t>Release of D&amp;O Lock-up Period</w:t>
      </w:r>
      <w:r>
        <w:rPr>
          <w:rFonts w:ascii="Arial" w:cs="Arial" w:eastAsia="Arial" w:hAnsi="Arial"/>
          <w:sz w:val="18"/>
          <w:szCs w:val="18"/>
          <w:color w:val="auto"/>
        </w:rPr>
        <w:t>. If the Representative, in its sole discretion, agrees to release or waive the restrictions set forth in the Lock-Up</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Agreements described in </w:t>
      </w:r>
      <w:r>
        <w:rPr>
          <w:rFonts w:ascii="Arial" w:cs="Arial" w:eastAsia="Arial" w:hAnsi="Arial"/>
          <w:sz w:val="18"/>
          <w:szCs w:val="18"/>
          <w:u w:val="single" w:color="auto"/>
          <w:color w:val="auto"/>
        </w:rPr>
        <w:t>Section 2.24</w:t>
      </w:r>
      <w:r>
        <w:rPr>
          <w:rFonts w:ascii="Arial" w:cs="Arial" w:eastAsia="Arial" w:hAnsi="Arial"/>
          <w:sz w:val="18"/>
          <w:szCs w:val="18"/>
          <w:color w:val="auto"/>
        </w:rPr>
        <w:t xml:space="preserve"> hereof for an officer or director of the Company and provides the Company with notice of the impending release or waiver at least three (3) Business Days before the effective date of the release or waiver, the Company agrees to announce the impending release or waiver by a press release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 through a major news service at least two (2) Business Days before the effective date of the release or waiver.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3.20. </w:t>
      </w:r>
      <w:r>
        <w:rPr>
          <w:rFonts w:ascii="Arial" w:cs="Arial" w:eastAsia="Arial" w:hAnsi="Arial"/>
          <w:sz w:val="16"/>
          <w:szCs w:val="16"/>
          <w:i w:val="1"/>
          <w:iCs w:val="1"/>
          <w:u w:val="single" w:color="auto"/>
          <w:color w:val="auto"/>
        </w:rPr>
        <w:t>Blue Sky Qualifications</w:t>
      </w:r>
      <w:r>
        <w:rPr>
          <w:rFonts w:ascii="Arial" w:cs="Arial" w:eastAsia="Arial" w:hAnsi="Arial"/>
          <w:sz w:val="16"/>
          <w:szCs w:val="16"/>
          <w:color w:val="auto"/>
        </w:rPr>
        <w:t>. The Company shall use its best efforts, in cooperation with the Underwriters, if necessary, to qualify the Shares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offering and sale under the applicable securities laws of such states and other jurisdictions (domestic or foreign) as the Representative may designate and to maintain such qualifications in effect so long as required to complete the distribution of the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3.21. </w:t>
      </w:r>
      <w:r>
        <w:rPr>
          <w:rFonts w:ascii="Arial" w:cs="Arial" w:eastAsia="Arial" w:hAnsi="Arial"/>
          <w:sz w:val="17"/>
          <w:szCs w:val="17"/>
          <w:i w:val="1"/>
          <w:iCs w:val="1"/>
          <w:u w:val="single" w:color="auto"/>
          <w:color w:val="auto"/>
        </w:rPr>
        <w:t>Reporting Requirements</w:t>
      </w:r>
      <w:r>
        <w:rPr>
          <w:rFonts w:ascii="Arial" w:cs="Arial" w:eastAsia="Arial" w:hAnsi="Arial"/>
          <w:sz w:val="17"/>
          <w:szCs w:val="17"/>
          <w:color w:val="auto"/>
        </w:rPr>
        <w:t>. The Company, during the period when a prospectus relating to the Shares is (or, but for the exception afforded by</w:t>
      </w:r>
      <w:r>
        <w:rPr>
          <w:rFonts w:ascii="Arial" w:cs="Arial" w:eastAsia="Arial" w:hAnsi="Arial"/>
          <w:sz w:val="17"/>
          <w:szCs w:val="17"/>
          <w:i w:val="1"/>
          <w:iCs w:val="1"/>
          <w:color w:val="auto"/>
        </w:rPr>
        <w:t xml:space="preserve"> </w:t>
      </w:r>
      <w:r>
        <w:rPr>
          <w:rFonts w:ascii="Arial" w:cs="Arial" w:eastAsia="Arial" w:hAnsi="Arial"/>
          <w:sz w:val="17"/>
          <w:szCs w:val="17"/>
          <w:color w:val="auto"/>
        </w:rPr>
        <w:t>Rule 172, would be) required to be delivered under the Securities Act, will file all documents required to be filed with the Commission pursuant to the Exchange Act within the time periods required by the Exchange Act and Exchange Act Regulations. Additionally, the Company shall report the use of proceeds from the issuance of the Shares as may be required under Rule 463 under the Securities Act Regulations.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3.22. </w:t>
      </w:r>
      <w:r>
        <w:rPr>
          <w:rFonts w:ascii="Arial" w:cs="Arial" w:eastAsia="Arial" w:hAnsi="Arial"/>
          <w:sz w:val="18"/>
          <w:szCs w:val="18"/>
          <w:i w:val="1"/>
          <w:iCs w:val="1"/>
          <w:u w:val="single" w:color="auto"/>
          <w:color w:val="auto"/>
        </w:rPr>
        <w:t>Emerging Growth Company Status</w:t>
      </w:r>
      <w:r>
        <w:rPr>
          <w:rFonts w:ascii="Arial" w:cs="Arial" w:eastAsia="Arial" w:hAnsi="Arial"/>
          <w:sz w:val="18"/>
          <w:szCs w:val="18"/>
          <w:color w:val="auto"/>
        </w:rPr>
        <w:t>. The Company shall promptly notify the Representative if the Company ceases to be an Emerging Growth</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at any time prior to the later of (i) completion of the distribution of the Shares within the meaning of the Securities Act and (ii) fifteen (15) days following the completion of the Lock-Up Period.</w:t>
      </w:r>
    </w:p>
    <w:p>
      <w:pPr>
        <w:spacing w:after="0" w:line="181" w:lineRule="exact"/>
        <w:rPr>
          <w:sz w:val="20"/>
          <w:szCs w:val="20"/>
          <w:color w:val="auto"/>
        </w:rPr>
      </w:pPr>
    </w:p>
    <w:p>
      <w:pPr>
        <w:jc w:val="both"/>
        <w:ind w:firstLine="8"/>
        <w:spacing w:after="0" w:line="259" w:lineRule="auto"/>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Underwriters to purchase and pay for the Shares, as provided herein, shall be subject to (i) the continuing accuracy of the representations and warranties of the Company as of the date hereof and as of each of the Closing Date and the Option Closing Date, if any; (ii) the accuracy of the statements of officers of the Company made pursuant to the provisions hereof; (iii) the performance by the Company of its obligations hereunder; and (iv) the following conditions: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4.1. </w:t>
      </w:r>
      <w:r>
        <w:rPr>
          <w:rFonts w:ascii="Arial" w:cs="Arial" w:eastAsia="Arial" w:hAnsi="Arial"/>
          <w:sz w:val="18"/>
          <w:szCs w:val="18"/>
          <w:i w:val="1"/>
          <w:iCs w:val="1"/>
          <w:u w:val="single" w:color="auto"/>
          <w:color w:val="auto"/>
        </w:rPr>
        <w:t>Regulatory Matters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Effectiveness of Registration Statement; Rule 430A Information</w:t>
      </w:r>
      <w:r>
        <w:rPr>
          <w:rFonts w:ascii="Arial" w:cs="Arial" w:eastAsia="Arial" w:hAnsi="Arial"/>
          <w:sz w:val="16"/>
          <w:szCs w:val="16"/>
          <w:color w:val="auto"/>
        </w:rPr>
        <w:t>. The Registration Statement has become effective not later than 5:00 p.m., Eastern time, on the date of this Agreement or such later date and time as shall be consented to in writing by you, and, at each of the Closing Date and any Option Closing Date, no stop order suspending the effectiveness of the Registration Statement or any post-effective amendment thereto has been issued under the Securities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 The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66"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FINRA Clearance</w:t>
      </w:r>
      <w:r>
        <w:rPr>
          <w:rFonts w:ascii="Arial" w:cs="Arial" w:eastAsia="Arial" w:hAnsi="Arial"/>
          <w:sz w:val="18"/>
          <w:szCs w:val="18"/>
          <w:color w:val="auto"/>
        </w:rPr>
        <w:t>. On or before the date of this Agreement, the Representative shall have received clearance from FINRA as to the amount of compensation allowable or payable to the Underwriters as described in the Registration Statement.</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u w:val="single" w:color="auto"/>
          <w:color w:val="auto"/>
        </w:rPr>
        <w:t>Exchange Share Market Clearance</w:t>
      </w:r>
      <w:r>
        <w:rPr>
          <w:rFonts w:ascii="Arial" w:cs="Arial" w:eastAsia="Arial" w:hAnsi="Arial"/>
          <w:sz w:val="18"/>
          <w:szCs w:val="18"/>
          <w:color w:val="auto"/>
        </w:rPr>
        <w:t>. On the Closing Date, the Shares shall have been approved for listing on the Exchange, subject only to official notice of issuance. On the first Option Closing Date (if any), the Option Shares shall have been approved for listing on the Exchange, subject only to official notice of issuance.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720"/>
        <w:spacing w:after="0"/>
        <w:rPr>
          <w:sz w:val="20"/>
          <w:szCs w:val="20"/>
          <w:color w:val="auto"/>
        </w:rPr>
      </w:pPr>
      <w:r>
        <w:rPr>
          <w:rFonts w:ascii="Arial" w:cs="Arial" w:eastAsia="Arial" w:hAnsi="Arial"/>
          <w:sz w:val="18"/>
          <w:szCs w:val="18"/>
          <w:i w:val="1"/>
          <w:iCs w:val="1"/>
          <w:color w:val="auto"/>
        </w:rPr>
        <w:t xml:space="preserve">4.2. </w:t>
      </w:r>
      <w:r>
        <w:rPr>
          <w:rFonts w:ascii="Arial" w:cs="Arial" w:eastAsia="Arial" w:hAnsi="Arial"/>
          <w:sz w:val="18"/>
          <w:szCs w:val="18"/>
          <w:i w:val="1"/>
          <w:iCs w:val="1"/>
          <w:u w:val="single" w:color="auto"/>
          <w:color w:val="auto"/>
        </w:rPr>
        <w:t>Company Counsel Matters</w:t>
      </w:r>
      <w:r>
        <w:rPr>
          <w:rFonts w:ascii="Arial" w:cs="Arial" w:eastAsia="Arial" w:hAnsi="Arial"/>
          <w:sz w:val="18"/>
          <w:szCs w:val="18"/>
          <w:color w:val="auto"/>
        </w:rPr>
        <w:t>.</w:t>
      </w:r>
    </w:p>
    <w:p>
      <w:pPr>
        <w:spacing w:after="0" w:line="225" w:lineRule="exact"/>
        <w:rPr>
          <w:sz w:val="20"/>
          <w:szCs w:val="20"/>
          <w:color w:val="auto"/>
        </w:rPr>
      </w:pPr>
    </w:p>
    <w:p>
      <w:pPr>
        <w:jc w:val="both"/>
        <w:ind w:firstLine="1232"/>
        <w:spacing w:after="0" w:line="264"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Closing Date Opinions of Counsels</w:t>
      </w:r>
      <w:r>
        <w:rPr>
          <w:rFonts w:ascii="Arial" w:cs="Arial" w:eastAsia="Arial" w:hAnsi="Arial"/>
          <w:sz w:val="18"/>
          <w:szCs w:val="18"/>
          <w:color w:val="auto"/>
        </w:rPr>
        <w:t>. On the Closing Date, the Representative shall have received the favorable opinion, in form and substance reasonably satisfactory to Representative’s Counsel addressed to each of the Underwriters (including the Representative) and stating that such opinions may be relied upon by Representative’s Counsel, of each of the following counsels:</w:t>
      </w:r>
    </w:p>
    <w:p>
      <w:pPr>
        <w:spacing w:after="0" w:line="181" w:lineRule="exact"/>
        <w:rPr>
          <w:sz w:val="20"/>
          <w:szCs w:val="20"/>
          <w:color w:val="auto"/>
        </w:rPr>
      </w:pPr>
    </w:p>
    <w:p>
      <w:pPr>
        <w:ind w:firstLine="1953"/>
        <w:spacing w:after="0" w:line="277" w:lineRule="auto"/>
        <w:tabs>
          <w:tab w:leader="none" w:pos="217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Schiff Hardin LLP, U.S. counsel for the Company, with respect to matters of U.S. law, to the effect set forth in </w:t>
      </w:r>
      <w:r>
        <w:rPr>
          <w:rFonts w:ascii="Arial" w:cs="Arial" w:eastAsia="Arial" w:hAnsi="Arial"/>
          <w:sz w:val="18"/>
          <w:szCs w:val="18"/>
          <w:u w:val="single" w:color="auto"/>
          <w:color w:val="auto"/>
        </w:rPr>
        <w:t>Exhibit D-I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right="20" w:firstLine="1953"/>
        <w:spacing w:after="0" w:line="277" w:lineRule="auto"/>
        <w:tabs>
          <w:tab w:leader="none" w:pos="22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Ogier, special counsel for the Company with respect to matters of Cayman Islands law, to the effect set forth in </w:t>
      </w:r>
      <w:r>
        <w:rPr>
          <w:rFonts w:ascii="Arial" w:cs="Arial" w:eastAsia="Arial" w:hAnsi="Arial"/>
          <w:sz w:val="18"/>
          <w:szCs w:val="18"/>
          <w:u w:val="single" w:color="auto"/>
          <w:color w:val="auto"/>
        </w:rPr>
        <w:t>Exhibit D-II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6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Hansen &amp; Partners, special counsel for the Company with respect to matters of People’s Republic of China law, to the effect set forth in </w:t>
      </w:r>
      <w:r>
        <w:rPr>
          <w:rFonts w:ascii="Arial" w:cs="Arial" w:eastAsia="Arial" w:hAnsi="Arial"/>
          <w:sz w:val="18"/>
          <w:szCs w:val="18"/>
          <w:u w:val="single" w:color="auto"/>
          <w:color w:val="auto"/>
        </w:rPr>
        <w:t>Exhibit D-III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Angela Ho &amp; Associates, special counsel for the Company with respect to matters of Hong Kong law, to the effect set forth in </w:t>
      </w:r>
      <w:r>
        <w:rPr>
          <w:rFonts w:ascii="Arial" w:cs="Arial" w:eastAsia="Arial" w:hAnsi="Arial"/>
          <w:sz w:val="18"/>
          <w:szCs w:val="18"/>
          <w:u w:val="single" w:color="auto"/>
          <w:color w:val="auto"/>
        </w:rPr>
        <w:t>Exhibit D-IV</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Ogier, special counsel for the Company with respect to matters of British Virgin Islands law, to the effect set forth in </w:t>
      </w:r>
      <w:r>
        <w:rPr>
          <w:rFonts w:ascii="Arial" w:cs="Arial" w:eastAsia="Arial" w:hAnsi="Arial"/>
          <w:sz w:val="18"/>
          <w:szCs w:val="18"/>
          <w:u w:val="single" w:color="auto"/>
          <w:color w:val="auto"/>
        </w:rPr>
        <w:t>Exhibit D-V</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firstLine="1953"/>
        <w:spacing w:after="0" w:line="277" w:lineRule="auto"/>
        <w:tabs>
          <w:tab w:leader="none" w:pos="227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Chien Yeh Law Offices, special counsel for the Company with respect to matters of Taiwan law, to the effect set forth in </w:t>
      </w:r>
      <w:r>
        <w:rPr>
          <w:rFonts w:ascii="Arial" w:cs="Arial" w:eastAsia="Arial" w:hAnsi="Arial"/>
          <w:sz w:val="18"/>
          <w:szCs w:val="18"/>
          <w:u w:val="single" w:color="auto"/>
          <w:color w:val="auto"/>
        </w:rPr>
        <w:t>Exhibit D-VI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rFonts w:ascii="Arial" w:cs="Arial" w:eastAsia="Arial" w:hAnsi="Arial"/>
          <w:sz w:val="18"/>
          <w:szCs w:val="18"/>
          <w:color w:val="auto"/>
        </w:rPr>
      </w:pPr>
    </w:p>
    <w:p>
      <w:pPr>
        <w:ind w:right="20" w:firstLine="1953"/>
        <w:spacing w:after="0" w:line="277" w:lineRule="auto"/>
        <w:tabs>
          <w:tab w:leader="none" w:pos="23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Chandlers International Lawyers, special counsel for the Company with respect to matters of Australia law, to the effect set forth in </w:t>
      </w:r>
      <w:r>
        <w:rPr>
          <w:rFonts w:ascii="Arial" w:cs="Arial" w:eastAsia="Arial" w:hAnsi="Arial"/>
          <w:sz w:val="18"/>
          <w:szCs w:val="18"/>
          <w:u w:val="single" w:color="auto"/>
          <w:color w:val="auto"/>
        </w:rPr>
        <w:t>Exhibit D-VII</w:t>
      </w:r>
      <w:r>
        <w:rPr>
          <w:rFonts w:ascii="Arial" w:cs="Arial" w:eastAsia="Arial" w:hAnsi="Arial"/>
          <w:sz w:val="18"/>
          <w:szCs w:val="18"/>
          <w:color w:val="auto"/>
        </w:rPr>
        <w:t xml:space="preserve"> hereto and to such further effect as Representative’s Counsel may reasonably request; and</w:t>
      </w:r>
    </w:p>
    <w:p>
      <w:pPr>
        <w:spacing w:after="0" w:line="170" w:lineRule="exact"/>
        <w:rPr>
          <w:rFonts w:ascii="Arial" w:cs="Arial" w:eastAsia="Arial" w:hAnsi="Arial"/>
          <w:sz w:val="18"/>
          <w:szCs w:val="18"/>
          <w:color w:val="auto"/>
        </w:rPr>
      </w:pPr>
    </w:p>
    <w:p>
      <w:pPr>
        <w:ind w:firstLine="1953"/>
        <w:spacing w:after="0" w:line="277" w:lineRule="auto"/>
        <w:tabs>
          <w:tab w:leader="none" w:pos="2357"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Jan Tan &amp; Chan, special counsel for the Company with respect to matters of Singapore law, to the effect set forth in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D-VIII</w:t>
      </w:r>
      <w:r>
        <w:rPr>
          <w:rFonts w:ascii="Arial" w:cs="Arial" w:eastAsia="Arial" w:hAnsi="Arial"/>
          <w:sz w:val="18"/>
          <w:szCs w:val="18"/>
          <w:color w:val="auto"/>
        </w:rPr>
        <w:t xml:space="preserve"> hereto and to such further effect as Representative’s Counsel may reasonably request.</w:t>
      </w:r>
    </w:p>
    <w:p>
      <w:pPr>
        <w:spacing w:after="0" w:line="170" w:lineRule="exact"/>
        <w:rPr>
          <w:sz w:val="20"/>
          <w:szCs w:val="20"/>
          <w:color w:val="auto"/>
        </w:rPr>
      </w:pPr>
    </w:p>
    <w:p>
      <w:pPr>
        <w:jc w:val="both"/>
        <w:ind w:firstLine="1232"/>
        <w:spacing w:after="0" w:line="312"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u w:val="single" w:color="auto"/>
          <w:color w:val="auto"/>
        </w:rPr>
        <w:t>Option Closing Date Opinion of Counsel</w:t>
      </w:r>
      <w:r>
        <w:rPr>
          <w:rFonts w:ascii="Arial" w:cs="Arial" w:eastAsia="Arial" w:hAnsi="Arial"/>
          <w:sz w:val="16"/>
          <w:szCs w:val="16"/>
          <w:color w:val="auto"/>
        </w:rPr>
        <w:t xml:space="preserve">. On the Option Closing Date, if any, the Representatives shall have received the favorable opinions of counsel listed in </w:t>
      </w:r>
      <w:r>
        <w:rPr>
          <w:rFonts w:ascii="Arial" w:cs="Arial" w:eastAsia="Arial" w:hAnsi="Arial"/>
          <w:sz w:val="16"/>
          <w:szCs w:val="16"/>
          <w:u w:val="single" w:color="auto"/>
          <w:color w:val="auto"/>
        </w:rPr>
        <w:t>Section 4.2.1</w:t>
      </w:r>
      <w:r>
        <w:rPr>
          <w:rFonts w:ascii="Arial" w:cs="Arial" w:eastAsia="Arial" w:hAnsi="Arial"/>
          <w:sz w:val="16"/>
          <w:szCs w:val="16"/>
          <w:color w:val="auto"/>
        </w:rPr>
        <w:t xml:space="preserve"> dated the Option Closing Date, addressed to the Representative and in form and substance reasonably satisfactory to the Representative, confirming as of the Option Closing Date, the statements made by such counsel in their opinions delivered on the Closing Date.</w:t>
      </w:r>
    </w:p>
    <w:p>
      <w:pPr>
        <w:spacing w:after="0" w:line="147" w:lineRule="exact"/>
        <w:rPr>
          <w:sz w:val="20"/>
          <w:szCs w:val="20"/>
          <w:color w:val="auto"/>
        </w:rPr>
      </w:pPr>
    </w:p>
    <w:p>
      <w:pPr>
        <w:jc w:val="both"/>
        <w:ind w:firstLine="1232"/>
        <w:spacing w:after="0" w:line="273" w:lineRule="auto"/>
        <w:rPr>
          <w:sz w:val="20"/>
          <w:szCs w:val="20"/>
          <w:color w:val="auto"/>
        </w:rPr>
      </w:pPr>
      <w:r>
        <w:rPr>
          <w:rFonts w:ascii="Arial" w:cs="Arial" w:eastAsia="Arial" w:hAnsi="Arial"/>
          <w:sz w:val="17"/>
          <w:szCs w:val="17"/>
          <w:color w:val="auto"/>
        </w:rPr>
        <w:t xml:space="preserve">4.2.3. </w:t>
      </w:r>
      <w:r>
        <w:rPr>
          <w:rFonts w:ascii="Arial" w:cs="Arial" w:eastAsia="Arial" w:hAnsi="Arial"/>
          <w:sz w:val="17"/>
          <w:szCs w:val="17"/>
          <w:u w:val="single" w:color="auto"/>
          <w:color w:val="auto"/>
        </w:rPr>
        <w:t>Reliance</w:t>
      </w:r>
      <w:r>
        <w:rPr>
          <w:rFonts w:ascii="Arial" w:cs="Arial" w:eastAsia="Arial" w:hAnsi="Arial"/>
          <w:sz w:val="17"/>
          <w:szCs w:val="17"/>
          <w:color w:val="auto"/>
        </w:rPr>
        <w:t xml:space="preserve">. In rendering such opinions,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copies of any such statements or certificates shall be delivered to Representative’s Counsel if requested.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i w:val="1"/>
          <w:iCs w:val="1"/>
          <w:color w:val="auto"/>
        </w:rPr>
        <w:t xml:space="preserve">4.3. </w:t>
      </w:r>
      <w:r>
        <w:rPr>
          <w:rFonts w:ascii="Arial" w:cs="Arial" w:eastAsia="Arial" w:hAnsi="Arial"/>
          <w:sz w:val="18"/>
          <w:szCs w:val="18"/>
          <w:i w:val="1"/>
          <w:iCs w:val="1"/>
          <w:u w:val="single" w:color="auto"/>
          <w:color w:val="auto"/>
        </w:rPr>
        <w:t>Comfort Letters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Cold Comfort Letter</w:t>
      </w:r>
      <w:r>
        <w:rPr>
          <w:rFonts w:ascii="Arial" w:cs="Arial" w:eastAsia="Arial" w:hAnsi="Arial"/>
          <w:sz w:val="18"/>
          <w:szCs w:val="18"/>
          <w:color w:val="auto"/>
        </w:rPr>
        <w:t>. At the time this Agreement is executed you shall have received a cold comfort letter containing statements and information of the type customarily included in accountants’ comfort letters with respect to the financial statements and certain financial information contained in the Registration Statement, the Pricing Disclosure Package and the Prospectus, addressed to the Representative and in form and substance satisfactory in all respects to you and to the Auditor, dated as of the date of this Agreement.</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xml:space="preserve">. At each of the Closing Date and the Option Closing Date, if any, the Representative shall have received from the Auditor a letter, dated as of the Closing Date or the Option Closing Date, as applicable, to the effect that the Auditor reaffirms the statements made in the letter furnished pursuant to </w:t>
      </w:r>
      <w:r>
        <w:rPr>
          <w:rFonts w:ascii="Arial" w:cs="Arial" w:eastAsia="Arial" w:hAnsi="Arial"/>
          <w:sz w:val="18"/>
          <w:szCs w:val="18"/>
          <w:u w:val="single" w:color="auto"/>
          <w:color w:val="auto"/>
        </w:rPr>
        <w:t>Section 4.3.1,</w:t>
      </w:r>
      <w:r>
        <w:rPr>
          <w:rFonts w:ascii="Arial" w:cs="Arial" w:eastAsia="Arial" w:hAnsi="Arial"/>
          <w:sz w:val="18"/>
          <w:szCs w:val="18"/>
          <w:color w:val="auto"/>
        </w:rPr>
        <w:t xml:space="preserve"> except that the specified date referred to shall be a date not more than three (3) business days prior to the Closing Date or the Option Closing Date, as applicable.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4.4. </w:t>
      </w:r>
      <w:r>
        <w:rPr>
          <w:rFonts w:ascii="Arial" w:cs="Arial" w:eastAsia="Arial" w:hAnsi="Arial"/>
          <w:sz w:val="18"/>
          <w:szCs w:val="18"/>
          <w:i w:val="1"/>
          <w:iCs w:val="1"/>
          <w:u w:val="single" w:color="auto"/>
          <w:color w:val="auto"/>
        </w:rPr>
        <w:t>Officers’ Certificates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6"/>
          <w:szCs w:val="16"/>
          <w:color w:val="auto"/>
        </w:rPr>
        <w:t xml:space="preserve">4.4.1. </w:t>
      </w:r>
      <w:r>
        <w:rPr>
          <w:rFonts w:ascii="Arial" w:cs="Arial" w:eastAsia="Arial" w:hAnsi="Arial"/>
          <w:sz w:val="16"/>
          <w:szCs w:val="16"/>
          <w:u w:val="single" w:color="auto"/>
          <w:color w:val="auto"/>
        </w:rPr>
        <w:t>Officers’ Certificate</w:t>
      </w:r>
      <w:r>
        <w:rPr>
          <w:rFonts w:ascii="Arial" w:cs="Arial" w:eastAsia="Arial" w:hAnsi="Arial"/>
          <w:sz w:val="16"/>
          <w:szCs w:val="16"/>
          <w:color w:val="auto"/>
        </w:rPr>
        <w:t>. The Company shall have furnished to the Representative a certificate, dated the Closing Date and any Option Closing Date (if such date is other than the Closing Date), of its Chief Executive Officer, its President and its Chief Financial Officer stating that (i) such officers have carefully examined the Registration Statement, the Pricing Disclosure Package, any Issuer Free Writing Prospectus and the Prospectus and, in their opinion, the Registration Statement and each amendment thereto, as of the Applicable Time and as of the Closing Date (or any Option Closing Date if such date is other than the Closing Date) did not include any untrue statement of a material fact and did not omit to state a material fact required to be stated therein or necessary to make the statements therein not misleading, and the Pricing Disclosure Package, as of the Applicable Time and as of the Closing Date (or any Option Closing Date if such date is other than the Closing Date), any Issuer Free Writing Prospectus as of its date and as of the Closing Date (or any Option Closing Date if such date is other than the Closing Date), the Prospectus and each amendment or supplement thereto, as of the respective date thereof and as of the Closing Date, did not include any untrue statement of a material fact and did not omit to state a material fact necessary in order to make the statements therein, in the light of the circumstances in which they were made, not misleading, (ii) since the effective date of the Registration Statement, no event has occurred which should have been set forth in a supplement or amendment to the Registration Statement, the Pricing Disclosure Package or the Prospectus, (iii) to the best of their knowledge after reasonable investigation, as of the Closing Date (or any Option Closing Date if such date is other than the Closing Date), the representations and warranties of the Company in this Agreement are true and correct in all material respects (except for those representations and warranties qualified as to materiality, which shall be true and correct in all respects and except for those representations and warranties which refer to facts existing at a specific date, which shall be true and correct as of such date) and the Company has complied with all agreements and satisfied all conditions on its part to be performed or satisfied hereunder at or prior to the Closing Date (or any Option Closing Date if such date is other than the Closing Date), and (iv) there has not been, subsequent to the date of the most recent audited financial statements included or incorporated by reference in the Pricing Disclosure Package, a Material Adverse Change.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jc w:val="both"/>
        <w:ind w:firstLine="1297"/>
        <w:spacing w:after="0" w:line="273" w:lineRule="auto"/>
        <w:rPr>
          <w:sz w:val="20"/>
          <w:szCs w:val="20"/>
          <w:color w:val="auto"/>
        </w:rPr>
      </w:pPr>
      <w:r>
        <w:rPr>
          <w:rFonts w:ascii="Arial" w:cs="Arial" w:eastAsia="Arial" w:hAnsi="Arial"/>
          <w:sz w:val="17"/>
          <w:szCs w:val="17"/>
          <w:color w:val="auto"/>
        </w:rPr>
        <w:t xml:space="preserve">4.4.2. </w:t>
      </w:r>
      <w:r>
        <w:rPr>
          <w:rFonts w:ascii="Arial" w:cs="Arial" w:eastAsia="Arial" w:hAnsi="Arial"/>
          <w:sz w:val="17"/>
          <w:szCs w:val="17"/>
          <w:u w:val="single" w:color="auto"/>
          <w:color w:val="auto"/>
        </w:rPr>
        <w:t>Secretary’s Certificate</w:t>
      </w:r>
      <w:r>
        <w:rPr>
          <w:rFonts w:ascii="Arial" w:cs="Arial" w:eastAsia="Arial" w:hAnsi="Arial"/>
          <w:sz w:val="17"/>
          <w:szCs w:val="17"/>
          <w:color w:val="auto"/>
        </w:rPr>
        <w:t>. At each of the Closing Date and the Option Closing Date, if any, the Representative shall have received a certificate of the Company signed by the Secretary of the Company, dated the Closing Date or the Option Date, as the case may be, respectively, certifying: (i) that each of the Charter and Bylaws is true and complete, has not been modified and is in full force and effect; (ii) that the resolutions of the Company’s Board of Directors (and any pricing committee thereof) relating to the Offering are in full force and effect and have not been modified; (iii) as to the accuracy and completeness of all correspondence between the Company or its counsel and the Commission; and (iv) as to the incumbency of the officers of the Company. The documents referred to in such certificate shall be attached to such certificate.</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4.5. </w:t>
      </w:r>
      <w:r>
        <w:rPr>
          <w:rFonts w:ascii="Arial" w:cs="Arial" w:eastAsia="Arial" w:hAnsi="Arial"/>
          <w:sz w:val="17"/>
          <w:szCs w:val="17"/>
          <w:i w:val="1"/>
          <w:iCs w:val="1"/>
          <w:u w:val="single" w:color="auto"/>
          <w:color w:val="auto"/>
        </w:rPr>
        <w:t>No Material Changes</w:t>
      </w:r>
      <w:r>
        <w:rPr>
          <w:rFonts w:ascii="Arial" w:cs="Arial" w:eastAsia="Arial" w:hAnsi="Arial"/>
          <w:sz w:val="17"/>
          <w:szCs w:val="17"/>
          <w:color w:val="auto"/>
        </w:rPr>
        <w:t>. Prior to and on each of the Closing Date and each Option Closing Date, if any: (i) there shall have been no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Change in the condition or prospects or the business activities, financial or otherwise, of the Company from the latest dates as of which such condition is set forth in the Registration Statement, the Pricing Disclosure Package and the Prospectus; (ii) no action, suit or proceeding, at law or in equity, shall have been pending or threatened against the Company or any Insider before or by any court or federal or state commission, board or other administrative agency wherein an unfavorable decision, ruling or finding may reasonably be expected to cause a Material Adverse Change, except as set forth in the Registration Statement, the Pricing Disclosure Package and the Prospectus; (iii) no stop order shall have been issued under the Securities Act and no proceedings therefor shall have been initiated or threatened by the Commission; and (iv) the Registration Statement, the Pricing Disclosure Package and the Prospectus and any amendments or supplements thereto shall contain all material statements which are required to be stated therein in accordance with the Securities Act and the Securities Act Regulations and shall conform in all material respects to the requirements of the Securities Act and the Securities Act Regulations, and neither the Registration Statement, the Pricing Disclosure Package nor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4.6. </w:t>
      </w:r>
      <w:r>
        <w:rPr>
          <w:rFonts w:ascii="Arial" w:cs="Arial" w:eastAsia="Arial" w:hAnsi="Arial"/>
          <w:sz w:val="18"/>
          <w:szCs w:val="18"/>
          <w:i w:val="1"/>
          <w:iCs w:val="1"/>
          <w:u w:val="single" w:color="auto"/>
          <w:color w:val="auto"/>
        </w:rPr>
        <w:t>Delivery of Agreements</w:t>
      </w:r>
      <w:r>
        <w:rPr>
          <w:rFonts w:ascii="Arial" w:cs="Arial" w:eastAsia="Arial" w:hAnsi="Arial"/>
          <w:sz w:val="18"/>
          <w:szCs w:val="18"/>
          <w:color w:val="auto"/>
        </w:rPr>
        <w:t>.</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4.6.1. </w:t>
      </w:r>
      <w:r>
        <w:rPr>
          <w:rFonts w:ascii="Arial" w:cs="Arial" w:eastAsia="Arial" w:hAnsi="Arial"/>
          <w:sz w:val="18"/>
          <w:szCs w:val="18"/>
          <w:u w:val="single" w:color="auto"/>
          <w:color w:val="auto"/>
        </w:rPr>
        <w:t>Lock-Up Agreements</w:t>
      </w:r>
      <w:r>
        <w:rPr>
          <w:rFonts w:ascii="Arial" w:cs="Arial" w:eastAsia="Arial" w:hAnsi="Arial"/>
          <w:sz w:val="18"/>
          <w:szCs w:val="18"/>
          <w:color w:val="auto"/>
        </w:rPr>
        <w:t xml:space="preserve">. On or before the date of this Agreement, the Company shall have delivered to the Representative executed copies of the Lock-Up Agreements from each of the persons listed in </w:t>
      </w:r>
      <w:r>
        <w:rPr>
          <w:rFonts w:ascii="Arial" w:cs="Arial" w:eastAsia="Arial" w:hAnsi="Arial"/>
          <w:sz w:val="18"/>
          <w:szCs w:val="18"/>
          <w:u w:val="single" w:color="auto"/>
          <w:color w:val="auto"/>
        </w:rPr>
        <w:t>Schedule 3</w:t>
      </w:r>
      <w:r>
        <w:rPr>
          <w:rFonts w:ascii="Arial" w:cs="Arial" w:eastAsia="Arial" w:hAnsi="Arial"/>
          <w:sz w:val="18"/>
          <w:szCs w:val="18"/>
          <w:color w:val="auto"/>
        </w:rPr>
        <w:t xml:space="preserve"> hereto.</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4.7. </w:t>
      </w:r>
      <w:r>
        <w:rPr>
          <w:rFonts w:ascii="Arial" w:cs="Arial" w:eastAsia="Arial" w:hAnsi="Arial"/>
          <w:sz w:val="18"/>
          <w:szCs w:val="18"/>
          <w:i w:val="1"/>
          <w:iCs w:val="1"/>
          <w:u w:val="single" w:color="auto"/>
          <w:color w:val="auto"/>
        </w:rPr>
        <w:t>Additional Documents</w:t>
      </w:r>
      <w:r>
        <w:rPr>
          <w:rFonts w:ascii="Arial" w:cs="Arial" w:eastAsia="Arial" w:hAnsi="Arial"/>
          <w:sz w:val="18"/>
          <w:szCs w:val="18"/>
          <w:color w:val="auto"/>
        </w:rPr>
        <w:t>. At the Closing Date and at each Option Closing Date (if any) Representative’s Counsel shall have been furnished with</w:t>
      </w:r>
      <w:r>
        <w:rPr>
          <w:rFonts w:ascii="Arial" w:cs="Arial" w:eastAsia="Arial" w:hAnsi="Arial"/>
          <w:sz w:val="18"/>
          <w:szCs w:val="18"/>
          <w:i w:val="1"/>
          <w:iCs w:val="1"/>
          <w:color w:val="auto"/>
        </w:rPr>
        <w:t xml:space="preserve"> </w:t>
      </w:r>
      <w:r>
        <w:rPr>
          <w:rFonts w:ascii="Arial" w:cs="Arial" w:eastAsia="Arial" w:hAnsi="Arial"/>
          <w:sz w:val="18"/>
          <w:szCs w:val="18"/>
          <w:color w:val="auto"/>
        </w:rPr>
        <w:t>such documents and opinions as they may require for the purpose of enabling Representative’s Counsel to deliver an opinion to the Underwriters, or in order to evidence the accuracy of any of the representations or warranties, or the fulfillment of any of the conditions, herein contained; and all proceedings taken by the Company in connection with the issuance and sale of the Shares and the Underwriters’ Warrants as herein contemplated shall be satisfactory in form and substance to the Representative and Representative’s Counsel.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180" w:hanging="172"/>
        <w:spacing w:after="0"/>
        <w:tabs>
          <w:tab w:leader="none" w:pos="180" w:val="left"/>
        </w:tabs>
        <w:numPr>
          <w:ilvl w:val="0"/>
          <w:numId w:val="14"/>
        </w:numPr>
        <w:rPr>
          <w:rFonts w:ascii="Arial" w:cs="Arial" w:eastAsia="Arial" w:hAnsi="Arial"/>
          <w:sz w:val="18"/>
          <w:szCs w:val="18"/>
          <w:b w:val="1"/>
          <w:bCs w:val="1"/>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5.1. </w:t>
      </w:r>
      <w:r>
        <w:rPr>
          <w:rFonts w:ascii="Arial" w:cs="Arial" w:eastAsia="Arial" w:hAnsi="Arial"/>
          <w:sz w:val="18"/>
          <w:szCs w:val="18"/>
          <w:i w:val="1"/>
          <w:iCs w:val="1"/>
          <w:u w:val="single" w:color="auto"/>
          <w:color w:val="auto"/>
        </w:rPr>
        <w:t>Indemnification of the Underwriters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General</w:t>
      </w:r>
      <w:r>
        <w:rPr>
          <w:rFonts w:ascii="Arial" w:cs="Arial" w:eastAsia="Arial" w:hAnsi="Arial"/>
          <w:sz w:val="16"/>
          <w:szCs w:val="16"/>
          <w:color w:val="auto"/>
        </w:rPr>
        <w:t>. Subject to the conditions set forth below, the Company agrees to indemnify and hold harmless each Underwriter, its affiliates and each of its and their respective directors, officers, members, employees, representatives, partners, shareholders, affiliates, counsel, and agents and each person, if any, who controls any such Underwriter within the meaning of Section 15 of the Securities Act or Section 20 of the Exchange Act (collectively the “</w:t>
      </w:r>
      <w:r>
        <w:rPr>
          <w:rFonts w:ascii="Arial" w:cs="Arial" w:eastAsia="Arial" w:hAnsi="Arial"/>
          <w:sz w:val="16"/>
          <w:szCs w:val="16"/>
          <w:b w:val="1"/>
          <w:bCs w:val="1"/>
          <w:color w:val="auto"/>
        </w:rPr>
        <w:t>Underwriter Indemnified Parties</w:t>
      </w:r>
      <w:r>
        <w:rPr>
          <w:rFonts w:ascii="Arial" w:cs="Arial" w:eastAsia="Arial" w:hAnsi="Arial"/>
          <w:sz w:val="16"/>
          <w:szCs w:val="16"/>
          <w:color w:val="auto"/>
        </w:rPr>
        <w:t>,” and each an “</w:t>
      </w:r>
      <w:r>
        <w:rPr>
          <w:rFonts w:ascii="Arial" w:cs="Arial" w:eastAsia="Arial" w:hAnsi="Arial"/>
          <w:sz w:val="16"/>
          <w:szCs w:val="16"/>
          <w:b w:val="1"/>
          <w:bCs w:val="1"/>
          <w:color w:val="auto"/>
        </w:rPr>
        <w:t>Underwriter Indemnified Party</w:t>
      </w:r>
      <w:r>
        <w:rPr>
          <w:rFonts w:ascii="Arial" w:cs="Arial" w:eastAsia="Arial" w:hAnsi="Arial"/>
          <w:sz w:val="16"/>
          <w:szCs w:val="16"/>
          <w:color w:val="auto"/>
        </w:rPr>
        <w: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to which they or any of them may become subject under the Securities Act, the Exchange Act or any other statute or at common law or otherwise or under the laws of foreign countries (a “</w:t>
      </w:r>
      <w:r>
        <w:rPr>
          <w:rFonts w:ascii="Arial" w:cs="Arial" w:eastAsia="Arial" w:hAnsi="Arial"/>
          <w:sz w:val="16"/>
          <w:szCs w:val="16"/>
          <w:b w:val="1"/>
          <w:bCs w:val="1"/>
          <w:color w:val="auto"/>
        </w:rPr>
        <w:t>Claim</w:t>
      </w:r>
      <w:r>
        <w:rPr>
          <w:rFonts w:ascii="Arial" w:cs="Arial" w:eastAsia="Arial" w:hAnsi="Arial"/>
          <w:sz w:val="16"/>
          <w:szCs w:val="16"/>
          <w:color w:val="auto"/>
        </w:rPr>
        <w:t xml:space="preserve">”), arising out of or based upon any untrue statement or alleged untrue statement of a material fact contained, or the omission or alleged omission therefrom of a material fact required to be stated therein or necessary to make the statements therein, in the light of the circumstances under which they were made, not misleading, in (A) the Registration Statement, the Pricing Disclosure Package, any Preliminary Prospectus, the Prospectus, or in any Issuer Free Writing Prospectus or in any Written Testing-the-Waters Communication (as from time to time each may be amended and supplemented); (B) any materials or information provided to investors by, or with the approval of, the Company in connection with the marketing of the Offering, including any “road show” or investor presentations made to investors by the Company (whether in person or electronically); or (C) any application or other document or written communication (in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w:t>
      </w:r>
      <w:r>
        <w:rPr>
          <w:rFonts w:ascii="Arial" w:cs="Arial" w:eastAsia="Arial" w:hAnsi="Arial"/>
          <w:sz w:val="16"/>
          <w:szCs w:val="16"/>
          <w:color w:val="auto"/>
        </w:rPr>
        <w:t xml:space="preserve"> collectively called “application”) executed by the Company or based upon written information furnished by the Company in any jurisdiction in order to qualify the Shares and Underwriters’ Warrants under the securities laws thereof or filed with the Commission, any state securities commission or agency, the Exchange or any other national securities exchange; unless such statement or omission was made in reliance upon, and in conformity with, the Underwriters’ Information .. With respect to any untrue statement or omission or alleged untrue statement or omission made in the Registration Statement, Pricing Disclosure Package or Prospectus, the indemnity agreement contained in this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shall not inure to the benefit of any Underwriter Indemnified Party to the extent that any loss, liability, claim, damage or expense of such Underwriter Indemnified Party results from the fact that a copy of the Prospectus was not given or sent to the person asserting any such loss, liability, claim or damage at or prior to the written confirmation of sale of the Shares to such person as required by the Securities Act and the Securities Act Regulations, and if the untrue statement or omission has been corrected in the Prospectus, unless such failure to deliver the Prospectus was a result of non-compliance by the Company with its obligations under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hereof. The Company also agrees that it will reimburse each Underwriter Indemnified Party for all fees and expenses (including but not limited to any and all legal or other expenses reasonably incurred in investigating, preparing or defending against any litigation, commenced or threatened, or any claim whatsoever, whether arising out of any action between any of the Underwriter Indemnified Parties and the Company or between any of the Underwriter Indemnified Parties and any third party, or otherwise) (collectively, the “</w:t>
      </w:r>
      <w:r>
        <w:rPr>
          <w:rFonts w:ascii="Arial" w:cs="Arial" w:eastAsia="Arial" w:hAnsi="Arial"/>
          <w:sz w:val="16"/>
          <w:szCs w:val="16"/>
          <w:b w:val="1"/>
          <w:bCs w:val="1"/>
          <w:color w:val="auto"/>
        </w:rPr>
        <w:t>Expenses</w:t>
      </w:r>
      <w:r>
        <w:rPr>
          <w:rFonts w:ascii="Arial" w:cs="Arial" w:eastAsia="Arial" w:hAnsi="Arial"/>
          <w:sz w:val="16"/>
          <w:szCs w:val="16"/>
          <w:color w:val="auto"/>
        </w:rPr>
        <w:t>”), and further agrees wherever and whenever possible to advance payment of Expenses as they are incurred by an Underwriter Indemnified Party in investigating, preparing, pursuing or defending any Claim.</w:t>
      </w:r>
    </w:p>
    <w:p>
      <w:pPr>
        <w:spacing w:after="0" w:line="388" w:lineRule="exact"/>
        <w:rPr>
          <w:sz w:val="20"/>
          <w:szCs w:val="20"/>
          <w:color w:val="auto"/>
        </w:rPr>
      </w:pPr>
    </w:p>
    <w:p>
      <w:pPr>
        <w:jc w:val="both"/>
        <w:ind w:firstLine="1361"/>
        <w:spacing w:after="0" w:line="268"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Procedure</w:t>
      </w:r>
      <w:r>
        <w:rPr>
          <w:rFonts w:ascii="Arial" w:cs="Arial" w:eastAsia="Arial" w:hAnsi="Arial"/>
          <w:sz w:val="17"/>
          <w:szCs w:val="17"/>
          <w:color w:val="auto"/>
        </w:rPr>
        <w:t xml:space="preserve">. If any action is brought against an Underwriter Indemnified Party in respect of which indemnity may be sought against the Company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such Underwriter Indemnified Party shall promptly notify the Company in writing of the institution of such action and the Company shall assume the defense of such action, including the employment and fees of counsel (subject to the approval of such Underwriter Indemnified Party) and payment of actual expenses if an Underwriter Indemnified Party requests that the Company do so. Such Underwriter Indemnified Party shall have the right to employ its or their own counsel in any such case, and the fees and expenses of such counsel shall be at the expense of the Company and shall be advanced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obligated to bear the reasonable fees and expenses of more than one firm of attorneys selected by the Underwriter Indemnified Party (in addition to local counsel). Notwithstanding anything to the contrary contained herein, and provided that the Company has timely honored its obligations under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the Company shall have the right to approve the terms of any settlement of such action, which approval shall not be unreasonably withheld. The Company shall not be liable for any settlement of any action effected without its consent (which shall not be unreasonably withheld). In addition, the Company shall not, without the prior written consent of the Underwriters (which consent shall not be unreasonably withheld), settle, compromise or consent to the entry of any judgment in or otherwise seek to terminate any pending or threatened action in respect of which advancement, reimbursement, indemnification or contribution may be sought hereunder (whether or not such Underwriter Indemnified Party is a party thereto) unless such settlement, compromise, consent or termination (i) includes an unconditional release of each Underwriter Indemnified Party, acceptable to such Underwriter Indemnified Party, from all liabilities, expenses and claims arising out of such action for which indemnification or contribution may be sought and (ii) does not include a statement as to or an admission of fault, culpability or a failure to act, by or on behalf of any Underwriter Indemnified Party.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5.2. </w:t>
      </w:r>
      <w:r>
        <w:rPr>
          <w:rFonts w:ascii="Arial" w:cs="Arial" w:eastAsia="Arial" w:hAnsi="Arial"/>
          <w:sz w:val="17"/>
          <w:szCs w:val="17"/>
          <w:i w:val="1"/>
          <w:iCs w:val="1"/>
          <w:u w:val="single" w:color="auto"/>
          <w:color w:val="auto"/>
        </w:rPr>
        <w:t>Indemnification of the Company</w:t>
      </w:r>
      <w:r>
        <w:rPr>
          <w:rFonts w:ascii="Arial" w:cs="Arial" w:eastAsia="Arial" w:hAnsi="Arial"/>
          <w:sz w:val="17"/>
          <w:szCs w:val="17"/>
          <w:color w:val="auto"/>
        </w:rPr>
        <w:t>. Each Underwriter, severally and not jointly, agrees to indemnify and hold harmless the Company, its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its officers who signed the Registration Statement and persons who control the Company within the meaning of Section 15 of the Securities Act or Section 20 of the Exchange Act against any and all loss, liability, claim, damage and expense described in the foregoing indemnity from the Company to the several Underwriters, as incurred, but only with respect to such losses, liabilities, claims, damages and expenses (or actions in respect thereof) which arise out of or are based upon untrue statements or omissions, or alleged untrue statements or omissions made in the Registration Statement, any Preliminary Prospectus, the Pricing Disclosure Package or Prospectus or any amendment or supplement thereto or in any application, in reliance upon, and in conformity with, the Underwriters’ Information. In case any action shall be brought against the Company or any other person so indemnified based on any Preliminary Prospectus, the Registration Statement, the Pricing Disclosure Package or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Arial" w:cs="Arial" w:eastAsia="Arial" w:hAnsi="Arial"/>
          <w:sz w:val="17"/>
          <w:szCs w:val="17"/>
          <w:u w:val="single" w:color="auto"/>
          <w:color w:val="auto"/>
        </w:rPr>
        <w:t>Section 5.1.2.</w:t>
      </w:r>
      <w:r>
        <w:rPr>
          <w:rFonts w:ascii="Arial" w:cs="Arial" w:eastAsia="Arial" w:hAnsi="Arial"/>
          <w:sz w:val="17"/>
          <w:szCs w:val="17"/>
          <w:color w:val="auto"/>
        </w:rPr>
        <w:t xml:space="preserve"> The Company agrees promptly to notify the Representative of the commencement of any litigation or proceedings against the Company or any of its officers, directors or any person, if any, who controls the Company within the meaning of Section 15 of the Securities Act or Section 20 of the Exchange Act, in connection with the issuance and sale of the Shares or in connection with the Registration Statement, the Pricing Disclosure Package, the Prospectus, or any Issuer Free Writing Prospectus or any Written Testing-the-Waters Communication.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5.3. </w:t>
      </w:r>
      <w:r>
        <w:rPr>
          <w:rFonts w:ascii="Arial" w:cs="Arial" w:eastAsia="Arial" w:hAnsi="Arial"/>
          <w:sz w:val="18"/>
          <w:szCs w:val="18"/>
          <w:i w:val="1"/>
          <w:iCs w:val="1"/>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u w:val="single" w:color="auto"/>
          <w:color w:val="auto"/>
        </w:rPr>
        <w:t>Contribution Rights</w:t>
      </w:r>
      <w:r>
        <w:rPr>
          <w:rFonts w:ascii="Arial" w:cs="Arial" w:eastAsia="Arial" w:hAnsi="Arial"/>
          <w:sz w:val="16"/>
          <w:szCs w:val="16"/>
          <w:color w:val="auto"/>
        </w:rPr>
        <w:t xml:space="preserve">. If the indemnification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for any reason be unavailable to or insufficient to hold harmless an indemnified party under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in respect of any loss, claim, damage or liability, or any action in respect thereof, referred to therein, then each indemnifying party shall, in lieu of indemnifying such indemnified party, contribute to the amount paid or payable by such indemnified party as a result of such loss, claim, damage or liability, or action in respect thereof, (i) in such proportion as shall be appropriate to reflect the relative benefits received by the Company, on the one hand, and the Underwriters, on the other, from the Offering of the Shares, or (ii) if the allocation provided by clause (i) above is not permitted by applicable law, in such proportion as is appropriate to reflect not only the relative benefits referred to in clause (i) above but also the relative fault of the Company, on the one hand, and the Underwriters, on the other, with respect to the statements or omissions that resulted in such loss, claim, damage or liability, or action in respect thereof, as well as any other relevant equitable considerations. The relative benefits received by the Company, on the one hand, and the Underwriters, on the other, with respect to such Offering shall be deemed to be in the same proportion as the total net proceeds from the Offering of the Shares purchased under this Agreement (before deducting expenses) received by the Company, as set forth in the table on the cover page of the Prospectus, on the one hand, and the total underwriting discounts and commissions received by the Underwriters with respect to the Securities purchased under this Agreement, as set forth in the table on the cover page of the Prospectus, on the other hand. The relative fault shall be determined by reference to whether the untrue or alleged untrue statement of a material fact or omission or alleged omission to state a material fact relates to information supplied by the Company or the Underwriters, the intent of the parties and their relative knowledge, access to information and opportunity to correct or prevent such statement or omission. The Company and the Underwriters agree that it would not be just and equitable if contributions pursuant to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were to be determined by pro rata allocation (even if the Underwriters were treated as one entity for such purpose) or by any other method of allocation that does not take into account the equitable considerations referred to herein. The amount paid or payable by an indemnified party as a result of the loss, claim, damage or liability, or action in respect thereof, referred to above in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shall be deemed to include, for purposes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any legal or other expenses reasonably incurred by such indemnified party in connection with investigating or defending any such action or claim. Notwithstanding the provisions of this </w:t>
      </w:r>
      <w:r>
        <w:rPr>
          <w:rFonts w:ascii="Arial" w:cs="Arial" w:eastAsia="Arial" w:hAnsi="Arial"/>
          <w:sz w:val="16"/>
          <w:szCs w:val="16"/>
          <w:u w:val="single" w:color="auto"/>
          <w:color w:val="auto"/>
        </w:rPr>
        <w:t>Section 5.3.1</w:t>
      </w:r>
      <w:r>
        <w:rPr>
          <w:rFonts w:ascii="Arial" w:cs="Arial" w:eastAsia="Arial" w:hAnsi="Arial"/>
          <w:sz w:val="16"/>
          <w:szCs w:val="16"/>
          <w:color w:val="auto"/>
        </w:rPr>
        <w:t xml:space="preserve"> in no event shall an Underwriter be required to contribute any amount in excess of the amount by which the total underwriting discounts and commissions received by such Underwriter with respect to the Offering of the Shares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1297"/>
        <w:spacing w:after="0" w:line="288" w:lineRule="auto"/>
        <w:rPr>
          <w:sz w:val="20"/>
          <w:szCs w:val="20"/>
          <w:color w:val="auto"/>
        </w:rPr>
      </w:pPr>
      <w:r>
        <w:rPr>
          <w:rFonts w:ascii="Arial" w:cs="Arial" w:eastAsia="Arial" w:hAnsi="Arial"/>
          <w:sz w:val="16"/>
          <w:szCs w:val="16"/>
          <w:color w:val="auto"/>
        </w:rPr>
        <w:t xml:space="preserve">5.3.2. </w:t>
      </w:r>
      <w:r>
        <w:rPr>
          <w:rFonts w:ascii="Arial" w:cs="Arial" w:eastAsia="Arial" w:hAnsi="Arial"/>
          <w:sz w:val="16"/>
          <w:szCs w:val="16"/>
          <w:u w:val="single" w:color="auto"/>
          <w:color w:val="auto"/>
        </w:rPr>
        <w:t>Contribution Procedure</w:t>
      </w:r>
      <w:r>
        <w:rPr>
          <w:rFonts w:ascii="Arial" w:cs="Arial" w:eastAsia="Arial" w:hAnsi="Arial"/>
          <w:sz w:val="16"/>
          <w:szCs w:val="16"/>
          <w:color w:val="auto"/>
        </w:rPr>
        <w:t xml:space="preserve">. Within fifteen (15) days after receipt by any party to this Agreement (or its representative) of notice of the commencement of any action, suit or proceeding, such party will, if a claim for contribution in respect thereof is to be made against another party (“contributing party”),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on account of any settlement of any claim, action or proceeding affected by such party seeking contribution without the written consent of such contributing party. The contribution provisions contained in this </w:t>
      </w:r>
      <w:r>
        <w:rPr>
          <w:rFonts w:ascii="Arial" w:cs="Arial" w:eastAsia="Arial" w:hAnsi="Arial"/>
          <w:sz w:val="16"/>
          <w:szCs w:val="16"/>
          <w:u w:val="single" w:color="auto"/>
          <w:color w:val="auto"/>
        </w:rPr>
        <w:t>Section 5.3.2</w:t>
      </w:r>
      <w:r>
        <w:rPr>
          <w:rFonts w:ascii="Arial" w:cs="Arial" w:eastAsia="Arial" w:hAnsi="Arial"/>
          <w:sz w:val="16"/>
          <w:szCs w:val="16"/>
          <w:color w:val="auto"/>
        </w:rPr>
        <w:t xml:space="preserve"> are intended to supersede, to the extent permitted by law, any right to contribution under the Securities Act, the Exchange Act or otherwise available. Each Underwriter’s obligations to contribute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are several and not joint.</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5.4. </w:t>
      </w:r>
      <w:r>
        <w:rPr>
          <w:rFonts w:ascii="Arial" w:cs="Arial" w:eastAsia="Arial" w:hAnsi="Arial"/>
          <w:sz w:val="17"/>
          <w:szCs w:val="17"/>
          <w:i w:val="1"/>
          <w:iCs w:val="1"/>
          <w:u w:val="single" w:color="auto"/>
          <w:color w:val="auto"/>
        </w:rPr>
        <w:t>Escrow Account</w:t>
      </w:r>
      <w:r>
        <w:rPr>
          <w:rFonts w:ascii="Arial" w:cs="Arial" w:eastAsia="Arial" w:hAnsi="Arial"/>
          <w:sz w:val="17"/>
          <w:szCs w:val="17"/>
          <w:color w:val="auto"/>
        </w:rPr>
        <w:t>. At Closing, the Company shall establish an escrow fund in the amount of USD $200,000 in an escrow account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Continental Stock Transfer &amp; Trust Company to be released to the Underwriters in the connection with the payments of Company’s indemnification obligations pursuant to this </w:t>
      </w:r>
      <w:r>
        <w:rPr>
          <w:rFonts w:ascii="Arial" w:cs="Arial" w:eastAsia="Arial" w:hAnsi="Arial"/>
          <w:sz w:val="17"/>
          <w:szCs w:val="17"/>
          <w:u w:val="single" w:color="auto"/>
          <w:color w:val="auto"/>
        </w:rPr>
        <w:t>Section 5</w:t>
      </w:r>
      <w:r>
        <w:rPr>
          <w:rFonts w:ascii="Arial" w:cs="Arial" w:eastAsia="Arial" w:hAnsi="Arial"/>
          <w:sz w:val="17"/>
          <w:szCs w:val="17"/>
          <w:color w:val="auto"/>
        </w:rPr>
        <w:t>. The escrow account will remain in place for a period of eighteen (18) months from the date of this Agreement.</w:t>
      </w:r>
    </w:p>
    <w:p>
      <w:pPr>
        <w:spacing w:after="0" w:line="166"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18"/>
          <w:szCs w:val="18"/>
          <w:b w:val="1"/>
          <w:bCs w:val="1"/>
          <w:color w:val="auto"/>
        </w:rPr>
      </w:pPr>
      <w:r>
        <w:rPr>
          <w:rFonts w:ascii="Arial" w:cs="Arial" w:eastAsia="Arial" w:hAnsi="Arial"/>
          <w:sz w:val="18"/>
          <w:szCs w:val="18"/>
          <w:u w:val="single" w:color="auto"/>
          <w:color w:val="auto"/>
        </w:rPr>
        <w:t>Default by an Underwriter</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6.1. </w:t>
      </w:r>
      <w:r>
        <w:rPr>
          <w:rFonts w:ascii="Arial" w:cs="Arial" w:eastAsia="Arial" w:hAnsi="Arial"/>
          <w:sz w:val="18"/>
          <w:szCs w:val="18"/>
          <w:i w:val="1"/>
          <w:iCs w:val="1"/>
          <w:u w:val="single" w:color="auto"/>
          <w:color w:val="auto"/>
        </w:rPr>
        <w:t>Default Not Exceeding 10% of Firm Shares or Option Shares</w:t>
      </w:r>
      <w:r>
        <w:rPr>
          <w:rFonts w:ascii="Arial" w:cs="Arial" w:eastAsia="Arial" w:hAnsi="Arial"/>
          <w:sz w:val="18"/>
          <w:szCs w:val="18"/>
          <w:color w:val="auto"/>
        </w:rPr>
        <w:t>. If any Underwriter or Underwriters shall default in its or their obligations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the Firm Shares or the Option Shares, if the Over-allotment Option is exercised hereunder, and if the number of the Firm Shares or Option Shares with respect to which such default relates does not exceed in the aggregate 10% of the number of Firm Shares or Option Shares that all Underwriters have agreed to purchase hereunder, then such Firm Shares or Option Shares to which the default relates shall be purchased by the non-defaulting Underwriters in proportion to their respective commitments hereunder.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6.2. </w:t>
      </w:r>
      <w:r>
        <w:rPr>
          <w:rFonts w:ascii="Arial" w:cs="Arial" w:eastAsia="Arial" w:hAnsi="Arial"/>
          <w:sz w:val="17"/>
          <w:szCs w:val="17"/>
          <w:i w:val="1"/>
          <w:iCs w:val="1"/>
          <w:u w:val="single" w:color="auto"/>
          <w:color w:val="auto"/>
        </w:rPr>
        <w:t>Default Exceeding 10% of Firm Shares or Option Shares</w:t>
      </w:r>
      <w:r>
        <w:rPr>
          <w:rFonts w:ascii="Arial" w:cs="Arial" w:eastAsia="Arial" w:hAnsi="Arial"/>
          <w:sz w:val="17"/>
          <w:szCs w:val="17"/>
          <w:color w:val="auto"/>
        </w:rPr>
        <w:t>. In the event that the default addressed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6.1</w:t>
      </w:r>
      <w:r>
        <w:rPr>
          <w:rFonts w:ascii="Arial" w:cs="Arial" w:eastAsia="Arial" w:hAnsi="Arial"/>
          <w:sz w:val="17"/>
          <w:szCs w:val="17"/>
          <w:i w:val="1"/>
          <w:iCs w:val="1"/>
          <w:color w:val="auto"/>
        </w:rPr>
        <w:t xml:space="preserve"> </w:t>
      </w:r>
      <w:r>
        <w:rPr>
          <w:rFonts w:ascii="Arial" w:cs="Arial" w:eastAsia="Arial" w:hAnsi="Arial"/>
          <w:sz w:val="17"/>
          <w:szCs w:val="17"/>
          <w:color w:val="auto"/>
        </w:rPr>
        <w:t>relates to more than 10%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Firm Shares or Option Shares, you may in your discretion arrange for yourself or for another party or parties to purchase such Firm Shares or Option Shares to which such default relates on the terms contained herein. If, within one (1) Business Day after such default relating to more than 10% of the Firm Shares or Option Shares, you do not arrange for the purchase of such Firm Shares or Option Shares, then the Company shall be entitled to a further period of one (1) Business Day within which to procure another party or parties satisfactory to you to purchase said Firm Shares or Option Shares on such terms. In the event that neither you nor the Company arrange for the purchase of the Firm Shares or Option Shares to which a default relates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this Agreement will automatically be terminated by you or the Company without liability on the part of the Company (except as provided in Sections </w:t>
      </w:r>
      <w:r>
        <w:rPr>
          <w:rFonts w:ascii="Arial" w:cs="Arial" w:eastAsia="Arial" w:hAnsi="Arial"/>
          <w:sz w:val="17"/>
          <w:szCs w:val="17"/>
          <w:u w:val="single" w:color="auto"/>
          <w:color w:val="auto"/>
        </w:rPr>
        <w:t>8.3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5</w:t>
      </w:r>
      <w:r>
        <w:rPr>
          <w:rFonts w:ascii="Arial" w:cs="Arial" w:eastAsia="Arial" w:hAnsi="Arial"/>
          <w:sz w:val="17"/>
          <w:szCs w:val="17"/>
          <w:color w:val="auto"/>
        </w:rPr>
        <w:t xml:space="preserve"> hereof) or the several Underwriters (except as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if such default occurs with respect to the Option Shares, this Agreement will not terminate as to the Firm Shares;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nothing herein shall relieve a defaulting Underwriter of its liability, if any, to the other Underwriters and to the Company for damages occasioned by its default hereunder.</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6.3. </w:t>
      </w:r>
      <w:r>
        <w:rPr>
          <w:rFonts w:ascii="Arial" w:cs="Arial" w:eastAsia="Arial" w:hAnsi="Arial"/>
          <w:sz w:val="16"/>
          <w:szCs w:val="16"/>
          <w:i w:val="1"/>
          <w:iCs w:val="1"/>
          <w:u w:val="single" w:color="auto"/>
          <w:color w:val="auto"/>
        </w:rPr>
        <w:t>Postponement of Closing Date</w:t>
      </w:r>
      <w:r>
        <w:rPr>
          <w:rFonts w:ascii="Arial" w:cs="Arial" w:eastAsia="Arial" w:hAnsi="Arial"/>
          <w:sz w:val="16"/>
          <w:szCs w:val="16"/>
          <w:color w:val="auto"/>
        </w:rPr>
        <w:t xml:space="preserve">. In the event that the Firm Shares or Option Shares to which the default relates are to be purchased by the non-defaulting Underwriters, or are to be purchased by another party or parties as aforesaid, you or the Company shall have the right to postpone the Closing Date or Option Closing Date for a reasonable period, but not in any event exceeding five (5) Business Days, in order to effect whatever changes may thereby be made necessary in the Registration Statement, the Pricing Disclosure Package or the Prospectus or in any other documents and arrangements, and the Company agrees to file promptly any amendment to the Registration Statement, the Pricing Disclosure Package or the Prospectus that in the opinion of counsel for the Underwriter may thereby be made necessary. The term “Underwriter” as used in this Agreement shall include any party substituted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with like effect as if it had originally been a party to this Agreement with respect to such Firm Shares or Option Shares.</w:t>
      </w:r>
    </w:p>
    <w:p>
      <w:pPr>
        <w:spacing w:after="0" w:line="167"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b w:val="1"/>
          <w:bCs w:val="1"/>
          <w:color w:val="auto"/>
        </w:rPr>
      </w:pPr>
      <w:r>
        <w:rPr>
          <w:rFonts w:ascii="Arial" w:cs="Arial" w:eastAsia="Arial" w:hAnsi="Arial"/>
          <w:sz w:val="18"/>
          <w:szCs w:val="18"/>
          <w:u w:val="single" w:color="auto"/>
          <w:color w:val="auto"/>
        </w:rPr>
        <w:t>Additional Covenants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7.1. </w:t>
      </w:r>
      <w:r>
        <w:rPr>
          <w:rFonts w:ascii="Arial" w:cs="Arial" w:eastAsia="Arial" w:hAnsi="Arial"/>
          <w:sz w:val="17"/>
          <w:szCs w:val="17"/>
          <w:i w:val="1"/>
          <w:iCs w:val="1"/>
          <w:u w:val="single" w:color="auto"/>
          <w:color w:val="auto"/>
        </w:rPr>
        <w:t>Board Composition and Board Designations</w:t>
      </w:r>
      <w:r>
        <w:rPr>
          <w:rFonts w:ascii="Arial" w:cs="Arial" w:eastAsia="Arial" w:hAnsi="Arial"/>
          <w:sz w:val="17"/>
          <w:szCs w:val="17"/>
          <w:color w:val="auto"/>
        </w:rPr>
        <w:t>. The Company shall ensure that: (i) the qualifications of the persons serving as members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and the overall composition of the Board comply with the Sarbanes-Oxley Act, with the Exchange Act and with the listing rules of the Exchange or any other national securities exchange, as the case may be, in the event the Company seeks to have its Shares listed on another exchange or quoted on an automated quotation system, and (ii) if applicable, at least one member of the Audit Committee of the Board of Directors qualifies as an “audit committee financial expert,” as such term is defined under Regulation S-K and the listing rules of the Exchange.</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7.2. </w:t>
      </w:r>
      <w:r>
        <w:rPr>
          <w:rFonts w:ascii="Arial" w:cs="Arial" w:eastAsia="Arial" w:hAnsi="Arial"/>
          <w:sz w:val="17"/>
          <w:szCs w:val="17"/>
          <w:i w:val="1"/>
          <w:iCs w:val="1"/>
          <w:u w:val="single" w:color="auto"/>
          <w:color w:val="auto"/>
        </w:rPr>
        <w:t>Right of First Refusal</w:t>
      </w:r>
      <w:r>
        <w:rPr>
          <w:rFonts w:ascii="Arial" w:cs="Arial" w:eastAsia="Arial" w:hAnsi="Arial"/>
          <w:sz w:val="17"/>
          <w:szCs w:val="17"/>
          <w:color w:val="auto"/>
        </w:rPr>
        <w:t>. Provided that the Shares are sold in accordance with the terms of this Agreement, the Representative shall have an</w:t>
      </w:r>
      <w:r>
        <w:rPr>
          <w:rFonts w:ascii="Arial" w:cs="Arial" w:eastAsia="Arial" w:hAnsi="Arial"/>
          <w:sz w:val="17"/>
          <w:szCs w:val="17"/>
          <w:i w:val="1"/>
          <w:iCs w:val="1"/>
          <w:color w:val="auto"/>
        </w:rPr>
        <w:t xml:space="preserve"> </w:t>
      </w:r>
      <w:r>
        <w:rPr>
          <w:rFonts w:ascii="Arial" w:cs="Arial" w:eastAsia="Arial" w:hAnsi="Arial"/>
          <w:sz w:val="17"/>
          <w:szCs w:val="17"/>
          <w:color w:val="auto"/>
        </w:rPr>
        <w:t>irrevocable right of first refusal (the “</w:t>
      </w:r>
      <w:r>
        <w:rPr>
          <w:rFonts w:ascii="Arial" w:cs="Arial" w:eastAsia="Arial" w:hAnsi="Arial"/>
          <w:sz w:val="17"/>
          <w:szCs w:val="17"/>
          <w:b w:val="1"/>
          <w:bCs w:val="1"/>
          <w:color w:val="auto"/>
        </w:rPr>
        <w:t>Right of First Refusal</w:t>
      </w:r>
      <w:r>
        <w:rPr>
          <w:rFonts w:ascii="Arial" w:cs="Arial" w:eastAsia="Arial" w:hAnsi="Arial"/>
          <w:sz w:val="17"/>
          <w:szCs w:val="17"/>
          <w:color w:val="auto"/>
        </w:rPr>
        <w:t>”), for a period of ten (10) months after the date the Offering is completed, to act as lead or managing underwriters or exclusive financial advisors for any offering of securities, merger, acquisition or similar transaction (each, a “</w:t>
      </w:r>
      <w:r>
        <w:rPr>
          <w:rFonts w:ascii="Arial" w:cs="Arial" w:eastAsia="Arial" w:hAnsi="Arial"/>
          <w:sz w:val="17"/>
          <w:szCs w:val="17"/>
          <w:b w:val="1"/>
          <w:bCs w:val="1"/>
          <w:color w:val="auto"/>
        </w:rPr>
        <w:t>Subject</w:t>
      </w:r>
      <w:r>
        <w:rPr>
          <w:rFonts w:ascii="Arial" w:cs="Arial" w:eastAsia="Arial" w:hAnsi="Arial"/>
          <w:sz w:val="17"/>
          <w:szCs w:val="17"/>
          <w:color w:val="auto"/>
        </w:rPr>
        <w:t xml:space="preserve"> </w:t>
      </w:r>
      <w:r>
        <w:rPr>
          <w:rFonts w:ascii="Arial" w:cs="Arial" w:eastAsia="Arial" w:hAnsi="Arial"/>
          <w:sz w:val="17"/>
          <w:szCs w:val="17"/>
          <w:b w:val="1"/>
          <w:bCs w:val="1"/>
          <w:color w:val="auto"/>
        </w:rPr>
        <w:t>Transaction</w:t>
      </w:r>
      <w:r>
        <w:rPr>
          <w:rFonts w:ascii="Arial" w:cs="Arial" w:eastAsia="Arial" w:hAnsi="Arial"/>
          <w:sz w:val="17"/>
          <w:szCs w:val="17"/>
          <w:color w:val="auto"/>
        </w:rPr>
        <w:t>”), during such ten (10) month period, the Company, or any successor to or subsidiary of the Company, on terms and conditions customary to the</w:t>
      </w:r>
      <w:r>
        <w:rPr>
          <w:rFonts w:ascii="Arial" w:cs="Arial" w:eastAsia="Arial" w:hAnsi="Arial"/>
          <w:sz w:val="17"/>
          <w:szCs w:val="17"/>
          <w:b w:val="1"/>
          <w:bCs w:val="1"/>
          <w:color w:val="auto"/>
        </w:rPr>
        <w:t xml:space="preserve"> </w:t>
      </w:r>
      <w:r>
        <w:rPr>
          <w:rFonts w:ascii="Arial" w:cs="Arial" w:eastAsia="Arial" w:hAnsi="Arial"/>
          <w:sz w:val="17"/>
          <w:szCs w:val="17"/>
          <w:color w:val="auto"/>
        </w:rPr>
        <w:t>Representative for such Subject Transactions. For the avoidance of any doubt, the Company shall not retain, engage or solicit any additional lead or managing underwriters or exclusive financial advisors in a Subject Transaction without the express written consent of the Representative.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shall notify the Representative of its intention to pursue a Subject Transaction, including the material terms thereof, by providing written notice thereof by registered mail or overnight courier service addressed to the Representative. If the Representative fails to exercise its Right of First Refusal with respect to any Subject Transaction within ten (10) Business Days after the mailing of such written notice, then the Representative shall have no further claim or right with respect to the Subject Transaction. The Representative may elect, in its sole and absolute discretion, not to exercise its Right of First Refusal with respect to any Subject Transaction; provided that any such election by the Representative shall not adversely affect the Representative’s Right of First Refusal with respect to any other Subject Transaction during the ten (10) month period agreed to above. In the event the Company fails to comply with this provision, damages shall be computed as the maximum allowable amount under applicable FINRA rules and regulations.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180" w:hanging="172"/>
        <w:spacing w:after="0"/>
        <w:tabs>
          <w:tab w:leader="none" w:pos="180" w:val="left"/>
        </w:tabs>
        <w:numPr>
          <w:ilvl w:val="0"/>
          <w:numId w:val="17"/>
        </w:numPr>
        <w:rPr>
          <w:rFonts w:ascii="Arial" w:cs="Arial" w:eastAsia="Arial" w:hAnsi="Arial"/>
          <w:sz w:val="18"/>
          <w:szCs w:val="18"/>
          <w:b w:val="1"/>
          <w:bCs w:val="1"/>
          <w:color w:val="auto"/>
        </w:rPr>
      </w:pPr>
      <w:r>
        <w:rPr>
          <w:rFonts w:ascii="Arial" w:cs="Arial" w:eastAsia="Arial" w:hAnsi="Arial"/>
          <w:sz w:val="18"/>
          <w:szCs w:val="18"/>
          <w:u w:val="single" w:color="auto"/>
          <w:color w:val="auto"/>
        </w:rPr>
        <w:t>Effective Date of this Agreement and Termination Thereof</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8.1. </w:t>
      </w:r>
      <w:r>
        <w:rPr>
          <w:rFonts w:ascii="Arial" w:cs="Arial" w:eastAsia="Arial" w:hAnsi="Arial"/>
          <w:sz w:val="18"/>
          <w:szCs w:val="18"/>
          <w:i w:val="1"/>
          <w:iCs w:val="1"/>
          <w:u w:val="single" w:color="auto"/>
          <w:color w:val="auto"/>
        </w:rPr>
        <w:t>Effective Date</w:t>
      </w:r>
      <w:r>
        <w:rPr>
          <w:rFonts w:ascii="Arial" w:cs="Arial" w:eastAsia="Arial" w:hAnsi="Arial"/>
          <w:sz w:val="18"/>
          <w:szCs w:val="18"/>
          <w:color w:val="auto"/>
        </w:rPr>
        <w:t>. This Agreement shall become effective when both the Company and the Representative have executed the same and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counterparts of such signatures to the other party.</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8.2. </w:t>
      </w:r>
      <w:r>
        <w:rPr>
          <w:rFonts w:ascii="Arial" w:cs="Arial" w:eastAsia="Arial" w:hAnsi="Arial"/>
          <w:sz w:val="16"/>
          <w:szCs w:val="16"/>
          <w:i w:val="1"/>
          <w:iCs w:val="1"/>
          <w:u w:val="single" w:color="auto"/>
          <w:color w:val="auto"/>
        </w:rPr>
        <w:t>Termination</w:t>
      </w:r>
      <w:r>
        <w:rPr>
          <w:rFonts w:ascii="Arial" w:cs="Arial" w:eastAsia="Arial" w:hAnsi="Arial"/>
          <w:sz w:val="16"/>
          <w:szCs w:val="16"/>
          <w:color w:val="auto"/>
        </w:rPr>
        <w:t>. The Representative shall have the right to terminate this Agreement at any time prior to any Closing Date, (i) if any domestic or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event or act or occurrence has materially disrupted, or in your opinion will in the immediate future materially disrupt, general securities markets in the United States; or (ii) if trading on the New York Share Exchange or the Nasdaq Share Market LLC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your opinion, make it inadvisable to proceed with the delivery of the Firm Shares or Option Shares; or (vii) if the Company is in material breach of any of its representations, warranties or covenants hereunder; or (viii) if the Representative shall have become aware after the date hereof of such a Material Adverse Change, or such adverse material change in general market conditions as in the Representative’s judgment would make it impracticable to proceed with the offering, sale and/or delivery of the Shares or to enforce contracts made by the Underwriters for the sale of the Shares.</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8.3. </w:t>
      </w:r>
      <w:r>
        <w:rPr>
          <w:rFonts w:ascii="Arial" w:cs="Arial" w:eastAsia="Arial" w:hAnsi="Arial"/>
          <w:sz w:val="16"/>
          <w:szCs w:val="16"/>
          <w:i w:val="1"/>
          <w:iCs w:val="1"/>
          <w:u w:val="single" w:color="auto"/>
          <w:color w:val="auto"/>
        </w:rPr>
        <w:t>Expenses</w:t>
      </w:r>
      <w:r>
        <w:rPr>
          <w:rFonts w:ascii="Arial" w:cs="Arial" w:eastAsia="Arial" w:hAnsi="Arial"/>
          <w:sz w:val="16"/>
          <w:szCs w:val="16"/>
          <w:color w:val="auto"/>
        </w:rPr>
        <w:t>. Notwithstanding anything to the contrary in this Agreement, except in the case of a default by the Underwriters,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6.2</w:t>
      </w:r>
      <w:r>
        <w:rPr>
          <w:rFonts w:ascii="Arial" w:cs="Arial" w:eastAsia="Arial" w:hAnsi="Arial"/>
          <w:sz w:val="16"/>
          <w:szCs w:val="16"/>
          <w:color w:val="auto"/>
        </w:rPr>
        <w:t xml:space="preserve"> above, in the event that this Agreement shall not be carried out for any reason whatsoever, within the time specified herein or any extensions thereof pursuant to the terms herein, the Company shall be obligated to pay to the Underwriters their actual and accountable out-of-pocket expenses related to the transactions contemplated herein then due and payable (including the fees and disbursements of Representative’s Counsel) up to $167,500 and upon demand the Company shall pay the full amount thereof to the Representative on behalf of the Underwriters;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expense cap in no way limits or impairs the indemnification and contribution provisions of this Agreement. Notwithstanding the foregoing, any advance received by the Representative will be reimbursed to the Company to the extent not actually incurred in compliance with FINRA Rule 5110(f)(2)(C).</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8.4. </w:t>
      </w:r>
      <w:r>
        <w:rPr>
          <w:rFonts w:ascii="Arial" w:cs="Arial" w:eastAsia="Arial" w:hAnsi="Arial"/>
          <w:sz w:val="18"/>
          <w:szCs w:val="18"/>
          <w:i w:val="1"/>
          <w:iCs w:val="1"/>
          <w:u w:val="single" w:color="auto"/>
          <w:color w:val="auto"/>
        </w:rPr>
        <w:t>Indemnification</w:t>
      </w:r>
      <w:r>
        <w:rPr>
          <w:rFonts w:ascii="Arial" w:cs="Arial" w:eastAsia="Arial" w:hAnsi="Arial"/>
          <w:sz w:val="18"/>
          <w:szCs w:val="18"/>
          <w:color w:val="auto"/>
        </w:rPr>
        <w:t>. Notwithstanding any contrary provision contained in this Agreement, any election hereunder or any termination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Agreement, and whether or not this Agreement is otherwise carried out, the provisions of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remain in full force and effect and shall not be in any way affected by, such election or termination or failure to carry out the terms of this Agreement or any part hereof.</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8.5. </w:t>
      </w:r>
      <w:r>
        <w:rPr>
          <w:rFonts w:ascii="Arial" w:cs="Arial" w:eastAsia="Arial" w:hAnsi="Arial"/>
          <w:sz w:val="18"/>
          <w:szCs w:val="18"/>
          <w:i w:val="1"/>
          <w:iCs w:val="1"/>
          <w:u w:val="single" w:color="auto"/>
          <w:color w:val="auto"/>
        </w:rPr>
        <w:t>Representations, Warranties, Agreements to Survive</w:t>
      </w:r>
      <w:r>
        <w:rPr>
          <w:rFonts w:ascii="Arial" w:cs="Arial" w:eastAsia="Arial" w:hAnsi="Arial"/>
          <w:sz w:val="18"/>
          <w:szCs w:val="18"/>
          <w:color w:val="auto"/>
        </w:rPr>
        <w:t>. All representations, warranties and agreements contained in this Agreement or in</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of officers of the Company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or (ii) delivery of and payment for the Shares.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180" w:hanging="172"/>
        <w:spacing w:after="0"/>
        <w:tabs>
          <w:tab w:leader="none" w:pos="180" w:val="left"/>
        </w:tabs>
        <w:numPr>
          <w:ilvl w:val="0"/>
          <w:numId w:val="18"/>
        </w:numPr>
        <w:rPr>
          <w:rFonts w:ascii="Arial" w:cs="Arial" w:eastAsia="Arial" w:hAnsi="Arial"/>
          <w:sz w:val="18"/>
          <w:szCs w:val="18"/>
          <w:b w:val="1"/>
          <w:bCs w:val="1"/>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9.1. </w:t>
      </w:r>
      <w:r>
        <w:rPr>
          <w:rFonts w:ascii="Arial" w:cs="Arial" w:eastAsia="Arial" w:hAnsi="Arial"/>
          <w:sz w:val="18"/>
          <w:szCs w:val="18"/>
          <w:i w:val="1"/>
          <w:iCs w:val="1"/>
          <w:u w:val="single" w:color="auto"/>
          <w:color w:val="auto"/>
        </w:rPr>
        <w:t>Notices</w:t>
      </w:r>
      <w:r>
        <w:rPr>
          <w:rFonts w:ascii="Arial" w:cs="Arial" w:eastAsia="Arial" w:hAnsi="Arial"/>
          <w:sz w:val="18"/>
          <w:szCs w:val="18"/>
          <w:color w:val="auto"/>
        </w:rPr>
        <w:t>. All communications hereunder, except as herein otherwise specifically provided, shall be in writing and shall be mailed (registered or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certified mail, return receipt requested), personally delivered or sent by facsimile transmission and confirmed and shall be deemed given when so delivered or faxed and confirmed or if mailed, two (2) days after such mailing.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Benchmark Company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150 E 58th Street, 17th floor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10155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Richard Messina, President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Hunter Taubman Fischer &amp; Li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1450 Broadway, 26 FL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NY10018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Attn: Louis Taubman,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Fax No.: (212) 202-6380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CLPS Incorporation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2nd Floor, Building 18, Shanghai Pudong Software Park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498 Guoshoujing Road, Pudong, Shanghai 201203</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People’s Republic of China</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Raymon Ming Hui Lin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(which shall not constitute notice) to</w:t>
      </w:r>
      <w:r>
        <w:rPr>
          <w:rFonts w:ascii="Arial" w:cs="Arial" w:eastAsia="Arial" w:hAnsi="Arial"/>
          <w:sz w:val="18"/>
          <w:szCs w:val="18"/>
          <w:color w:val="auto"/>
        </w:rPr>
        <w: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Schiff Hardin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901 K Street, NW, Suite 700 Washington, DC 20001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Ralph V. De. Martino,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 Alec Orudjev, Esq. Fax No: (202) 724-6848</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9.2. </w:t>
      </w:r>
      <w:r>
        <w:rPr>
          <w:rFonts w:ascii="Arial" w:cs="Arial" w:eastAsia="Arial" w:hAnsi="Arial"/>
          <w:sz w:val="18"/>
          <w:szCs w:val="18"/>
          <w:i w:val="1"/>
          <w:iCs w:val="1"/>
          <w:u w:val="single" w:color="auto"/>
          <w:color w:val="auto"/>
        </w:rPr>
        <w:t>Headings</w:t>
      </w:r>
      <w:r>
        <w:rPr>
          <w:rFonts w:ascii="Arial" w:cs="Arial" w:eastAsia="Arial" w:hAnsi="Arial"/>
          <w:sz w:val="18"/>
          <w:szCs w:val="18"/>
          <w:color w:val="auto"/>
        </w:rPr>
        <w:t>. The headings contained herein are for the sole purpose of convenience of reference, and shall not in any way limit or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meaning or interpretation of any of the terms or provisions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9.3. </w:t>
      </w:r>
      <w:r>
        <w:rPr>
          <w:rFonts w:ascii="Arial" w:cs="Arial" w:eastAsia="Arial" w:hAnsi="Arial"/>
          <w:sz w:val="18"/>
          <w:szCs w:val="18"/>
          <w:i w:val="1"/>
          <w:iCs w:val="1"/>
          <w:u w:val="single" w:color="auto"/>
          <w:color w:val="auto"/>
        </w:rPr>
        <w:t>Amendment</w:t>
      </w:r>
      <w:r>
        <w:rPr>
          <w:rFonts w:ascii="Arial" w:cs="Arial" w:eastAsia="Arial" w:hAnsi="Arial"/>
          <w:sz w:val="18"/>
          <w:szCs w:val="18"/>
          <w:color w:val="auto"/>
        </w:rPr>
        <w:t>. This Agreement may only be amended by a written instrument executed by each of the parties hereto.</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9.4. </w:t>
      </w:r>
      <w:r>
        <w:rPr>
          <w:rFonts w:ascii="Arial" w:cs="Arial" w:eastAsia="Arial" w:hAnsi="Arial"/>
          <w:sz w:val="17"/>
          <w:szCs w:val="17"/>
          <w:i w:val="1"/>
          <w:iCs w:val="1"/>
          <w:u w:val="single" w:color="auto"/>
          <w:color w:val="auto"/>
        </w:rPr>
        <w:t>Entire Agreement</w:t>
      </w:r>
      <w:r>
        <w:rPr>
          <w:rFonts w:ascii="Arial" w:cs="Arial" w:eastAsia="Arial" w:hAnsi="Arial"/>
          <w:sz w:val="17"/>
          <w:szCs w:val="17"/>
          <w:color w:val="auto"/>
        </w:rPr>
        <w:t>. This Agreement (together with the other agreements and documents being delivered pursuant to or in connection with this</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constitutes the entire agreement of the parties hereto with respect to the subject matter hereof and thereof, and supersedes all prior agreements and understandings of the parties, oral and written, with respect to the subject matter hereof. Notwithstanding anything to the contrary set forth herein, it is understood and agreed by the parties hereto that all other terms and conditions of that certain engagement letter between the Company and Axiom Capital Management, Inc., dated June 15, 2017, as assigned to Benchmark Capital, LLC, shall remain in full force and effect.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9.5. </w:t>
      </w:r>
      <w:r>
        <w:rPr>
          <w:rFonts w:ascii="Arial" w:cs="Arial" w:eastAsia="Arial" w:hAnsi="Arial"/>
          <w:sz w:val="18"/>
          <w:szCs w:val="18"/>
          <w:i w:val="1"/>
          <w:iCs w:val="1"/>
          <w:u w:val="single" w:color="auto"/>
          <w:color w:val="auto"/>
        </w:rPr>
        <w:t>Binding Effect</w:t>
      </w:r>
      <w:r>
        <w:rPr>
          <w:rFonts w:ascii="Arial" w:cs="Arial" w:eastAsia="Arial" w:hAnsi="Arial"/>
          <w:sz w:val="18"/>
          <w:szCs w:val="18"/>
          <w:color w:val="auto"/>
        </w:rPr>
        <w:t>. This Agreement shall inure solely to the benefit of and shall be binding upon the Representative, the Underwriters,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the controlling persons, directors and officers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hereof, and their respective successors, legal representatives, heirs and assigns, and no other person shall have or be construed to have any legal or equitable right, remedy or claim under or in respect of or by virtue of this Agreement or any provisions herein contained. The term “successors and assigns” shall not include a purchaser, in its capacity as such, of securities from any of the Underwriters.</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i w:val="1"/>
          <w:iCs w:val="1"/>
          <w:color w:val="auto"/>
        </w:rPr>
        <w:t xml:space="preserve">9.6. </w:t>
      </w:r>
      <w:r>
        <w:rPr>
          <w:rFonts w:ascii="Arial" w:cs="Arial" w:eastAsia="Arial" w:hAnsi="Arial"/>
          <w:sz w:val="17"/>
          <w:szCs w:val="17"/>
          <w:i w:val="1"/>
          <w:iCs w:val="1"/>
          <w:u w:val="single" w:color="auto"/>
          <w:color w:val="auto"/>
        </w:rPr>
        <w:t>Governing Law; Consent to Jurisdiction; Trial by Jury</w:t>
      </w:r>
      <w:r>
        <w:rPr>
          <w:rFonts w:ascii="Arial" w:cs="Arial" w:eastAsia="Arial" w:hAnsi="Arial"/>
          <w:sz w:val="17"/>
          <w:szCs w:val="17"/>
          <w:color w:val="auto"/>
        </w:rPr>
        <w:t>. This Agreement shall be governed by and construed and enforced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laws of the State of New York, without giving effect to conflict of laws principles thereof. The Company hereby agrees that any action, proceeding or claim against it arising out of, or relating in any way to this Agreement shall be brought and enforced in the New York Supreme Court, County of New York, or in the United States District Court for the Southern District of New York, and irrevocably submits to such jurisdiction, which jurisdiction shall be exclusive. The Company hereby waives any objection to such exclusive jurisdiction and that such courts represent an inconvenient forum. Any such process or summons to be served upon the Company may be served by transmitting a copy thereof by registered or certified mail, return receipt requested, postage prepaid, addressed to it at the address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hereof. Such mailing shall be deemed personal service and shall be legal and binding upon the Company in any action, proceeding or claim. The Company agrees that the prevailing party(ies) in any such action shall be entitled to recover from the other party(ies) all of its reasonable attorneys’ fees and expenses relating to such action or proceeding and/or incurred in connection with the preparation therefor. The Company (on its behalf and, to the extent permitted by applicable law, on behalf of its Shareholders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9.7. </w:t>
      </w:r>
      <w:r>
        <w:rPr>
          <w:rFonts w:ascii="Arial" w:cs="Arial" w:eastAsia="Arial" w:hAnsi="Arial"/>
          <w:sz w:val="17"/>
          <w:szCs w:val="17"/>
          <w:i w:val="1"/>
          <w:iCs w:val="1"/>
          <w:u w:val="single" w:color="auto"/>
          <w:color w:val="auto"/>
        </w:rPr>
        <w:t>Execution in Counterparts</w:t>
      </w:r>
      <w:r>
        <w:rPr>
          <w:rFonts w:ascii="Arial" w:cs="Arial" w:eastAsia="Arial" w:hAnsi="Arial"/>
          <w:sz w:val="17"/>
          <w:szCs w:val="17"/>
          <w:color w:val="auto"/>
        </w:rPr>
        <w:t>. This Agreement may be executed in one or more counterparts, and by the different parties hereto in separate</w:t>
      </w:r>
      <w:r>
        <w:rPr>
          <w:rFonts w:ascii="Arial" w:cs="Arial" w:eastAsia="Arial" w:hAnsi="Arial"/>
          <w:sz w:val="17"/>
          <w:szCs w:val="17"/>
          <w:i w:val="1"/>
          <w:iCs w:val="1"/>
          <w:color w:val="auto"/>
        </w:rPr>
        <w:t xml:space="preserve"> </w:t>
      </w:r>
      <w:r>
        <w:rPr>
          <w:rFonts w:ascii="Arial" w:cs="Arial" w:eastAsia="Arial" w:hAnsi="Arial"/>
          <w:sz w:val="17"/>
          <w:szCs w:val="17"/>
          <w:color w:val="auto"/>
        </w:rPr>
        <w:t>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facsimile or email/pdf transmission shall constitute valid and sufficient delivery thereof.</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9.8. </w:t>
      </w:r>
      <w:r>
        <w:rPr>
          <w:rFonts w:ascii="Arial" w:cs="Arial" w:eastAsia="Arial" w:hAnsi="Arial"/>
          <w:sz w:val="18"/>
          <w:szCs w:val="18"/>
          <w:i w:val="1"/>
          <w:iCs w:val="1"/>
          <w:u w:val="single" w:color="auto"/>
          <w:color w:val="auto"/>
        </w:rPr>
        <w:t>Waiver, etc</w:t>
      </w:r>
      <w:r>
        <w:rPr>
          <w:rFonts w:ascii="Arial" w:cs="Arial" w:eastAsia="Arial" w:hAnsi="Arial"/>
          <w:sz w:val="18"/>
          <w:szCs w:val="18"/>
          <w:color w:val="auto"/>
        </w:rPr>
        <w:t>. The failure of any of the parties hereto to at any time enforce any of the provisions of this Agreement shall not be deemed or</w:t>
      </w:r>
      <w:r>
        <w:rPr>
          <w:rFonts w:ascii="Arial" w:cs="Arial" w:eastAsia="Arial" w:hAnsi="Arial"/>
          <w:sz w:val="18"/>
          <w:szCs w:val="18"/>
          <w:i w:val="1"/>
          <w:iCs w:val="1"/>
          <w:color w:val="auto"/>
        </w:rPr>
        <w:t xml:space="preserve"> </w:t>
      </w:r>
      <w:r>
        <w:rPr>
          <w:rFonts w:ascii="Arial" w:cs="Arial" w:eastAsia="Arial" w:hAnsi="Arial"/>
          <w:sz w:val="18"/>
          <w:szCs w:val="18"/>
          <w:color w:val="auto"/>
        </w:rPr>
        <w:t>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right="20" w:firstLine="648"/>
        <w:spacing w:after="0" w:line="277" w:lineRule="auto"/>
        <w:rPr>
          <w:sz w:val="20"/>
          <w:szCs w:val="20"/>
          <w:color w:val="auto"/>
        </w:rPr>
      </w:pPr>
      <w:r>
        <w:rPr>
          <w:rFonts w:ascii="Arial" w:cs="Arial" w:eastAsia="Arial" w:hAnsi="Arial"/>
          <w:sz w:val="18"/>
          <w:szCs w:val="18"/>
          <w:color w:val="auto"/>
        </w:rPr>
        <w:t>If the foregoing correctly sets forth the understanding between the Underwriters and the Company, please so indicate in the space provided below for that purpose, whereupon this letter shall constitute a binding agreement between us.</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Confirmed as of the date first written above mentioned, on behalf of itself and as Representative of the several Underwriters named on Schedule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BENCHMARK COMPANY,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John J. Borer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23495</wp:posOffset>
            </wp:positionV>
            <wp:extent cx="319024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90240" cy="17145"/>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John J. Borer III</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Senior Managing Director, Head of Investment Banking</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CLPS Incorporation Announces Closing of $10.5 Million Firm</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Commitment Initial Public Offering</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Shanghai, China, May 29, 2018 /Globe Newswire/ -- CLPS Incorporation (the "Company" or Nasdaq: CLPS), a global leading information technology consulting and solutions service provider focusing on the banking, insurance and financial sectors in China and globally, today announced the closing of a U.S. underwritten initial public offering (“IPO”) of 2,000,000 common shares at a price to the public of $5.25 per share. The Company’s shares began trading on The Nasdaq Capital Market on May 24, 2018.</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received aggregate gross proceeds of approximately $10.5 million from this offering, before deducting underwriting discounts, commissions and other related expenses. In addition, the Company has granted the underwriters a 45-day option to purchase up to an additional 300,000 common shares at the public offering price, less underwriting discounts and commissions.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Proceeds from the offering will be used for global expansion, R&amp;D, talent development and working capital and general corporate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Benchmark Company, LLC acted as the book running manager and Cuttone &amp; Co., LLC acted as co-manager for this offering.</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Schiff Hardin LLP acted as US legal counsel to the Company; Hunter Taubman Fischer &amp; Li LLC acted as legal counsel to the underwriters in connection with this offering.</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 registration statement on Form F-1 relating to this offering was filed with the Securities and Exchange Commission (“SEC”) and was declared effective by the SEC as of May 23, 2018. The offering of these securities was made only by means of a prospectus, forming a part of the registration statement. The registration statement on Form F-1 and the final prospectus relating to this offering are available on the SEC’s website at www.sec.gov. Copies of the final prospectus relating to this offering may be obtained from The Benchmark Company, LLC by calling 212-312-6700 or </w:t>
      </w:r>
      <w:r>
        <w:rPr>
          <w:rFonts w:ascii="Arial" w:cs="Arial" w:eastAsia="Arial" w:hAnsi="Arial"/>
          <w:sz w:val="16"/>
          <w:szCs w:val="16"/>
          <w:u w:val="single" w:color="auto"/>
          <w:color w:val="auto"/>
        </w:rPr>
        <w:t>prospectus@benchmarkcompany.com</w:t>
      </w:r>
      <w:r>
        <w:rPr>
          <w:rFonts w:ascii="Arial" w:cs="Arial" w:eastAsia="Arial" w:hAnsi="Arial"/>
          <w:sz w:val="16"/>
          <w:szCs w:val="16"/>
          <w:color w:val="auto"/>
        </w:rPr>
        <w:t>.</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This press release shall not constitute an offer to sell or the solicitation of an offer to buy any of the Company's securities, nor shall such securities be offered or sold in the United States absent registration or an applicable exemption from registration, nor shall there be any offer, solicitation or sale of any of the Company's securities in any state or jurisdiction in which such offer, solicitation or sale would be unlawful prior to registration or qualification under the securities laws of such state or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CLPS Incorporation</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Headquartered in Shanghai, China, CLPS Incorporation (the "Company") (Nasdaq: CLPS) is a global leading information technology (“IT”), consulting and solutions service provider focusing on the banking, insurance and financial sectors. The Company has served as an IT solutions provider to a growing network of clients in the global financial industry, including large financial institutions in the US, Europe, Australia and Hong Kong and their PRC-based IT centers. The Company maintains eleven delivery and/or research &amp; development centers to serve different customers in various geographic locations. Mainland China centers are located in Shanghai, Beijing, Dalian, Tianjin, Chengdu, Guangzhou and Shenzhen. The remaining four global centers are located in Hong Kong, Taiwan, Singapore and Australia. For further information regarding the Company, please visit: </w:t>
      </w:r>
      <w:r>
        <w:rPr>
          <w:rFonts w:ascii="Arial" w:cs="Arial" w:eastAsia="Arial" w:hAnsi="Arial"/>
          <w:sz w:val="16"/>
          <w:szCs w:val="16"/>
          <w:u w:val="single" w:color="auto"/>
          <w:color w:val="auto"/>
        </w:rPr>
        <w:t>http://ir.clpsglobal.com/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announcement contains forward-looking statements within the meaning of the safe harbor provisions of the Private Securities Litigation Reform Act of 1995. All statements other than statements of historical fact in this announcement are forward-looking statements, including but not limited to, the Company’s closing of the IPO and the trading of the Company’s shares on NASDAQ.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including the expectation that the IPO will be successfully completed.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 Investor Relations 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Tian van Acken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+86-158-0198-4357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ir@clpsglobal.com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Ascent Investor Relations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Nicolas Palar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+1-646-932-7202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npalar@ascent-ir.com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Tina Xiao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Phone: +1-917-609-0333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tina.xiao@ascent-ir.com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lvl w:ilvl="1">
      <w:lvlJc w:val="left"/>
      <w:lvlText w:val="(%2)"/>
      <w:numFmt w:val="lowerRoman"/>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lowerRoman"/>
      <w:start w:val="1"/>
    </w:lvl>
  </w:abstractNum>
  <w:abstractNum w:abstractNumId="4">
    <w:nsid w:val="1190CDE7"/>
    <w:multiLevelType w:val="hybridMultilevel"/>
    <w:lvl w:ilvl="0">
      <w:lvlJc w:val="left"/>
      <w:lvlText w:val="(%1)"/>
      <w:numFmt w:val="lowerRoman"/>
      <w:start w:val="4"/>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decimal"/>
      <w:start w:val="3"/>
    </w:lvl>
  </w:abstractNum>
  <w:abstractNum w:abstractNumId="8">
    <w:nsid w:val="109CF92E"/>
    <w:multiLevelType w:val="hybridMultilevel"/>
    <w:lvl w:ilvl="0">
      <w:lvlJc w:val="left"/>
      <w:lvlText w:val="(%1)"/>
      <w:numFmt w:val="decimal"/>
      <w:start w:val="180"/>
    </w:lvl>
  </w:abstractNum>
  <w:abstractNum w:abstractNumId="9">
    <w:nsid w:val="DED7263"/>
    <w:multiLevelType w:val="hybridMultilevel"/>
    <w:lvl w:ilvl="0">
      <w:lvlJc w:val="left"/>
      <w:lvlText w:val="(%1)"/>
      <w:numFmt w:val="lowerLetter"/>
      <w:start w:val="4"/>
    </w:lvl>
  </w:abstractNum>
  <w:abstractNum w:abstractNumId="10">
    <w:nsid w:val="7FDCC233"/>
    <w:multiLevelType w:val="hybridMultilevel"/>
    <w:lvl w:ilvl="0">
      <w:lvlJc w:val="left"/>
      <w:lvlText w:val="(%1)"/>
      <w:numFmt w:val="lowerRoman"/>
      <w:start w:val="3"/>
    </w:lvl>
  </w:abstractNum>
  <w:abstractNum w:abstractNumId="11">
    <w:nsid w:val="1BEFD79F"/>
    <w:multiLevelType w:val="hybridMultilevel"/>
    <w:lvl w:ilvl="0">
      <w:lvlJc w:val="left"/>
      <w:lvlText w:val="%1."/>
      <w:numFmt w:val="decimal"/>
      <w:start w:val="4"/>
    </w:lvl>
  </w:abstractNum>
  <w:abstractNum w:abstractNumId="12">
    <w:nsid w:val="41A7C4C9"/>
    <w:multiLevelType w:val="hybridMultilevel"/>
    <w:lvl w:ilvl="0">
      <w:lvlJc w:val="left"/>
      <w:lvlText w:val="(%1)"/>
      <w:numFmt w:val="lowerRoman"/>
      <w:start w:val="1"/>
    </w:lvl>
  </w:abstractNum>
  <w:abstractNum w:abstractNumId="13">
    <w:nsid w:val="6B68079A"/>
    <w:multiLevelType w:val="hybridMultilevel"/>
    <w:lvl w:ilvl="0">
      <w:lvlJc w:val="left"/>
      <w:lvlText w:val="%1."/>
      <w:numFmt w:val="decimal"/>
      <w:start w:val="5"/>
    </w:lvl>
  </w:abstractNum>
  <w:abstractNum w:abstractNumId="14">
    <w:nsid w:val="4E6AFB66"/>
    <w:multiLevelType w:val="hybridMultilevel"/>
    <w:lvl w:ilvl="0">
      <w:lvlJc w:val="left"/>
      <w:lvlText w:val="%1."/>
      <w:numFmt w:val="decimal"/>
      <w:start w:val="6"/>
    </w:lvl>
  </w:abstractNum>
  <w:abstractNum w:abstractNumId="15">
    <w:nsid w:val="25E45D32"/>
    <w:multiLevelType w:val="hybridMultilevel"/>
    <w:lvl w:ilvl="0">
      <w:lvlJc w:val="left"/>
      <w:lvlText w:val="%1."/>
      <w:numFmt w:val="decimal"/>
      <w:start w:val="7"/>
    </w:lvl>
  </w:abstractNum>
  <w:abstractNum w:abstractNumId="16">
    <w:nsid w:val="519B500D"/>
    <w:multiLevelType w:val="hybridMultilevel"/>
    <w:lvl w:ilvl="0">
      <w:lvlJc w:val="left"/>
      <w:lvlText w:val="%1."/>
      <w:numFmt w:val="decimal"/>
      <w:start w:val="8"/>
    </w:lvl>
  </w:abstractNum>
  <w:abstractNum w:abstractNumId="17">
    <w:nsid w:val="431BD7B7"/>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2019-12-08T17:51:25Z</dcterms:created>
  <dcterms:modified xsi:type="dcterms:W3CDTF">2019-12-08T17:51:25Z</dcterms:modified>
</cp:coreProperties>
</file>