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G31642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Xiao Feng Yang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Unit 702, 7th Floor, Millennium City II, 378 Kwun Tong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Kwun Tong, Kowloon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+852 37073600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13d-1(b)(3) or (4),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2 of 6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606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r>
    </w:p>
    <w:p>
      <w:pPr>
        <w:spacing w:after="0" w:line="209" w:lineRule="exact"/>
        <w:rPr>
          <w:sz w:val="20"/>
          <w:szCs w:val="20"/>
          <w:color w:val="auto"/>
        </w:rPr>
      </w:pPr>
    </w:p>
    <w:p>
      <w:pPr>
        <w:ind w:left="980" w:hanging="551"/>
        <w:spacing w:after="0"/>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Qinrui Ltd.</w:t>
      </w:r>
    </w:p>
    <w:p>
      <w:pPr>
        <w:spacing w:after="0" w:line="40" w:lineRule="exact"/>
        <w:rPr>
          <w:sz w:val="20"/>
          <w:szCs w:val="20"/>
          <w:color w:val="auto"/>
        </w:rPr>
      </w:pPr>
    </w:p>
    <w:p>
      <w:pPr>
        <w:ind w:left="980" w:hanging="551"/>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4" w:lineRule="exact"/>
        <w:rPr>
          <w:sz w:val="20"/>
          <w:szCs w:val="20"/>
          <w:color w:val="auto"/>
        </w:rPr>
      </w:pPr>
    </w:p>
    <w:p>
      <w:pPr>
        <w:ind w:left="980" w:hanging="551"/>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45" w:lineRule="exact"/>
        <w:rPr>
          <w:sz w:val="20"/>
          <w:szCs w:val="20"/>
          <w:color w:val="auto"/>
        </w:rPr>
      </w:pPr>
    </w:p>
    <w:p>
      <w:pPr>
        <w:ind w:left="980" w:hanging="551"/>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OO (See Item 3)</w:t>
      </w:r>
    </w:p>
    <w:p>
      <w:pPr>
        <w:spacing w:after="0" w:line="40" w:lineRule="exact"/>
        <w:rPr>
          <w:sz w:val="20"/>
          <w:szCs w:val="20"/>
          <w:color w:val="auto"/>
        </w:rPr>
      </w:pPr>
    </w:p>
    <w:p>
      <w:pPr>
        <w:ind w:left="980" w:hanging="551"/>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sz w:val="20"/>
          <w:szCs w:val="20"/>
          <w:color w:val="auto"/>
        </w:rPr>
      </w:pPr>
    </w:p>
    <w:p>
      <w:pPr>
        <w:ind w:left="1094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980" w:hanging="551"/>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British Virgin Islands</w:t>
      </w:r>
    </w:p>
    <w:p>
      <w:pPr>
        <w:spacing w:after="0" w:line="3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760" w:type="dxa"/>
            <w:vAlign w:val="bottom"/>
          </w:tcPr>
          <w:p>
            <w:pPr>
              <w:jc w:val="center"/>
              <w:ind w:left="70"/>
              <w:spacing w:after="0"/>
              <w:rPr>
                <w:sz w:val="20"/>
                <w:szCs w:val="20"/>
                <w:color w:val="auto"/>
              </w:rPr>
            </w:pPr>
            <w:r>
              <w:rPr>
                <w:rFonts w:ascii="Arial" w:cs="Arial" w:eastAsia="Arial" w:hAnsi="Arial"/>
                <w:sz w:val="18"/>
                <w:szCs w:val="18"/>
                <w:b w:val="1"/>
                <w:bCs w:val="1"/>
                <w:color w:val="auto"/>
                <w:w w:val="79"/>
              </w:rPr>
              <w:t>7</w:t>
            </w:r>
          </w:p>
        </w:tc>
        <w:tc>
          <w:tcPr>
            <w:tcW w:w="822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8"/>
              </w:rPr>
              <w:t>NUMBER OF</w:t>
            </w:r>
          </w:p>
        </w:tc>
        <w:tc>
          <w:tcPr>
            <w:tcW w:w="76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8</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760" w:type="dxa"/>
            <w:vAlign w:val="bottom"/>
            <w:vMerge w:val="continue"/>
          </w:tcPr>
          <w:p>
            <w:pPr>
              <w:spacing w:after="0"/>
              <w:rPr>
                <w:sz w:val="11"/>
                <w:szCs w:val="11"/>
                <w:color w:val="auto"/>
              </w:rPr>
            </w:pPr>
          </w:p>
        </w:tc>
        <w:tc>
          <w:tcPr>
            <w:tcW w:w="8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4,976,000 common shares (See Item 5)</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OWNED BY</w:t>
            </w:r>
          </w:p>
        </w:tc>
        <w:tc>
          <w:tcPr>
            <w:tcW w:w="760" w:type="dxa"/>
            <w:vAlign w:val="bottom"/>
            <w:tcBorders>
              <w:bottom w:val="single" w:sz="8" w:color="auto"/>
            </w:tcBorders>
          </w:tcPr>
          <w:p>
            <w:pPr>
              <w:spacing w:after="0"/>
              <w:rPr>
                <w:sz w:val="10"/>
                <w:szCs w:val="10"/>
                <w:color w:val="auto"/>
              </w:rPr>
            </w:pPr>
          </w:p>
        </w:tc>
        <w:tc>
          <w:tcPr>
            <w:tcW w:w="8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9</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760" w:type="dxa"/>
            <w:vAlign w:val="bottom"/>
            <w:vMerge w:val="continue"/>
          </w:tcPr>
          <w:p>
            <w:pPr>
              <w:spacing w:after="0"/>
              <w:rPr>
                <w:sz w:val="13"/>
                <w:szCs w:val="13"/>
                <w:color w:val="auto"/>
              </w:rPr>
            </w:pPr>
          </w:p>
        </w:tc>
        <w:tc>
          <w:tcPr>
            <w:tcW w:w="8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PERSON WITH</w:t>
            </w:r>
          </w:p>
        </w:tc>
        <w:tc>
          <w:tcPr>
            <w:tcW w:w="76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4,976,000 common shares (See Item 5)</w:t>
      </w:r>
    </w:p>
    <w:p>
      <w:pPr>
        <w:spacing w:after="0" w:line="40" w:lineRule="exact"/>
        <w:rPr>
          <w:sz w:val="20"/>
          <w:szCs w:val="20"/>
          <w:color w:val="auto"/>
        </w:rPr>
      </w:pPr>
    </w:p>
    <w:p>
      <w:pPr>
        <w:ind w:left="980" w:hanging="591"/>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4,976,000 (See Item 5)</w:t>
      </w:r>
    </w:p>
    <w:p>
      <w:pPr>
        <w:spacing w:after="0" w:line="40" w:lineRule="exact"/>
        <w:rPr>
          <w:sz w:val="20"/>
          <w:szCs w:val="20"/>
          <w:color w:val="auto"/>
        </w:rPr>
      </w:pPr>
    </w:p>
    <w:p>
      <w:pPr>
        <w:ind w:left="980" w:hanging="596"/>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Not Applicable*</w:t>
      </w:r>
    </w:p>
    <w:p>
      <w:pPr>
        <w:spacing w:after="0" w:line="18" w:lineRule="exact"/>
        <w:rPr>
          <w:sz w:val="20"/>
          <w:szCs w:val="20"/>
          <w:color w:val="auto"/>
        </w:rPr>
      </w:pP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980" w:hanging="596"/>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31.26% of the Company’s outstanding common shares</w:t>
      </w:r>
    </w:p>
    <w:p>
      <w:pPr>
        <w:spacing w:after="0" w:line="40" w:lineRule="exact"/>
        <w:rPr>
          <w:sz w:val="20"/>
          <w:szCs w:val="20"/>
          <w:color w:val="auto"/>
        </w:rPr>
      </w:pPr>
    </w:p>
    <w:p>
      <w:pPr>
        <w:ind w:left="980" w:hanging="596"/>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7400" w:type="dxa"/>
            <w:vAlign w:val="bottom"/>
            <w:tcBorders>
              <w:right w:val="single" w:sz="8" w:color="auto"/>
            </w:tcBorders>
          </w:tcPr>
          <w:p>
            <w:pPr>
              <w:ind w:left="3520"/>
              <w:spacing w:after="0"/>
              <w:rPr>
                <w:sz w:val="20"/>
                <w:szCs w:val="20"/>
                <w:color w:val="auto"/>
              </w:rPr>
            </w:pPr>
            <w:r>
              <w:rPr>
                <w:rFonts w:ascii="Arial" w:cs="Arial" w:eastAsia="Arial" w:hAnsi="Arial"/>
                <w:sz w:val="18"/>
                <w:szCs w:val="18"/>
                <w:b w:val="1"/>
                <w:bCs w:val="1"/>
                <w:color w:val="auto"/>
              </w:rPr>
              <w:t>13D</w:t>
            </w:r>
          </w:p>
        </w:tc>
        <w:tc>
          <w:tcPr>
            <w:tcW w:w="17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85"/>
              </w:rPr>
              <w:t>Page 3 of 6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606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r>
    </w:p>
    <w:p>
      <w:pPr>
        <w:spacing w:after="0" w:line="209" w:lineRule="exact"/>
        <w:rPr>
          <w:sz w:val="20"/>
          <w:szCs w:val="20"/>
          <w:color w:val="auto"/>
        </w:rPr>
      </w:pPr>
    </w:p>
    <w:p>
      <w:pPr>
        <w:ind w:left="980" w:hanging="551"/>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Xiao Feng Yang</w:t>
      </w:r>
    </w:p>
    <w:p>
      <w:pPr>
        <w:spacing w:after="0" w:line="40" w:lineRule="exact"/>
        <w:rPr>
          <w:sz w:val="20"/>
          <w:szCs w:val="20"/>
          <w:color w:val="auto"/>
        </w:rPr>
      </w:pPr>
    </w:p>
    <w:p>
      <w:pPr>
        <w:ind w:left="980" w:hanging="551"/>
        <w:spacing w:after="0"/>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4" w:lineRule="exact"/>
        <w:rPr>
          <w:sz w:val="20"/>
          <w:szCs w:val="20"/>
          <w:color w:val="auto"/>
        </w:rPr>
      </w:pPr>
    </w:p>
    <w:p>
      <w:pPr>
        <w:ind w:left="980" w:hanging="551"/>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45" w:lineRule="exact"/>
        <w:rPr>
          <w:sz w:val="20"/>
          <w:szCs w:val="20"/>
          <w:color w:val="auto"/>
        </w:rPr>
      </w:pPr>
    </w:p>
    <w:p>
      <w:pPr>
        <w:ind w:left="980" w:hanging="551"/>
        <w:spacing w:after="0"/>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PF/OO</w:t>
      </w:r>
    </w:p>
    <w:p>
      <w:pPr>
        <w:spacing w:after="0" w:line="40" w:lineRule="exact"/>
        <w:rPr>
          <w:sz w:val="20"/>
          <w:szCs w:val="20"/>
          <w:color w:val="auto"/>
        </w:rPr>
      </w:pPr>
    </w:p>
    <w:p>
      <w:pPr>
        <w:ind w:left="980" w:hanging="551"/>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sz w:val="20"/>
          <w:szCs w:val="20"/>
          <w:color w:val="auto"/>
        </w:rPr>
      </w:pPr>
    </w:p>
    <w:p>
      <w:pPr>
        <w:ind w:left="1094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980" w:hanging="551"/>
        <w:spacing w:after="0"/>
        <w:tabs>
          <w:tab w:leader="none" w:pos="9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The People’s Republic of China</w:t>
      </w:r>
    </w:p>
    <w:p>
      <w:pPr>
        <w:spacing w:after="0" w:line="40" w:lineRule="exact"/>
        <w:rPr>
          <w:sz w:val="20"/>
          <w:szCs w:val="20"/>
          <w:color w:val="auto"/>
        </w:rPr>
      </w:pPr>
    </w:p>
    <w:p>
      <w:pPr>
        <w:ind w:left="3220" w:hanging="543"/>
        <w:spacing w:after="0"/>
        <w:tabs>
          <w:tab w:leader="none" w:pos="32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41"/>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8"/>
              </w:rPr>
              <w:t>NUMBER OF</w:t>
            </w:r>
          </w:p>
        </w:tc>
        <w:tc>
          <w:tcPr>
            <w:tcW w:w="760" w:type="dxa"/>
            <w:vAlign w:val="bottom"/>
            <w:tcBorders>
              <w:bottom w:val="single" w:sz="8" w:color="auto"/>
            </w:tcBorders>
          </w:tcPr>
          <w:p>
            <w:pPr>
              <w:spacing w:after="0"/>
              <w:rPr>
                <w:sz w:val="20"/>
                <w:szCs w:val="20"/>
                <w:color w:val="auto"/>
              </w:rPr>
            </w:pPr>
          </w:p>
        </w:tc>
        <w:tc>
          <w:tcPr>
            <w:tcW w:w="82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5,270,164 common shares</w:t>
            </w: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8</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760" w:type="dxa"/>
            <w:vAlign w:val="bottom"/>
            <w:vMerge w:val="continue"/>
          </w:tcPr>
          <w:p>
            <w:pPr>
              <w:spacing w:after="0"/>
              <w:rPr>
                <w:sz w:val="11"/>
                <w:szCs w:val="11"/>
                <w:color w:val="auto"/>
              </w:rPr>
            </w:pPr>
          </w:p>
        </w:tc>
        <w:tc>
          <w:tcPr>
            <w:tcW w:w="8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OWNED BY</w:t>
            </w:r>
          </w:p>
        </w:tc>
        <w:tc>
          <w:tcPr>
            <w:tcW w:w="760" w:type="dxa"/>
            <w:vAlign w:val="bottom"/>
            <w:tcBorders>
              <w:bottom w:val="single" w:sz="8" w:color="auto"/>
            </w:tcBorders>
          </w:tcPr>
          <w:p>
            <w:pPr>
              <w:spacing w:after="0"/>
              <w:rPr>
                <w:sz w:val="10"/>
                <w:szCs w:val="10"/>
                <w:color w:val="auto"/>
              </w:rPr>
            </w:pPr>
          </w:p>
        </w:tc>
        <w:tc>
          <w:tcPr>
            <w:tcW w:w="8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76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79"/>
              </w:rPr>
              <w:t>9</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760" w:type="dxa"/>
            <w:vAlign w:val="bottom"/>
            <w:vMerge w:val="continue"/>
          </w:tcPr>
          <w:p>
            <w:pPr>
              <w:spacing w:after="0"/>
              <w:rPr>
                <w:sz w:val="13"/>
                <w:szCs w:val="13"/>
                <w:color w:val="auto"/>
              </w:rPr>
            </w:pPr>
          </w:p>
        </w:tc>
        <w:tc>
          <w:tcPr>
            <w:tcW w:w="8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2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5,270,164 common shares</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PERSON WITH</w:t>
            </w:r>
          </w:p>
        </w:tc>
        <w:tc>
          <w:tcPr>
            <w:tcW w:w="760" w:type="dxa"/>
            <w:vAlign w:val="bottom"/>
            <w:tcBorders>
              <w:bottom w:val="single" w:sz="8" w:color="auto"/>
            </w:tcBorders>
          </w:tcPr>
          <w:p>
            <w:pPr>
              <w:spacing w:after="0"/>
              <w:rPr>
                <w:sz w:val="12"/>
                <w:szCs w:val="12"/>
                <w:color w:val="auto"/>
              </w:rPr>
            </w:pPr>
          </w:p>
        </w:tc>
        <w:tc>
          <w:tcPr>
            <w:tcW w:w="8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9"/>
              </w:rPr>
              <w:t>10</w:t>
            </w:r>
          </w:p>
        </w:tc>
        <w:tc>
          <w:tcPr>
            <w:tcW w:w="822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0</w:t>
      </w:r>
    </w:p>
    <w:p>
      <w:pPr>
        <w:spacing w:after="0" w:line="40" w:lineRule="exact"/>
        <w:rPr>
          <w:sz w:val="20"/>
          <w:szCs w:val="20"/>
          <w:color w:val="auto"/>
        </w:rPr>
      </w:pPr>
    </w:p>
    <w:p>
      <w:pPr>
        <w:ind w:left="980" w:hanging="591"/>
        <w:spacing w:after="0"/>
        <w:tabs>
          <w:tab w:leader="none" w:pos="9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5,270,164 common shares</w:t>
      </w:r>
    </w:p>
    <w:p>
      <w:pPr>
        <w:spacing w:after="0" w:line="40" w:lineRule="exact"/>
        <w:rPr>
          <w:sz w:val="20"/>
          <w:szCs w:val="20"/>
          <w:color w:val="auto"/>
        </w:rPr>
      </w:pPr>
    </w:p>
    <w:p>
      <w:pPr>
        <w:ind w:left="980" w:hanging="596"/>
        <w:spacing w:after="0"/>
        <w:tabs>
          <w:tab w:leader="none" w:pos="9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Not applicable*</w:t>
      </w:r>
    </w:p>
    <w:p>
      <w:pPr>
        <w:spacing w:after="0" w:line="18" w:lineRule="exact"/>
        <w:rPr>
          <w:sz w:val="20"/>
          <w:szCs w:val="20"/>
          <w:color w:val="auto"/>
        </w:rPr>
      </w:pPr>
    </w:p>
    <w:p>
      <w:pPr>
        <w:jc w:val="right"/>
        <w:ind w:right="120"/>
        <w:spacing w:after="0" w:line="181" w:lineRule="exact"/>
        <w:rPr>
          <w:sz w:val="20"/>
          <w:szCs w:val="20"/>
          <w:color w:val="auto"/>
        </w:rPr>
      </w:pPr>
      <w:r>
        <w:rPr>
          <w:rFonts w:ascii="MS PGothic" w:cs="MS PGothic" w:eastAsia="MS PGothic" w:hAnsi="MS PGothic"/>
          <w:sz w:val="18"/>
          <w:szCs w:val="18"/>
          <w:color w:val="auto"/>
        </w:rPr>
        <w:t>☐</w:t>
      </w:r>
    </w:p>
    <w:p>
      <w:pPr>
        <w:spacing w:after="0" w:line="61" w:lineRule="exact"/>
        <w:rPr>
          <w:sz w:val="20"/>
          <w:szCs w:val="20"/>
          <w:color w:val="auto"/>
        </w:rPr>
      </w:pPr>
    </w:p>
    <w:p>
      <w:pPr>
        <w:ind w:left="980" w:hanging="596"/>
        <w:spacing w:after="0"/>
        <w:tabs>
          <w:tab w:leader="none" w:pos="9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33.11% of the Company’s outstanding common shares</w:t>
      </w:r>
    </w:p>
    <w:p>
      <w:pPr>
        <w:spacing w:after="0" w:line="40" w:lineRule="exact"/>
        <w:rPr>
          <w:sz w:val="20"/>
          <w:szCs w:val="20"/>
          <w:color w:val="auto"/>
        </w:rPr>
      </w:pPr>
    </w:p>
    <w:p>
      <w:pPr>
        <w:ind w:left="980" w:hanging="596"/>
        <w:spacing w:after="0"/>
        <w:tabs>
          <w:tab w:leader="none" w:pos="9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030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020" cy="1714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CUSIP No. G31642</w:t>
      </w:r>
    </w:p>
    <w:p>
      <w:pPr>
        <w:spacing w:after="0" w:line="20" w:lineRule="exact"/>
        <w:rPr>
          <w:sz w:val="20"/>
          <w:szCs w:val="20"/>
          <w:color w:val="auto"/>
        </w:rPr>
      </w:pPr>
      <w:r>
        <w:rPr>
          <w:sz w:val="20"/>
          <w:szCs w:val="20"/>
          <w:color w:val="auto"/>
        </w:rPr>
        <w:br w:type="column"/>
      </w:r>
    </w:p>
    <w:p>
      <w:pPr>
        <w:jc w:val="center"/>
        <w:ind w:right="2400"/>
        <w:spacing w:after="0"/>
        <w:rPr>
          <w:sz w:val="20"/>
          <w:szCs w:val="20"/>
          <w:color w:val="auto"/>
        </w:rPr>
      </w:pPr>
      <w:r>
        <w:rPr>
          <w:rFonts w:ascii="Arial" w:cs="Arial" w:eastAsia="Arial" w:hAnsi="Arial"/>
          <w:sz w:val="18"/>
          <w:szCs w:val="18"/>
          <w:b w:val="1"/>
          <w:bCs w:val="1"/>
          <w:color w:val="auto"/>
        </w:rPr>
        <w:t>13D</w:t>
      </w:r>
    </w:p>
    <w:p>
      <w:pPr>
        <w:spacing w:after="0" w:line="266" w:lineRule="exact"/>
        <w:rPr>
          <w:sz w:val="20"/>
          <w:szCs w:val="20"/>
          <w:color w:val="auto"/>
        </w:rPr>
      </w:pPr>
    </w:p>
    <w:p>
      <w:pPr>
        <w:jc w:val="center"/>
        <w:ind w:right="2640"/>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4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-116840</wp:posOffset>
            </wp:positionV>
            <wp:extent cx="114871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8715" cy="171450"/>
                    </a:xfrm>
                    <a:prstGeom prst="rect">
                      <a:avLst/>
                    </a:prstGeom>
                    <a:noFill/>
                  </pic:spPr>
                </pic:pic>
              </a:graphicData>
            </a:graphic>
          </wp:anchor>
        </w:drawing>
      </w:r>
    </w:p>
    <w:p>
      <w:pPr>
        <w:spacing w:after="0" w:line="689" w:lineRule="exact"/>
        <w:rPr>
          <w:sz w:val="20"/>
          <w:szCs w:val="20"/>
          <w:color w:val="auto"/>
        </w:rPr>
      </w:pPr>
    </w:p>
    <w:p>
      <w:pPr>
        <w:sectPr>
          <w:pgSz w:w="11900" w:h="16838" w:orient="portrait"/>
          <w:cols w:equalWidth="0" w:num="3">
            <w:col w:w="3940" w:space="720"/>
            <w:col w:w="4560" w:space="720"/>
            <w:col w:w="1300"/>
          </w:cols>
          <w:pgMar w:left="320" w:top="918" w:right="339" w:bottom="1440" w:gutter="0" w:footer="0" w:header="0"/>
        </w:sectPr>
      </w:pPr>
    </w:p>
    <w:p>
      <w:pPr>
        <w:spacing w:after="0" w:line="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Amendment No. 1 to Schedule 13D amends Schedule 13D filed on February 25, 2019 (the “Original 13D”). This Amendment and the Original 13D are hereby referred to as the “Schedule 13D”.</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Except as specifically amended below, all other provisions of the Schedule 13D remain in effect. Capitalized terms used and not defined in this Amendment are used as defined in the Original 13D. This Amendment is being filed to reflect the disposition of 103,050 common shares of the Company between November 8, 2019 and December 10, 2019 and the acquisition by Mr. Xiao Feng Yang, a Reporting Person, of 73,607 and 250,000 common shares of the Company pursuant to a grant under the Company’s 2017 Equity Incentive Plan and 2020 Equity Incentive Plan,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title and class of equity securities to which this Schedule 13D relates is the common shares, par value $0.0001 per share (“Common Shares”), of CLPS Incorporation, a Cayman Islands corporation (the “Company”). The Company’s principal executive office is located at Unit 702, 7th Floor, Millennium City II, 378 Kwun Tong Road, Kwun Tong, Kowloon, Hong Kong SAR.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 This report is being filed by Qinrui Ltd. and Xiao Feng Yang (together, the “Reporting Persons”). Xiao Feng Yang is the Chairman of the board of directors of the Company. The Company’s business address is Unit 702, 7th Floor, Millennium City II, 378 Kwun Tong Road, Kwun Tong, Kowloon, Hong Kong SAR.</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Qinrui Ltd. is a holding company formed under the laws of the British Virgin Islands. The principal business of Qinrui Ltd. is managing Xiao Feng Yang’s personal assets and investments. Qinrui Ltd.’s mailing address is c/o Ogier Global (BVI) Ltd., Ritter House, Wickham’s Cay II, Road Town, Tortola, VG 1110, British Virgin Islands. Xiao Feng Yang has the sole control of Qinrui Ltd.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 Neither Xiao Feng Yang nor Qinrui Ltd. has, during the last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 Xiao Feng Yang is a citizen of the People’s Republic of China. Qinrui Ltd. is a British Virgin Islands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and Other Consideration.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July 12, 2018, the Board of Directors of the Company authorized the award of restricted shares (the “2017 Shares”) to Mr. Yang under the Company’s 2017 Equity Incentive Plan, 73,607 of which vested on July 12, 2019. Mr. Yang did not pay any additional consideration for the 2017 Shares. Between November 8, 2019 and December 10, 2019, Mr. Yang disposed of 103,050 shares of the Company’s common stock. On May 6, 2020, the Board of Directors of the Company authorized the award of 250,000 restricted shares (the “2020 Shares”) to Mr. Yang under the Company’s 2020 Equity Incentive Plan, which vested on May 6, 2020. Mr. Yang did not pay any additional consideration for the 2020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20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CUSIP No. G31642</w:t>
            </w:r>
          </w:p>
        </w:tc>
        <w:tc>
          <w:tcPr>
            <w:tcW w:w="3840" w:type="dxa"/>
            <w:vAlign w:val="bottom"/>
          </w:tcPr>
          <w:p>
            <w:pPr>
              <w:ind w:left="3520"/>
              <w:spacing w:after="0"/>
              <w:rPr>
                <w:sz w:val="20"/>
                <w:szCs w:val="20"/>
                <w:color w:val="auto"/>
              </w:rPr>
            </w:pPr>
            <w:r>
              <w:rPr>
                <w:rFonts w:ascii="Arial" w:cs="Arial" w:eastAsia="Arial" w:hAnsi="Arial"/>
                <w:sz w:val="18"/>
                <w:szCs w:val="18"/>
                <w:b w:val="1"/>
                <w:bCs w:val="1"/>
                <w:color w:val="auto"/>
                <w:w w:val="90"/>
              </w:rPr>
              <w:t>13D</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Page 5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-116840</wp:posOffset>
            </wp:positionV>
            <wp:extent cx="114871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8715" cy="171450"/>
                    </a:xfrm>
                    <a:prstGeom prst="rect">
                      <a:avLst/>
                    </a:prstGeom>
                    <a:noFill/>
                  </pic:spPr>
                </pic:pic>
              </a:graphicData>
            </a:graphic>
          </wp:anchor>
        </w:drawing>
      </w:r>
    </w:p>
    <w:p>
      <w:pPr>
        <w:spacing w:after="0" w:line="689" w:lineRule="exact"/>
        <w:rPr>
          <w:sz w:val="20"/>
          <w:szCs w:val="20"/>
          <w:color w:val="auto"/>
        </w:rPr>
      </w:pPr>
    </w:p>
    <w:p>
      <w:pPr>
        <w:sectPr>
          <w:pgSz w:w="11900" w:h="16838" w:orient="portrait"/>
          <w:cols w:equalWidth="0" w:num="2">
            <w:col w:w="9220" w:space="720"/>
            <w:col w:w="1300"/>
          </w:cols>
          <w:pgMar w:left="320" w:top="903" w:right="339" w:bottom="1440" w:gutter="0" w:footer="0" w:header="0"/>
        </w:sectPr>
      </w:pPr>
    </w:p>
    <w:p>
      <w:pPr>
        <w:spacing w:after="0" w:line="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Mr. Yang sold common shares of the Company between November and December of 2019, and he was awarded the Shares under the Company’s 2017 Equity Incentive Plan and 2020 Equity Incentive Plan stated above. Mr. Yang is currently the Chairman of the board of directors of the Company and therefore will continue to participate in and receive awards under the Company’s incentive programs for as long as he is a director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 The calculations in this Item are based upon 15,917,330 common shares issued and outstanding as of May 6, 2020. The foregoing calculation is made pursuant to Rule l3d-3 promulgated under the Securities Act of 1933, as amended to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Amount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Shared Power to</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Sole Power to</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Shared Power to</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Percentage of</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Sole Power to Vote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Vote or Direct the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Dispose or to Direct</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Dispose or to Direct</w:t>
            </w:r>
          </w:p>
        </w:tc>
      </w:tr>
      <w:tr>
        <w:trPr>
          <w:trHeight w:val="241"/>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Reporting Person</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Beneficially Owned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Class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Direct the Vote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Vote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the Disposition</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the Disposition</w:t>
            </w:r>
          </w:p>
        </w:tc>
      </w:tr>
      <w:tr>
        <w:trPr>
          <w:trHeight w:val="202"/>
        </w:trPr>
        <w:tc>
          <w:tcPr>
            <w:tcW w:w="14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Xiao Feng Yang</w:t>
            </w: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5,270,164 common</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5,270,164 common</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5,270,164 common</w:t>
            </w: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30"/>
        </w:trPr>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shares*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33.11%</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1"/>
              </w:rPr>
              <w:t>shares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1"/>
              </w:rPr>
              <w:t>shares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2"/>
        </w:trPr>
        <w:tc>
          <w:tcPr>
            <w:tcW w:w="1600" w:type="dxa"/>
            <w:vAlign w:val="bottom"/>
            <w:gridSpan w:val="2"/>
          </w:tcPr>
          <w:p>
            <w:pPr>
              <w:spacing w:after="0" w:line="201" w:lineRule="exact"/>
              <w:rPr>
                <w:sz w:val="20"/>
                <w:szCs w:val="20"/>
                <w:color w:val="auto"/>
              </w:rPr>
            </w:pPr>
            <w:r>
              <w:rPr>
                <w:rFonts w:ascii="Arial" w:cs="Arial" w:eastAsia="Arial" w:hAnsi="Arial"/>
                <w:sz w:val="18"/>
                <w:szCs w:val="18"/>
                <w:color w:val="auto"/>
              </w:rPr>
              <w:t>Qinrui Ltd.</w:t>
            </w:r>
          </w:p>
        </w:tc>
        <w:tc>
          <w:tcPr>
            <w:tcW w:w="168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4,976,000 common</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4,976,000 common</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90"/>
              </w:rPr>
              <w:t>4,976,000 common</w:t>
            </w:r>
          </w:p>
        </w:tc>
      </w:tr>
      <w:tr>
        <w:trPr>
          <w:trHeight w:val="230"/>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1"/>
              </w:rPr>
              <w:t>shares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31.26%</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shares</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1"/>
              </w:rPr>
              <w:t>shares</w:t>
            </w:r>
          </w:p>
        </w:tc>
      </w:tr>
    </w:tbl>
    <w:p>
      <w:pPr>
        <w:spacing w:after="0" w:line="202" w:lineRule="exact"/>
        <w:rPr>
          <w:sz w:val="20"/>
          <w:szCs w:val="20"/>
          <w:color w:val="auto"/>
        </w:rPr>
      </w:pPr>
    </w:p>
    <w:p>
      <w:pPr>
        <w:ind w:left="420" w:hanging="318"/>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the vested portion of the restricted stock granted dated as of May 6, 2020.</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Because Mr. Yang controls all of the voting and disposition interests of Qinrui Ltd. with respect to the securities, he may be deemed to have indirect beneficial ownership of the common shares directly beneficially owned by Qinrui Ltd. Neither Xiao Feng Yang nor Qinrui Ltd. has effected any transactions in the securities of the Company in the past sixty days. The Reporting Persons affirm that no other person has the right to receive or the power to direct the receipt of dividends from, or the proceeds from the sale of, the common shares beneficially owned by the Reporting Persons reported herein.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 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Other than as described above, there are no contracts, arrangements, understandings or relationships (legal or otherwise) between the Reporting Persons and any other person with respect to any securities of the Company, including, but not limited to, the transfer or voting of any of the securities, finder’s fees, joint ventures, loan or option arrangements, puts or calls, guarantees of profits, division of profits or loss, or the giving or withholding of proxies or any pledge or contingency, the occurrence of which would give another person voting or investment power over the securities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type w:val="continuous"/>
        </w:sectPr>
      </w:pPr>
    </w:p>
    <w:bookmarkStart w:id="5" w:name="page6"/>
    <w:bookmarkEnd w:id="5"/>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030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020" cy="1714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CUSIP No. G31642</w:t>
      </w:r>
    </w:p>
    <w:p>
      <w:pPr>
        <w:spacing w:after="0" w:line="20" w:lineRule="exact"/>
        <w:rPr>
          <w:sz w:val="20"/>
          <w:szCs w:val="20"/>
          <w:color w:val="auto"/>
        </w:rPr>
      </w:pPr>
      <w:r>
        <w:rPr>
          <w:sz w:val="20"/>
          <w:szCs w:val="20"/>
          <w:color w:val="auto"/>
        </w:rPr>
        <w:br w:type="column"/>
      </w:r>
    </w:p>
    <w:p>
      <w:pPr>
        <w:jc w:val="center"/>
        <w:ind w:right="2780"/>
        <w:spacing w:after="0"/>
        <w:rPr>
          <w:sz w:val="20"/>
          <w:szCs w:val="20"/>
          <w:color w:val="auto"/>
        </w:rPr>
      </w:pPr>
      <w:r>
        <w:rPr>
          <w:rFonts w:ascii="Arial" w:cs="Arial" w:eastAsia="Arial" w:hAnsi="Arial"/>
          <w:sz w:val="18"/>
          <w:szCs w:val="18"/>
          <w:b w:val="1"/>
          <w:bCs w:val="1"/>
          <w:color w:val="auto"/>
        </w:rPr>
        <w:t>13D</w:t>
      </w:r>
    </w:p>
    <w:p>
      <w:pPr>
        <w:spacing w:after="0" w:line="266" w:lineRule="exact"/>
        <w:rPr>
          <w:sz w:val="20"/>
          <w:szCs w:val="20"/>
          <w:color w:val="auto"/>
        </w:rPr>
      </w:pPr>
    </w:p>
    <w:p>
      <w:pPr>
        <w:jc w:val="center"/>
        <w:ind w:right="3020"/>
        <w:spacing w:after="0"/>
        <w:rPr>
          <w:sz w:val="20"/>
          <w:szCs w:val="20"/>
          <w:color w:val="auto"/>
        </w:rPr>
      </w:pPr>
      <w:r>
        <w:rPr>
          <w:rFonts w:ascii="Arial" w:cs="Arial" w:eastAsia="Arial" w:hAnsi="Arial"/>
          <w:sz w:val="17"/>
          <w:szCs w:val="17"/>
          <w:b w:val="1"/>
          <w:bCs w:val="1"/>
          <w:color w:val="auto"/>
        </w:rPr>
        <w:t>SIGNATURES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6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-116840</wp:posOffset>
            </wp:positionV>
            <wp:extent cx="114871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8715" cy="171450"/>
                    </a:xfrm>
                    <a:prstGeom prst="rect">
                      <a:avLst/>
                    </a:prstGeom>
                    <a:noFill/>
                  </pic:spPr>
                </pic:pic>
              </a:graphicData>
            </a:graphic>
          </wp:anchor>
        </w:drawing>
      </w:r>
    </w:p>
    <w:p>
      <w:pPr>
        <w:spacing w:after="0" w:line="677" w:lineRule="exact"/>
        <w:rPr>
          <w:sz w:val="20"/>
          <w:szCs w:val="20"/>
          <w:color w:val="auto"/>
        </w:rPr>
      </w:pPr>
    </w:p>
    <w:p>
      <w:pPr>
        <w:sectPr>
          <w:pgSz w:w="11900" w:h="16838" w:orient="portrait"/>
          <w:cols w:equalWidth="0" w:num="3">
            <w:col w:w="4320" w:space="720"/>
            <w:col w:w="4180" w:space="720"/>
            <w:col w:w="1280"/>
          </w:cols>
          <w:pgMar w:left="320" w:top="918" w:right="359" w:bottom="1440" w:gutter="0" w:footer="0" w:header="0"/>
        </w:sectPr>
      </w:pPr>
    </w:p>
    <w:p>
      <w:pPr>
        <w:spacing w:after="0" w:line="4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12,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Xiao Feng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Xiao Feng Yang</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Qinrui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Xiao Feng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Xiao Feng Yang</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bullet"/>
      <w:start w:val="1"/>
    </w:lvl>
  </w:abstractNum>
  <w:abstractNum w:abstractNumId="1">
    <w:nsid w:val="66EF438D"/>
    <w:multiLevelType w:val="hybridMultilevel"/>
    <w:lvl w:ilvl="0">
      <w:lvlJc w:val="left"/>
      <w:lvlText w:val="2"/>
      <w:numFmt w:val="bullet"/>
      <w:start w:val="1"/>
    </w:lvl>
  </w:abstractNum>
  <w:abstractNum w:abstractNumId="2">
    <w:nsid w:val="140E0F76"/>
    <w:multiLevelType w:val="hybridMultilevel"/>
    <w:lvl w:ilvl="0">
      <w:lvlJc w:val="left"/>
      <w:lvlText w:val="3"/>
      <w:numFmt w:val="bullet"/>
      <w:start w:val="1"/>
    </w:lvl>
  </w:abstractNum>
  <w:abstractNum w:abstractNumId="3">
    <w:nsid w:val="3352255A"/>
    <w:multiLevelType w:val="hybridMultilevel"/>
    <w:lvl w:ilvl="0">
      <w:lvlJc w:val="left"/>
      <w:lvlText w:val="4"/>
      <w:numFmt w:val="bullet"/>
      <w:start w:val="1"/>
    </w:lvl>
  </w:abstractNum>
  <w:abstractNum w:abstractNumId="4">
    <w:nsid w:val="109CF92E"/>
    <w:multiLevelType w:val="hybridMultilevel"/>
    <w:lvl w:ilvl="0">
      <w:lvlJc w:val="left"/>
      <w:lvlText w:val="5"/>
      <w:numFmt w:val="bullet"/>
      <w:start w:val="1"/>
    </w:lvl>
  </w:abstractNum>
  <w:abstractNum w:abstractNumId="5">
    <w:nsid w:val="DED7263"/>
    <w:multiLevelType w:val="hybridMultilevel"/>
    <w:lvl w:ilvl="0">
      <w:lvlJc w:val="left"/>
      <w:lvlText w:val="6"/>
      <w:numFmt w:val="bullet"/>
      <w:start w:val="1"/>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13"/>
    </w:lvl>
  </w:abstractNum>
  <w:abstractNum w:abstractNumId="9">
    <w:nsid w:val="6B68079A"/>
    <w:multiLevelType w:val="hybridMultilevel"/>
    <w:lvl w:ilvl="0">
      <w:lvlJc w:val="left"/>
      <w:lvlText w:val="%1"/>
      <w:numFmt w:val="decimal"/>
      <w:start w:val="14"/>
    </w:lvl>
  </w:abstractNum>
  <w:abstractNum w:abstractNumId="10">
    <w:nsid w:val="4E6AFB66"/>
    <w:multiLevelType w:val="hybridMultilevel"/>
    <w:lvl w:ilvl="0">
      <w:lvlJc w:val="left"/>
      <w:lvlText w:val="1"/>
      <w:numFmt w:val="bullet"/>
      <w:start w:val="1"/>
    </w:lvl>
  </w:abstractNum>
  <w:abstractNum w:abstractNumId="11">
    <w:nsid w:val="25E45D32"/>
    <w:multiLevelType w:val="hybridMultilevel"/>
    <w:lvl w:ilvl="0">
      <w:lvlJc w:val="left"/>
      <w:lvlText w:val="2"/>
      <w:numFmt w:val="bullet"/>
      <w:start w:val="1"/>
    </w:lvl>
  </w:abstractNum>
  <w:abstractNum w:abstractNumId="12">
    <w:nsid w:val="519B500D"/>
    <w:multiLevelType w:val="hybridMultilevel"/>
    <w:lvl w:ilvl="0">
      <w:lvlJc w:val="left"/>
      <w:lvlText w:val="3"/>
      <w:numFmt w:val="bullet"/>
      <w:start w:val="1"/>
    </w:lvl>
  </w:abstractNum>
  <w:abstractNum w:abstractNumId="13">
    <w:nsid w:val="431BD7B7"/>
    <w:multiLevelType w:val="hybridMultilevel"/>
    <w:lvl w:ilvl="0">
      <w:lvlJc w:val="left"/>
      <w:lvlText w:val="4"/>
      <w:numFmt w:val="bullet"/>
      <w:start w:val="1"/>
    </w:lvl>
  </w:abstractNum>
  <w:abstractNum w:abstractNumId="14">
    <w:nsid w:val="3F2DBA31"/>
    <w:multiLevelType w:val="hybridMultilevel"/>
    <w:lvl w:ilvl="0">
      <w:lvlJc w:val="left"/>
      <w:lvlText w:val="5"/>
      <w:numFmt w:val="bullet"/>
      <w:start w:val="1"/>
    </w:lvl>
  </w:abstractNum>
  <w:abstractNum w:abstractNumId="15">
    <w:nsid w:val="7C83E458"/>
    <w:multiLevelType w:val="hybridMultilevel"/>
    <w:lvl w:ilvl="0">
      <w:lvlJc w:val="left"/>
      <w:lvlText w:val="6"/>
      <w:numFmt w:val="bullet"/>
      <w:start w:val="1"/>
    </w:lvl>
  </w:abstractNum>
  <w:abstractNum w:abstractNumId="16">
    <w:nsid w:val="257130A3"/>
    <w:multiLevelType w:val="hybridMultilevel"/>
    <w:lvl w:ilvl="0">
      <w:lvlJc w:val="left"/>
      <w:lvlText w:val="7"/>
      <w:numFmt w:val="bullet"/>
      <w:start w:val="1"/>
    </w:lvl>
  </w:abstractNum>
  <w:abstractNum w:abstractNumId="17">
    <w:nsid w:val="62BBD95A"/>
    <w:multiLevelType w:val="hybridMultilevel"/>
    <w:lvl w:ilvl="0">
      <w:lvlJc w:val="left"/>
      <w:lvlText w:val="%1"/>
      <w:numFmt w:val="decimal"/>
      <w:start w:val="11"/>
    </w:lvl>
  </w:abstractNum>
  <w:abstractNum w:abstractNumId="18">
    <w:nsid w:val="436C6125"/>
    <w:multiLevelType w:val="hybridMultilevel"/>
    <w:lvl w:ilvl="0">
      <w:lvlJc w:val="left"/>
      <w:lvlText w:val="%1"/>
      <w:numFmt w:val="decimal"/>
      <w:start w:val="12"/>
    </w:lvl>
  </w:abstractNum>
  <w:abstractNum w:abstractNumId="19">
    <w:nsid w:val="628C895D"/>
    <w:multiLevelType w:val="hybridMultilevel"/>
    <w:lvl w:ilvl="0">
      <w:lvlJc w:val="left"/>
      <w:lvlText w:val="%1"/>
      <w:numFmt w:val="decimal"/>
      <w:start w:val="13"/>
    </w:lvl>
  </w:abstractNum>
  <w:abstractNum w:abstractNumId="20">
    <w:nsid w:val="333AB105"/>
    <w:multiLevelType w:val="hybridMultilevel"/>
    <w:lvl w:ilvl="0">
      <w:lvlJc w:val="left"/>
      <w:lvlText w:val="%1"/>
      <w:numFmt w:val="decimal"/>
      <w:start w:val="14"/>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2020-06-12T07:33:33Z</dcterms:created>
  <dcterms:modified xsi:type="dcterms:W3CDTF">2020-06-12T07:33:33Z</dcterms:modified>
</cp:coreProperties>
</file>